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ascii="方正小标宋_GBK" w:eastAsia="方正小标宋_GBK"/>
          <w:color w:val="auto"/>
          <w:w w:val="50"/>
          <w:sz w:val="149"/>
          <w:szCs w:val="149"/>
        </w:rPr>
      </w:pPr>
    </w:p>
    <w:p>
      <w:pPr>
        <w:spacing w:line="1560" w:lineRule="exact"/>
        <w:jc w:val="distribute"/>
        <w:rPr>
          <w:rFonts w:ascii="方正大标宋简体" w:hAnsi="方正大标宋简体" w:eastAsia="方正大标宋简体" w:cs="方正大标宋简体"/>
          <w:color w:val="FF0000"/>
          <w:w w:val="60"/>
          <w:sz w:val="120"/>
          <w:szCs w:val="120"/>
        </w:rPr>
      </w:pPr>
      <w:r>
        <w:rPr>
          <w:rFonts w:hint="eastAsia" w:ascii="方正大标宋简体" w:hAnsi="方正大标宋简体" w:eastAsia="方正大标宋简体" w:cs="方正大标宋简体"/>
          <w:color w:val="FF0000"/>
          <w:w w:val="60"/>
          <w:sz w:val="120"/>
          <w:szCs w:val="120"/>
        </w:rPr>
        <w:t>邵阳市北塔区财政局文件</w:t>
      </w:r>
    </w:p>
    <w:p>
      <w:pPr>
        <w:rPr>
          <w:color w:val="auto"/>
        </w:rPr>
      </w:pPr>
      <w:r>
        <w:rPr>
          <w:color w:val="auto"/>
          <w:sz w:val="32"/>
        </w:rPr>
        <w:pict>
          <v:line id="直接连接符 6" o:spid="_x0000_s1026" o:spt="20" style="position:absolute;left:0pt;margin-left:-8pt;margin-top:83.1pt;height:0pt;width:446.25pt;z-index:251659264;mso-width-relative:page;mso-height-relative:page;" stroked="t" coordsize="21600,21600" o:gfxdata="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RjSk2wAAAAsBAAAPAAAAAAAAAAEAIAAAACIAAABk&#10;cnMvZG93bnJldi54bWxQSwECFAAUAAAACACHTuJAZ3VEkwMCAAD9AwAADgAAAAAAAAABACAAAAAq&#10;AQAAZHJzL2Uyb0RvYy54bWxQSwUGAAAAAAYABgBZAQAAnwUAAAAA&#10;">
            <v:path arrowok="t"/>
            <v:fill focussize="0,0"/>
            <v:stroke weight="3pt" color="#FF0000"/>
            <v:imagedata o:title=""/>
            <o:lock v:ext="edit"/>
          </v:line>
        </w:pict>
      </w:r>
    </w:p>
    <w:p>
      <w:pPr>
        <w:spacing w:line="600" w:lineRule="exact"/>
        <w:rPr>
          <w:color w:val="auto"/>
          <w:sz w:val="32"/>
          <w:szCs w:val="40"/>
        </w:rPr>
      </w:pPr>
    </w:p>
    <w:p>
      <w:pPr>
        <w:spacing w:line="600" w:lineRule="exact"/>
        <w:jc w:val="center"/>
        <w:rPr>
          <w:rFonts w:eastAsia="仿宋_GB2312"/>
          <w:color w:val="auto"/>
          <w:sz w:val="32"/>
          <w:szCs w:val="40"/>
        </w:rPr>
      </w:pPr>
      <w:r>
        <w:rPr>
          <w:rFonts w:hint="eastAsia" w:eastAsia="仿宋_GB2312"/>
          <w:color w:val="auto"/>
          <w:sz w:val="32"/>
          <w:szCs w:val="40"/>
        </w:rPr>
        <w:t>邵北财农绩</w:t>
      </w:r>
      <w:r>
        <w:rPr>
          <w:rFonts w:hint="eastAsia" w:ascii="仿宋" w:hAnsi="仿宋" w:eastAsia="仿宋" w:cs="仿宋"/>
          <w:color w:val="auto"/>
          <w:sz w:val="32"/>
          <w:szCs w:val="40"/>
        </w:rPr>
        <w:t>﹝2023﹞8号</w:t>
      </w:r>
    </w:p>
    <w:p>
      <w:pPr>
        <w:spacing w:line="600" w:lineRule="exact"/>
        <w:rPr>
          <w:color w:val="auto"/>
          <w:sz w:val="32"/>
          <w:szCs w:val="40"/>
        </w:rPr>
      </w:pPr>
    </w:p>
    <w:p>
      <w:pPr>
        <w:widowControl/>
        <w:spacing w:line="580" w:lineRule="exact"/>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关于下达2023年第八批财政衔接推进乡村</w:t>
      </w:r>
    </w:p>
    <w:p>
      <w:pPr>
        <w:widowControl/>
        <w:spacing w:line="580" w:lineRule="exact"/>
        <w:jc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振兴补助资金绩效目标批复的通知</w:t>
      </w:r>
    </w:p>
    <w:p>
      <w:pPr>
        <w:widowControl/>
        <w:spacing w:line="580" w:lineRule="exact"/>
        <w:rPr>
          <w:rFonts w:ascii="仿宋_GB2312" w:hAnsi="仿宋_GB2312" w:eastAsia="仿宋_GB2312" w:cs="仿宋_GB2312"/>
          <w:color w:val="auto"/>
          <w:kern w:val="0"/>
          <w:sz w:val="32"/>
          <w:szCs w:val="32"/>
        </w:rPr>
      </w:pPr>
    </w:p>
    <w:p>
      <w:pPr>
        <w:widowControl/>
        <w:spacing w:line="58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各镇（街道）、各区直有关单</w:t>
      </w:r>
      <w:bookmarkStart w:id="0" w:name="_GoBack"/>
      <w:bookmarkEnd w:id="0"/>
      <w:r>
        <w:rPr>
          <w:rFonts w:hint="eastAsia" w:ascii="仿宋_GB2312" w:hAnsi="仿宋_GB2312" w:eastAsia="仿宋_GB2312" w:cs="仿宋_GB2312"/>
          <w:color w:val="auto"/>
          <w:kern w:val="0"/>
          <w:sz w:val="32"/>
          <w:szCs w:val="32"/>
        </w:rPr>
        <w:t>位：</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根据《财政专项扶贫资金绩效管理操作指南(试行)》(财办农〔2019〕68号)等相关文件要求，现将审核通过的2023年第八批财政衔接推进乡村振兴补助资金项目绩效目标批复给你单位，并就有关事项通知如下。</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一、本次批复的绩效目标将作为绩效运行监控、绩效自评、绩效自评抽查或重点绩效评价的重要依据，绩效目标批复后，原则上不作调整，预算执行中因特殊原因确需调整的，按规定程序办理。</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二、请你单位在绩效目标批复后20个工作日内将绩效目标表在政府门户网站（乡镇、村在相应公开栏）上予以公开。</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三、预算执行中，你单位应建立项目绩效目标运行监控机制，定期对预算和绩效目标执行情况进行跟踪分析，以确保绩效目标不偏离。定期向区财政局报送绩效目标运行监控表。</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四、项目竣工后或每年度预算执行终了，要开展绩效自评，并将绩效自评结果予以公开。</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请按本次批复的通知，认真落实绩效管理各个环节工作要求，充分发挥资金使用效益，提高管理水平，确保年度绩效目标如期实现。</w:t>
      </w:r>
    </w:p>
    <w:p>
      <w:pPr>
        <w:widowControl/>
        <w:spacing w:line="580" w:lineRule="exact"/>
        <w:ind w:firstLine="645"/>
        <w:rPr>
          <w:rFonts w:ascii="仿宋_GB2312" w:hAnsi="仿宋_GB2312" w:eastAsia="仿宋_GB2312" w:cs="仿宋_GB2312"/>
          <w:color w:val="auto"/>
          <w:kern w:val="0"/>
          <w:sz w:val="32"/>
          <w:szCs w:val="32"/>
        </w:rPr>
      </w:pP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1.北塔区2023年第八批财政衔接推进乡村振兴补助资金安排表</w:t>
      </w:r>
    </w:p>
    <w:p>
      <w:pPr>
        <w:widowControl/>
        <w:spacing w:line="58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2.北塔区2023年第八批财政衔接推进乡村振兴补助资金项目绩效目标批复表</w:t>
      </w:r>
    </w:p>
    <w:p>
      <w:pPr>
        <w:widowControl/>
        <w:spacing w:line="560" w:lineRule="exact"/>
        <w:rPr>
          <w:rFonts w:ascii="仿宋_GB2312" w:hAnsi="仿宋_GB2312" w:eastAsia="仿宋_GB2312" w:cs="仿宋_GB2312"/>
          <w:b/>
          <w:bCs/>
          <w:color w:val="auto"/>
          <w:kern w:val="0"/>
          <w:sz w:val="32"/>
          <w:szCs w:val="32"/>
        </w:rPr>
      </w:pPr>
    </w:p>
    <w:p>
      <w:pPr>
        <w:widowControl/>
        <w:spacing w:line="560" w:lineRule="exact"/>
        <w:rPr>
          <w:rFonts w:ascii="仿宋_GB2312" w:hAnsi="仿宋_GB2312" w:eastAsia="仿宋_GB2312" w:cs="仿宋_GB2312"/>
          <w:b/>
          <w:bCs/>
          <w:color w:val="auto"/>
          <w:kern w:val="0"/>
          <w:sz w:val="32"/>
          <w:szCs w:val="32"/>
        </w:rPr>
      </w:pPr>
    </w:p>
    <w:p>
      <w:pPr>
        <w:widowControl/>
        <w:spacing w:line="560" w:lineRule="exact"/>
        <w:rPr>
          <w:rFonts w:ascii="仿宋_GB2312" w:hAnsi="仿宋_GB2312" w:eastAsia="仿宋_GB2312" w:cs="仿宋_GB2312"/>
          <w:b/>
          <w:bCs/>
          <w:color w:val="auto"/>
          <w:kern w:val="0"/>
          <w:sz w:val="32"/>
          <w:szCs w:val="32"/>
        </w:rPr>
      </w:pPr>
    </w:p>
    <w:p>
      <w:pPr>
        <w:widowControl/>
        <w:spacing w:line="56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w:t>
      </w:r>
      <w:r>
        <w:rPr>
          <w:rFonts w:hint="eastAsia" w:ascii="仿宋_GB2312" w:hAnsi="仿宋_GB2312" w:eastAsia="仿宋_GB2312" w:cs="仿宋_GB2312"/>
          <w:color w:val="auto"/>
          <w:kern w:val="0"/>
          <w:sz w:val="32"/>
          <w:szCs w:val="32"/>
        </w:rPr>
        <w:t>                          邵阳市北塔区财政局</w:t>
      </w:r>
    </w:p>
    <w:p>
      <w:pPr>
        <w:widowControl/>
        <w:spacing w:line="560" w:lineRule="exact"/>
        <w:ind w:firstLine="720"/>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2023年10月18日</w:t>
      </w:r>
    </w:p>
    <w:p>
      <w:pPr>
        <w:spacing w:line="560" w:lineRule="exact"/>
        <w:rPr>
          <w:rFonts w:ascii="仿宋_GB2312" w:hAnsi="仿宋_GB2312" w:eastAsia="仿宋_GB2312" w:cs="仿宋_GB2312"/>
          <w:color w:val="auto"/>
          <w:sz w:val="32"/>
          <w:szCs w:val="32"/>
        </w:rPr>
        <w:sectPr>
          <w:pgSz w:w="11906" w:h="16838"/>
          <w:pgMar w:top="1984" w:right="1701" w:bottom="1701" w:left="1701" w:header="851" w:footer="992" w:gutter="0"/>
          <w:cols w:space="425" w:num="1"/>
          <w:docGrid w:type="lines" w:linePitch="312" w:charSpace="0"/>
        </w:sectPr>
      </w:pPr>
    </w:p>
    <w:p>
      <w:pPr>
        <w:spacing w:line="600" w:lineRule="exact"/>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eastAsia="zh-CN"/>
        </w:rPr>
        <w:t>附件</w:t>
      </w:r>
      <w:r>
        <w:rPr>
          <w:rFonts w:hint="eastAsia" w:asciiTheme="majorEastAsia" w:hAnsiTheme="majorEastAsia" w:eastAsiaTheme="majorEastAsia" w:cstheme="majorEastAsia"/>
          <w:color w:val="auto"/>
          <w:sz w:val="32"/>
          <w:szCs w:val="32"/>
          <w:lang w:val="en-US" w:eastAsia="zh-CN"/>
        </w:rPr>
        <w:t>1</w:t>
      </w:r>
    </w:p>
    <w:p>
      <w:pPr>
        <w:spacing w:line="600" w:lineRule="exact"/>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北塔区2023</w:t>
      </w:r>
      <w:r>
        <w:rPr>
          <w:rStyle w:val="27"/>
          <w:rFonts w:hint="eastAsia" w:ascii="方正小标宋_GBK" w:hAnsi="方正小标宋_GBK" w:eastAsia="方正小标宋_GBK" w:cs="方正小标宋_GBK"/>
          <w:b w:val="0"/>
          <w:bCs w:val="0"/>
          <w:color w:val="auto"/>
          <w:sz w:val="44"/>
          <w:szCs w:val="44"/>
          <w:lang w:val="en-US" w:eastAsia="zh-CN" w:bidi="ar"/>
        </w:rPr>
        <w:t>年第八批财政衔接推进乡村振兴补助资金</w:t>
      </w:r>
      <w:r>
        <w:rPr>
          <w:rStyle w:val="28"/>
          <w:rFonts w:hint="eastAsia" w:ascii="方正小标宋_GBK" w:hAnsi="方正小标宋_GBK" w:eastAsia="方正小标宋_GBK" w:cs="方正小标宋_GBK"/>
          <w:b w:val="0"/>
          <w:bCs w:val="0"/>
          <w:color w:val="auto"/>
          <w:sz w:val="44"/>
          <w:szCs w:val="44"/>
          <w:lang w:val="en-US" w:eastAsia="zh-CN" w:bidi="ar"/>
        </w:rPr>
        <w:t>安排表</w:t>
      </w:r>
    </w:p>
    <w:tbl>
      <w:tblPr>
        <w:tblStyle w:val="4"/>
        <w:tblW w:w="2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96"/>
        <w:gridCol w:w="696"/>
        <w:gridCol w:w="697"/>
        <w:gridCol w:w="696"/>
        <w:gridCol w:w="696"/>
        <w:gridCol w:w="714"/>
        <w:gridCol w:w="696"/>
        <w:gridCol w:w="714"/>
        <w:gridCol w:w="1044"/>
        <w:gridCol w:w="1009"/>
        <w:gridCol w:w="696"/>
        <w:gridCol w:w="2078"/>
        <w:gridCol w:w="714"/>
        <w:gridCol w:w="714"/>
        <w:gridCol w:w="715"/>
        <w:gridCol w:w="846"/>
        <w:gridCol w:w="846"/>
        <w:gridCol w:w="846"/>
        <w:gridCol w:w="847"/>
        <w:gridCol w:w="847"/>
        <w:gridCol w:w="1066"/>
        <w:gridCol w:w="2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0800"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序号</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项目类别</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乡</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村</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项目名称</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建设性质</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实施地点</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时间进度</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责任单位</w:t>
            </w: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建设内容及规模</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资金规模和筹资方式</w:t>
            </w:r>
          </w:p>
        </w:tc>
        <w:tc>
          <w:tcPr>
            <w:tcW w:w="469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受益对象</w:t>
            </w:r>
          </w:p>
        </w:tc>
        <w:tc>
          <w:tcPr>
            <w:tcW w:w="23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项目类型</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二级项目类型</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项目子类型</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计划开工时间</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计划完工时间</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项目预算总投 资（万元）</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其中</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受益村数（个）</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受益户数（户）</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受益人口数</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（人）</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其中</w:t>
            </w:r>
          </w:p>
        </w:tc>
        <w:tc>
          <w:tcPr>
            <w:tcW w:w="2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财政资金（万元）</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其他资金（万元）</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受益脱贫村数</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受益脱贫户数及防止返贫监测对象户数</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（户）</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受益脱贫人口数及防止返贫监测对象人口数</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（人）</w:t>
            </w:r>
          </w:p>
        </w:tc>
        <w:tc>
          <w:tcPr>
            <w:tcW w:w="23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产业发展项目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配套基础设施项目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小型农田水利设施建设</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茶元头街道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茶元头村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赵家塘组沙石塘维修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新建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赵家塘组</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2023年10月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2023年12月</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茶元头村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清淤山塘4万元，堡坎8万元，挖机费3万元，运费 2万元，   塘基硬化3万元，合计20万元。</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20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20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235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产权归属：茶元头村村民委员，该项目建成后能便于村民进行农业生产生活，有效提高农田灌溉系数，提高生活生产质量。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产业发展项目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生产项目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种植业基地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田江街道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田江村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水果基地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续建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田江村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2023年10月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2023年12月</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田江村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水果基地除虫、施肥、剪枝、除草等后期管护</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776</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2198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183</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产权归属：田江村村民委员会，预计全年增加村集体经济6万余元、预计带动村民贫困劳动力就业10人左右，监测户、贫困户分红56户183人，预计每年增加村集体收入2万元。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产业发展项目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生产项目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种植业基地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陈家桥镇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望城坡村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蓝莓基地实验阳光棚及配套设施建设</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续建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望城坡村4组</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2023年10月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2023年12月</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望城坡村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①碟子塘至黑泥塘机耕采摘道建设长度900米、宽度1.8米、厚度10公分；</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②农产品中心下塘硬化长度35米宽42米深度2.5米；</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③新建大物元实验阳光棚5亩</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362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1062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199</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使用资金达到的效益目标;产权归属望城坡村委会，确保蓝莓基地产业健康发展，助推乡村旅游，以对外承包形式，确保蓝莓基地每年为村集体经济稳定增收2万元。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产业发展项目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配套基础设施项目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小型农田水利设施建设</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茶元头街道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樟木社区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7组、8组、9组、10组水渠修建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新建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7组、8组、9组、10组</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2023年10月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2023年</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12月</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樟木社区</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樟木社区7组、8组、9组、10组水渠进行维修硬化加固，建设总长度150米。</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（1）材料费（包含河沙、水泥、沙石）共计6万。</w:t>
            </w:r>
            <w:r>
              <w:rPr>
                <w:rFonts w:hint="eastAsia" w:asciiTheme="majorEastAsia" w:hAnsiTheme="majorEastAsia" w:eastAsiaTheme="majorEastAsia" w:cstheme="majorEastAsia"/>
                <w:i w:val="0"/>
                <w:iCs w:val="0"/>
                <w:color w:val="auto"/>
                <w:kern w:val="0"/>
                <w:sz w:val="21"/>
                <w:szCs w:val="21"/>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u w:val="none"/>
                <w:lang w:val="en-US" w:eastAsia="zh-CN" w:bidi="ar"/>
              </w:rPr>
              <w:t>（2）人工劳务费4万元</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16</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产权归属：樟木社区居委会，项目建成后，完善村级基础设施建设，方便农作物用水，提高耕种积极性，提升农户幸福感。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iCs w:val="0"/>
                <w:color w:val="auto"/>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sectPr>
          <w:pgSz w:w="23811" w:h="16838" w:orient="landscape"/>
          <w:pgMar w:top="1701" w:right="1984" w:bottom="1701"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spacing w:line="600" w:lineRule="exact"/>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eastAsia="zh-CN"/>
        </w:rPr>
        <w:t>附件</w:t>
      </w:r>
      <w:r>
        <w:rPr>
          <w:rFonts w:hint="eastAsia" w:asciiTheme="majorEastAsia" w:hAnsiTheme="majorEastAsia" w:eastAsiaTheme="majorEastAsia" w:cstheme="majorEastAsia"/>
          <w:color w:val="auto"/>
          <w:sz w:val="32"/>
          <w:szCs w:val="32"/>
          <w:lang w:val="en-US" w:eastAsia="zh-CN"/>
        </w:rPr>
        <w:t>2</w:t>
      </w:r>
    </w:p>
    <w:p>
      <w:pPr>
        <w:spacing w:line="600" w:lineRule="exact"/>
        <w:jc w:val="center"/>
        <w:rPr>
          <w:rFonts w:hint="eastAsia" w:asciiTheme="majorEastAsia" w:hAnsiTheme="majorEastAsia" w:eastAsiaTheme="majorEastAsia" w:cstheme="majorEastAsia"/>
          <w:color w:val="auto"/>
          <w:sz w:val="40"/>
          <w:szCs w:val="40"/>
          <w:lang w:val="en-US" w:eastAsia="zh-CN"/>
        </w:rPr>
      </w:pPr>
      <w:r>
        <w:rPr>
          <w:rFonts w:hint="eastAsia" w:ascii="方正小标宋简体" w:hAnsi="方正小标宋简体" w:eastAsia="方正小标宋简体" w:cs="方正小标宋简体"/>
          <w:i w:val="0"/>
          <w:iCs w:val="0"/>
          <w:color w:val="auto"/>
          <w:kern w:val="0"/>
          <w:sz w:val="40"/>
          <w:szCs w:val="40"/>
          <w:u w:val="none"/>
          <w:lang w:val="en-US" w:eastAsia="zh-CN" w:bidi="ar"/>
        </w:rPr>
        <w:t>北塔区2023年第八批财政衔接推进乡村振兴补助资金项目绩效目标批复表</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tbl>
      <w:tblPr>
        <w:tblStyle w:val="4"/>
        <w:tblW w:w="13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174"/>
        <w:gridCol w:w="1078"/>
        <w:gridCol w:w="1014"/>
        <w:gridCol w:w="1142"/>
        <w:gridCol w:w="1142"/>
        <w:gridCol w:w="1142"/>
        <w:gridCol w:w="1142"/>
        <w:gridCol w:w="1142"/>
        <w:gridCol w:w="756"/>
        <w:gridCol w:w="111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897"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auto"/>
                <w:sz w:val="22"/>
                <w:szCs w:val="22"/>
                <w:u w:val="none"/>
              </w:rPr>
            </w:pPr>
          </w:p>
        </w:tc>
        <w:tc>
          <w:tcPr>
            <w:tcW w:w="107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1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1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1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1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1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75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11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191"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项目名称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项目资金（万元）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实施单位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合规性审核（20分）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完整性审核（20分）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相关性审核（20分）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适当性审核（20分）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可行性审核（20分）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审核得分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综合评定等级</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赵家塘组沙石塘维修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 xml:space="preserve">20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茶元头村</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96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通过</w:t>
            </w:r>
          </w:p>
        </w:tc>
        <w:tc>
          <w:tcPr>
            <w:tcW w:w="119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水果基地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田江村</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18</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95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通过</w:t>
            </w:r>
          </w:p>
        </w:tc>
        <w:tc>
          <w:tcPr>
            <w:tcW w:w="119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3</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蓝莓基地实验阳光棚及配套设施建设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39</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望城坡村</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97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通过</w:t>
            </w:r>
          </w:p>
        </w:tc>
        <w:tc>
          <w:tcPr>
            <w:tcW w:w="119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4</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7组、8组、9组、10组水渠修建</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樟木社区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18</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96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u w:val="none"/>
              </w:rPr>
            </w:pPr>
            <w:r>
              <w:rPr>
                <w:rFonts w:hint="eastAsia" w:asciiTheme="majorEastAsia" w:hAnsiTheme="majorEastAsia" w:eastAsiaTheme="majorEastAsia" w:cstheme="majorEastAsia"/>
                <w:i w:val="0"/>
                <w:iCs w:val="0"/>
                <w:color w:val="auto"/>
                <w:kern w:val="0"/>
                <w:sz w:val="24"/>
                <w:szCs w:val="24"/>
                <w:u w:val="none"/>
                <w:lang w:val="en-US" w:eastAsia="zh-CN" w:bidi="ar"/>
              </w:rPr>
              <w:t>通过</w:t>
            </w:r>
          </w:p>
        </w:tc>
        <w:tc>
          <w:tcPr>
            <w:tcW w:w="119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合  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89</w:t>
            </w:r>
          </w:p>
        </w:tc>
        <w:tc>
          <w:tcPr>
            <w:tcW w:w="97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_GBK" w:hAnsi="方正小标宋_GBK" w:eastAsia="方正小标宋_GBK" w:cs="方正小标宋_GBK"/>
          <w:color w:val="auto"/>
          <w:sz w:val="44"/>
          <w:szCs w:val="44"/>
        </w:rPr>
      </w:pPr>
    </w:p>
    <w:sectPr>
      <w:pgSz w:w="16838" w:h="11906" w:orient="landscape"/>
      <w:pgMar w:top="1701" w:right="1984"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RlNmIzZmM3MDEwYzA4ZWFmNTYxODc1ZWUzZDZmZGIifQ=="/>
  </w:docVars>
  <w:rsids>
    <w:rsidRoot w:val="000F1B3C"/>
    <w:rsid w:val="00010203"/>
    <w:rsid w:val="000F1B3C"/>
    <w:rsid w:val="000F7725"/>
    <w:rsid w:val="001A552E"/>
    <w:rsid w:val="001D35A3"/>
    <w:rsid w:val="003455FA"/>
    <w:rsid w:val="00352C3B"/>
    <w:rsid w:val="003865A4"/>
    <w:rsid w:val="0041371C"/>
    <w:rsid w:val="004867DD"/>
    <w:rsid w:val="004A6F1B"/>
    <w:rsid w:val="004B3126"/>
    <w:rsid w:val="00571BD2"/>
    <w:rsid w:val="005B56CE"/>
    <w:rsid w:val="00602FAF"/>
    <w:rsid w:val="00646A02"/>
    <w:rsid w:val="00662941"/>
    <w:rsid w:val="006A0047"/>
    <w:rsid w:val="006D21A2"/>
    <w:rsid w:val="006F64B8"/>
    <w:rsid w:val="0072468F"/>
    <w:rsid w:val="007605B6"/>
    <w:rsid w:val="0078484F"/>
    <w:rsid w:val="0087635F"/>
    <w:rsid w:val="00A10408"/>
    <w:rsid w:val="00A1404A"/>
    <w:rsid w:val="00A96BF8"/>
    <w:rsid w:val="00BB700A"/>
    <w:rsid w:val="00C2125B"/>
    <w:rsid w:val="00CF045C"/>
    <w:rsid w:val="00D72927"/>
    <w:rsid w:val="00D85F1B"/>
    <w:rsid w:val="00DD0F2D"/>
    <w:rsid w:val="00DD4C48"/>
    <w:rsid w:val="00E21257"/>
    <w:rsid w:val="00ED5EC3"/>
    <w:rsid w:val="00EE4CE2"/>
    <w:rsid w:val="00EE620D"/>
    <w:rsid w:val="00EF2A8D"/>
    <w:rsid w:val="00FE7E8B"/>
    <w:rsid w:val="05624502"/>
    <w:rsid w:val="0B6E5F24"/>
    <w:rsid w:val="0D33086C"/>
    <w:rsid w:val="16EB39BE"/>
    <w:rsid w:val="266318BC"/>
    <w:rsid w:val="3C4973D8"/>
    <w:rsid w:val="3D08482F"/>
    <w:rsid w:val="3E1D39DC"/>
    <w:rsid w:val="49AD0727"/>
    <w:rsid w:val="506D428F"/>
    <w:rsid w:val="52017320"/>
    <w:rsid w:val="5C312C02"/>
    <w:rsid w:val="7B3A5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table" w:customStyle="1" w:styleId="9">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0">
    <w:name w:val="font41"/>
    <w:basedOn w:val="5"/>
    <w:qFormat/>
    <w:uiPriority w:val="0"/>
    <w:rPr>
      <w:rFonts w:hint="eastAsia" w:ascii="宋体" w:hAnsi="宋体" w:eastAsia="宋体" w:cs="宋体"/>
      <w:b/>
      <w:bCs/>
      <w:color w:val="000000"/>
      <w:sz w:val="36"/>
      <w:szCs w:val="36"/>
      <w:u w:val="none"/>
    </w:rPr>
  </w:style>
  <w:style w:type="character" w:customStyle="1" w:styleId="11">
    <w:name w:val="font01"/>
    <w:basedOn w:val="5"/>
    <w:qFormat/>
    <w:uiPriority w:val="0"/>
    <w:rPr>
      <w:rFonts w:hint="default" w:ascii="Times New Roman" w:hAnsi="Times New Roman" w:cs="Times New Roman"/>
      <w:b/>
      <w:bCs/>
      <w:color w:val="000000"/>
      <w:sz w:val="36"/>
      <w:szCs w:val="36"/>
      <w:u w:val="none"/>
    </w:rPr>
  </w:style>
  <w:style w:type="character" w:customStyle="1" w:styleId="12">
    <w:name w:val="font61"/>
    <w:basedOn w:val="5"/>
    <w:qFormat/>
    <w:uiPriority w:val="0"/>
    <w:rPr>
      <w:rFonts w:hint="eastAsia" w:ascii="宋体" w:hAnsi="宋体" w:eastAsia="宋体" w:cs="宋体"/>
      <w:color w:val="000000"/>
      <w:sz w:val="20"/>
      <w:szCs w:val="20"/>
      <w:u w:val="none"/>
    </w:rPr>
  </w:style>
  <w:style w:type="character" w:customStyle="1" w:styleId="13">
    <w:name w:val="font181"/>
    <w:basedOn w:val="5"/>
    <w:qFormat/>
    <w:uiPriority w:val="0"/>
    <w:rPr>
      <w:rFonts w:hint="eastAsia" w:ascii="宋体" w:hAnsi="宋体" w:eastAsia="宋体" w:cs="宋体"/>
      <w:color w:val="000000"/>
      <w:sz w:val="15"/>
      <w:szCs w:val="15"/>
      <w:u w:val="none"/>
    </w:rPr>
  </w:style>
  <w:style w:type="character" w:customStyle="1" w:styleId="14">
    <w:name w:val="font161"/>
    <w:basedOn w:val="5"/>
    <w:qFormat/>
    <w:uiPriority w:val="0"/>
    <w:rPr>
      <w:rFonts w:hint="default" w:ascii="Times New Roman" w:hAnsi="Times New Roman" w:cs="Times New Roman"/>
      <w:color w:val="000000"/>
      <w:sz w:val="15"/>
      <w:szCs w:val="15"/>
      <w:u w:val="none"/>
    </w:rPr>
  </w:style>
  <w:style w:type="character" w:customStyle="1" w:styleId="15">
    <w:name w:val="font201"/>
    <w:basedOn w:val="5"/>
    <w:qFormat/>
    <w:uiPriority w:val="0"/>
    <w:rPr>
      <w:rFonts w:hint="eastAsia" w:ascii="宋体" w:hAnsi="宋体" w:eastAsia="宋体" w:cs="宋体"/>
      <w:color w:val="000000"/>
      <w:sz w:val="20"/>
      <w:szCs w:val="20"/>
      <w:u w:val="none"/>
      <w:vertAlign w:val="superscript"/>
    </w:rPr>
  </w:style>
  <w:style w:type="character" w:customStyle="1" w:styleId="16">
    <w:name w:val="font212"/>
    <w:basedOn w:val="5"/>
    <w:qFormat/>
    <w:uiPriority w:val="0"/>
    <w:rPr>
      <w:rFonts w:hint="eastAsia" w:ascii="宋体" w:hAnsi="宋体" w:eastAsia="宋体" w:cs="宋体"/>
      <w:color w:val="000000"/>
      <w:sz w:val="20"/>
      <w:szCs w:val="20"/>
      <w:u w:val="none"/>
      <w:vertAlign w:val="subscript"/>
    </w:rPr>
  </w:style>
  <w:style w:type="character" w:customStyle="1" w:styleId="17">
    <w:name w:val="font151"/>
    <w:basedOn w:val="5"/>
    <w:qFormat/>
    <w:uiPriority w:val="0"/>
    <w:rPr>
      <w:rFonts w:hint="eastAsia" w:ascii="仿宋_GB2312" w:eastAsia="仿宋_GB2312" w:cs="仿宋_GB2312"/>
      <w:color w:val="000000"/>
      <w:sz w:val="18"/>
      <w:szCs w:val="18"/>
      <w:u w:val="none"/>
    </w:rPr>
  </w:style>
  <w:style w:type="character" w:customStyle="1" w:styleId="18">
    <w:name w:val="font191"/>
    <w:basedOn w:val="5"/>
    <w:qFormat/>
    <w:uiPriority w:val="0"/>
    <w:rPr>
      <w:rFonts w:hint="default" w:ascii="Times New Roman" w:hAnsi="Times New Roman" w:cs="Times New Roman"/>
      <w:color w:val="000000"/>
      <w:sz w:val="18"/>
      <w:szCs w:val="18"/>
      <w:u w:val="none"/>
    </w:rPr>
  </w:style>
  <w:style w:type="character" w:customStyle="1" w:styleId="19">
    <w:name w:val="font121"/>
    <w:basedOn w:val="5"/>
    <w:qFormat/>
    <w:uiPriority w:val="0"/>
    <w:rPr>
      <w:rFonts w:hint="eastAsia" w:ascii="宋体" w:hAnsi="宋体" w:eastAsia="宋体" w:cs="宋体"/>
      <w:color w:val="FF0000"/>
      <w:sz w:val="20"/>
      <w:szCs w:val="20"/>
      <w:u w:val="none"/>
    </w:rPr>
  </w:style>
  <w:style w:type="character" w:customStyle="1" w:styleId="20">
    <w:name w:val="font71"/>
    <w:basedOn w:val="5"/>
    <w:qFormat/>
    <w:uiPriority w:val="0"/>
    <w:rPr>
      <w:rFonts w:hint="default" w:ascii="Times New Roman" w:hAnsi="Times New Roman" w:cs="Times New Roman"/>
      <w:b/>
      <w:bCs/>
      <w:color w:val="000000"/>
      <w:sz w:val="20"/>
      <w:szCs w:val="20"/>
      <w:u w:val="none"/>
    </w:rPr>
  </w:style>
  <w:style w:type="character" w:customStyle="1" w:styleId="21">
    <w:name w:val="font81"/>
    <w:basedOn w:val="5"/>
    <w:uiPriority w:val="0"/>
    <w:rPr>
      <w:rFonts w:hint="eastAsia" w:ascii="宋体" w:hAnsi="宋体" w:eastAsia="宋体" w:cs="宋体"/>
      <w:b/>
      <w:bCs/>
      <w:color w:val="000000"/>
      <w:sz w:val="20"/>
      <w:szCs w:val="20"/>
      <w:u w:val="none"/>
    </w:rPr>
  </w:style>
  <w:style w:type="character" w:customStyle="1" w:styleId="22">
    <w:name w:val="font91"/>
    <w:basedOn w:val="5"/>
    <w:qFormat/>
    <w:uiPriority w:val="0"/>
    <w:rPr>
      <w:rFonts w:hint="eastAsia" w:ascii="方正小标宋简体" w:hAnsi="方正小标宋简体" w:eastAsia="方正小标宋简体" w:cs="方正小标宋简体"/>
      <w:b/>
      <w:bCs/>
      <w:color w:val="000000"/>
      <w:sz w:val="20"/>
      <w:szCs w:val="20"/>
      <w:u w:val="none"/>
    </w:rPr>
  </w:style>
  <w:style w:type="character" w:customStyle="1" w:styleId="23">
    <w:name w:val="font101"/>
    <w:basedOn w:val="5"/>
    <w:qFormat/>
    <w:uiPriority w:val="0"/>
    <w:rPr>
      <w:rFonts w:hint="eastAsia" w:ascii="仿宋_GB2312" w:eastAsia="仿宋_GB2312" w:cs="仿宋_GB2312"/>
      <w:b/>
      <w:bCs/>
      <w:color w:val="000000"/>
      <w:sz w:val="20"/>
      <w:szCs w:val="20"/>
      <w:u w:val="none"/>
    </w:rPr>
  </w:style>
  <w:style w:type="character" w:customStyle="1" w:styleId="24">
    <w:name w:val="font112"/>
    <w:basedOn w:val="5"/>
    <w:qFormat/>
    <w:uiPriority w:val="0"/>
    <w:rPr>
      <w:rFonts w:hint="eastAsia" w:ascii="仿宋_GB2312" w:eastAsia="仿宋_GB2312" w:cs="仿宋_GB2312"/>
      <w:color w:val="000000"/>
      <w:sz w:val="20"/>
      <w:szCs w:val="20"/>
      <w:u w:val="none"/>
    </w:rPr>
  </w:style>
  <w:style w:type="character" w:customStyle="1" w:styleId="25">
    <w:name w:val="font51"/>
    <w:basedOn w:val="5"/>
    <w:qFormat/>
    <w:uiPriority w:val="0"/>
    <w:rPr>
      <w:rFonts w:hint="default" w:ascii="Times New Roman" w:hAnsi="Times New Roman" w:cs="Times New Roman"/>
      <w:b/>
      <w:bCs/>
      <w:color w:val="000000"/>
      <w:sz w:val="20"/>
      <w:szCs w:val="20"/>
      <w:u w:val="none"/>
    </w:rPr>
  </w:style>
  <w:style w:type="character" w:customStyle="1" w:styleId="26">
    <w:name w:val="font21"/>
    <w:basedOn w:val="5"/>
    <w:qFormat/>
    <w:uiPriority w:val="0"/>
    <w:rPr>
      <w:rFonts w:hint="eastAsia" w:ascii="宋体" w:hAnsi="宋体" w:eastAsia="宋体" w:cs="宋体"/>
      <w:color w:val="000000"/>
      <w:sz w:val="20"/>
      <w:szCs w:val="20"/>
      <w:u w:val="none"/>
    </w:rPr>
  </w:style>
  <w:style w:type="character" w:customStyle="1" w:styleId="27">
    <w:name w:val="font111"/>
    <w:basedOn w:val="5"/>
    <w:qFormat/>
    <w:uiPriority w:val="0"/>
    <w:rPr>
      <w:rFonts w:hint="eastAsia" w:ascii="宋体" w:hAnsi="宋体" w:eastAsia="宋体" w:cs="宋体"/>
      <w:b/>
      <w:bCs/>
      <w:color w:val="000000"/>
      <w:sz w:val="20"/>
      <w:szCs w:val="20"/>
      <w:u w:val="none"/>
    </w:rPr>
  </w:style>
  <w:style w:type="character" w:customStyle="1" w:styleId="28">
    <w:name w:val="font122"/>
    <w:basedOn w:val="5"/>
    <w:qFormat/>
    <w:uiPriority w:val="0"/>
    <w:rPr>
      <w:rFonts w:hint="eastAsia" w:ascii="方正小标宋简体" w:hAnsi="方正小标宋简体" w:eastAsia="方正小标宋简体" w:cs="方正小标宋简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95</Words>
  <Characters>548</Characters>
  <Lines>4</Lines>
  <Paragraphs>1</Paragraphs>
  <TotalTime>4</TotalTime>
  <ScaleCrop>false</ScaleCrop>
  <LinksUpToDate>false</LinksUpToDate>
  <CharactersWithSpaces>642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2022-06-21T02:52:00Z</dcterms:created>
  <dc:creator>微软用户</dc:creator>
  <cp:lastModifiedBy>巨信</cp:lastModifiedBy>
  <cp:lastPrinted>2023-06-05T03:43:00Z</cp:lastPrinted>
  <dcterms:modified xsi:type="dcterms:W3CDTF">2023-11-21T09:40:03Z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E31164F1A81B43A29AE936B7DF3F58F8_13</vt:lpwstr>
  </property>
</Properties>
</file>