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distribute"/>
        <w:textAlignment w:val="auto"/>
        <w:outlineLvl w:val="9"/>
        <w:rPr>
          <w:rFonts w:hint="eastAsia" w:ascii="方正小标宋_GBK" w:eastAsia="方正小标宋_GBK"/>
          <w:color w:val="FF0000"/>
          <w:w w:val="50"/>
          <w:sz w:val="149"/>
          <w:szCs w:val="14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distribute"/>
        <w:textAlignment w:val="auto"/>
        <w:outlineLvl w:val="9"/>
        <w:rPr>
          <w:rFonts w:hint="eastAsia" w:ascii="方正小标宋_GBK" w:eastAsia="方正小标宋_GBK"/>
          <w:color w:val="FF0000"/>
          <w:w w:val="50"/>
          <w:sz w:val="149"/>
          <w:szCs w:val="149"/>
        </w:rPr>
      </w:pPr>
    </w:p>
    <w:p>
      <w:pPr>
        <w:spacing w:line="1560" w:lineRule="exact"/>
        <w:jc w:val="distribute"/>
        <w:rPr>
          <w:rFonts w:hint="eastAsia" w:ascii="方正大标宋简体" w:hAnsi="方正大标宋简体" w:eastAsia="方正大标宋简体" w:cs="方正大标宋简体"/>
          <w:color w:val="FF0000"/>
          <w:w w:val="60"/>
          <w:sz w:val="120"/>
          <w:szCs w:val="120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color w:val="FF0000"/>
          <w:w w:val="60"/>
          <w:sz w:val="120"/>
          <w:szCs w:val="120"/>
        </w:rPr>
        <w:t>邵阳市北塔区财政局</w:t>
      </w:r>
      <w:r>
        <w:rPr>
          <w:rFonts w:hint="eastAsia" w:ascii="方正大标宋简体" w:hAnsi="方正大标宋简体" w:eastAsia="方正大标宋简体" w:cs="方正大标宋简体"/>
          <w:color w:val="FF0000"/>
          <w:w w:val="60"/>
          <w:sz w:val="120"/>
          <w:szCs w:val="120"/>
          <w:lang w:eastAsia="zh-CN"/>
        </w:rPr>
        <w:t>文件</w: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1055370</wp:posOffset>
                </wp:positionV>
                <wp:extent cx="5667375" cy="0"/>
                <wp:effectExtent l="0" t="19050" r="9525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8530" y="5789930"/>
                          <a:ext cx="56673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pt;margin-top:83.1pt;height:0pt;width:446.25pt;z-index:251660288;mso-width-relative:page;mso-height-relative:page;" filled="f" stroked="t" coordsize="21600,21600" o:gfxdata="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h1QFc1wAAAAsBAAAPAAAAAAAA&#10;AAEAIAAAACIAAABkcnMvZG93bnJldi54bWxQSwECFAAUAAAACACHTuJAYtlk4NoBAABvAwAADgAA&#10;AAAAAAABACAAAAAmAQAAZHJzL2Uyb0RvYy54bWxQSwUGAAAAAAYABgBZAQAAcgUAAAAA&#10;">
                <v:fill on="f" focussize="0,0"/>
                <v:stroke weight="3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distribute"/>
        <w:textAlignment w:val="auto"/>
        <w:outlineLvl w:val="9"/>
        <w:rPr>
          <w:rFonts w:hint="eastAsia" w:ascii="方正小标宋_GBK" w:eastAsia="方正小标宋_GBK"/>
          <w:color w:val="FF0000"/>
          <w:w w:val="50"/>
          <w:sz w:val="149"/>
          <w:szCs w:val="14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FF0000"/>
          <w:w w:val="5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北财预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distribute"/>
        <w:textAlignment w:val="auto"/>
        <w:outlineLvl w:val="9"/>
        <w:rPr>
          <w:rFonts w:hint="eastAsia" w:ascii="方正小标宋_GBK" w:eastAsia="方正小标宋_GBK"/>
          <w:color w:val="FF0000"/>
          <w:w w:val="50"/>
          <w:sz w:val="149"/>
          <w:szCs w:val="14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邵阳市北塔区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安排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2020年第二批新增一般债务限额的通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北塔区教育局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根据湘财预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108号文件精神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,现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2020年第二批地方政府新增一般债务限额万元,列“110110101地方政府-般债券转贷收入”，并就有关事项通知如下: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妥善安排资金用途。新增一般债券资金要依法用于公益性资本支出，主要用于保就业、保基层民生、保市场主体方面，突出疫情防控和助企惠民纾困导向，优先安排脱贫攻坚、易地扶贫搬迁后续扶持、重大疫情防控救治体系建设、乡村振兴、污染防治等重点领域项目。具体项目安排时，要按照“资金跟项目走”的原则，优先安排重大项目，避免项目零散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禁将债券资金用于置换债务以及可完全商业化运作的产业项目，严禁用于经常性支出、直接平衡财力，严禁用于中央明令禁止的楼堂馆所和形象工程、政绩工程建设;严禁用于对个人发放工资福利、单位工作经费、发放养老金等社保支出、支付利息;严禁用于企业注册资本金、补贴及偿债、企业经营性项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二、抓紧制定使用方案。收到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额度后，要抓紧研究制定资金使用方案，明确具体项目，并及时将安排使用情况录入地方政府债务管理系统。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三、强化资金监管。本次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的一般债券纳入中央财政实行特殊转移支付机制资金（简称直达资金）管理，资金标识为“01001一般债券”，贯穿资金分配、拨付、使用等全过程。要高度重视，及时导入直达资金监控系统。严格按规定使用债券资金，强化资金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管，及时建立台账，加强对直达资金流向跟踪监控，确保债券资金数据真实、流向明确、账目可查。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附件:2020年第二批新增一般债券额度分配表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邵阳市北塔区财政局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2020年第二批新增一般债券额度分配表</w:t>
      </w:r>
    </w:p>
    <w:tbl>
      <w:tblPr>
        <w:tblStyle w:val="4"/>
        <w:tblpPr w:leftFromText="180" w:rightFromText="180" w:vertAnchor="text" w:horzAnchor="page" w:tblpX="2083" w:tblpY="511"/>
        <w:tblOverlap w:val="never"/>
        <w:tblW w:w="744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20"/>
        <w:gridCol w:w="37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预算金额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北塔区教育局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200.00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20B46"/>
    <w:rsid w:val="05670020"/>
    <w:rsid w:val="0A202E88"/>
    <w:rsid w:val="0DBA1159"/>
    <w:rsid w:val="1A7B4E23"/>
    <w:rsid w:val="26585D96"/>
    <w:rsid w:val="2CD94C78"/>
    <w:rsid w:val="364010B1"/>
    <w:rsid w:val="56F20B46"/>
    <w:rsid w:val="5CEF3B1C"/>
    <w:rsid w:val="6CEA71E0"/>
    <w:rsid w:val="7E8D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2020-12-04T02:48:00Z</dcterms:created>
  <dc:creator>巨信</dc:creator>
  <cp:lastModifiedBy>巨信</cp:lastModifiedBy>
  <dcterms:modified xsi:type="dcterms:W3CDTF">2020-12-06T05:33:29Z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