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outlineLvl w:val="9"/>
        <w:rPr>
          <w:rFonts w:hint="eastAsia" w:ascii="方正小标宋_GBK" w:eastAsia="方正小标宋_GBK"/>
          <w:color w:val="FF0000"/>
          <w:w w:val="50"/>
          <w:sz w:val="149"/>
          <w:szCs w:val="149"/>
        </w:rPr>
      </w:pP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outlineLvl w:val="9"/>
        <w:rPr>
          <w:rFonts w:hint="eastAsia" w:ascii="方正小标宋_GBK" w:eastAsia="方正小标宋_GBK"/>
          <w:color w:val="FF0000"/>
          <w:w w:val="50"/>
          <w:sz w:val="149"/>
          <w:szCs w:val="149"/>
        </w:rPr>
      </w:pPr>
    </w:p>
    <w:p>
      <w:pPr>
        <w:spacing w:line="1560" w:lineRule="exact"/>
        <w:jc w:val="distribute"/>
        <w:rPr>
          <w:rFonts w:hint="eastAsia" w:ascii="方正大标宋简体" w:hAnsi="方正大标宋简体" w:eastAsia="方正大标宋简体" w:cs="方正大标宋简体"/>
          <w:color w:val="FF0000"/>
          <w:w w:val="60"/>
          <w:sz w:val="120"/>
          <w:szCs w:val="120"/>
          <w:lang w:eastAsia="zh-CN"/>
        </w:rPr>
      </w:pPr>
      <w:r>
        <w:rPr>
          <w:rFonts w:hint="eastAsia" w:ascii="方正大标宋简体" w:hAnsi="方正大标宋简体" w:eastAsia="方正大标宋简体" w:cs="方正大标宋简体"/>
          <w:color w:val="FF0000"/>
          <w:w w:val="60"/>
          <w:sz w:val="120"/>
          <w:szCs w:val="120"/>
        </w:rPr>
        <w:t>邵阳市北塔区财政局</w:t>
      </w:r>
      <w:r>
        <w:rPr>
          <w:rFonts w:hint="eastAsia" w:ascii="方正大标宋简体" w:hAnsi="方正大标宋简体" w:eastAsia="方正大标宋简体" w:cs="方正大标宋简体"/>
          <w:color w:val="FF0000"/>
          <w:w w:val="60"/>
          <w:sz w:val="120"/>
          <w:szCs w:val="120"/>
          <w:lang w:eastAsia="zh-CN"/>
        </w:rPr>
        <w:t>文件</w:t>
      </w:r>
    </w:p>
    <w:p>
      <w:r>
        <w:rPr>
          <w:sz w:val="32"/>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1055370</wp:posOffset>
                </wp:positionV>
                <wp:extent cx="5667375" cy="0"/>
                <wp:effectExtent l="0" t="19050" r="9525" b="19050"/>
                <wp:wrapNone/>
                <wp:docPr id="6" name="直接连接符 6"/>
                <wp:cNvGraphicFramePr/>
                <a:graphic xmlns:a="http://schemas.openxmlformats.org/drawingml/2006/main">
                  <a:graphicData uri="http://schemas.microsoft.com/office/word/2010/wordprocessingShape">
                    <wps:wsp>
                      <wps:cNvCnPr/>
                      <wps:spPr>
                        <a:xfrm>
                          <a:off x="938530" y="5789930"/>
                          <a:ext cx="5667375" cy="0"/>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margin-left:-8pt;margin-top:83.1pt;height:0pt;width:446.25pt;z-index:251660288;mso-width-relative:page;mso-height-relative:page;" filled="f" stroked="t" coordsize="21600,21600" o:gfxdata="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RjSk2wAAAAsBAAAPAAAAAAAAAAEA&#10;IAAAACIAAABkcnMvZG93bnJldi54bWxQSwECFAAUAAAACACHTuJAoHC/VdMBAABmAwAADgAAAAAA&#10;AAABACAAAAAqAQAAZHJzL2Uyb0RvYy54bWxQSwUGAAAAAAYABgBZAQAAbw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outlineLvl w:val="9"/>
        <w:rPr>
          <w:rFonts w:hint="eastAsia" w:ascii="方正小标宋_GBK" w:eastAsia="方正小标宋_GBK"/>
          <w:color w:val="FF0000"/>
          <w:w w:val="50"/>
          <w:sz w:val="149"/>
          <w:szCs w:val="149"/>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color w:val="FF0000"/>
          <w:w w:val="50"/>
          <w:sz w:val="32"/>
          <w:szCs w:val="32"/>
        </w:rPr>
      </w:pPr>
      <w:r>
        <w:rPr>
          <w:rFonts w:hint="eastAsia" w:ascii="仿宋_GB2312" w:hAnsi="仿宋_GB2312" w:eastAsia="仿宋_GB2312" w:cs="仿宋_GB2312"/>
          <w:sz w:val="32"/>
          <w:szCs w:val="32"/>
          <w:lang w:val="en-US" w:eastAsia="zh-CN"/>
        </w:rPr>
        <w:t>北财预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15号</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outlineLvl w:val="9"/>
        <w:rPr>
          <w:rFonts w:hint="eastAsia" w:ascii="方正小标宋_GBK" w:eastAsia="方正小标宋_GBK"/>
          <w:color w:val="FF0000"/>
          <w:w w:val="50"/>
          <w:sz w:val="149"/>
          <w:szCs w:val="149"/>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邵阳市北塔区</w:t>
      </w:r>
      <w:r>
        <w:rPr>
          <w:rFonts w:hint="eastAsia" w:ascii="方正小标宋_GBK" w:hAnsi="方正小标宋_GBK" w:eastAsia="方正小标宋_GBK" w:cs="方正小标宋_GBK"/>
          <w:sz w:val="44"/>
          <w:szCs w:val="44"/>
        </w:rPr>
        <w:t>财政</w:t>
      </w:r>
      <w:r>
        <w:rPr>
          <w:rFonts w:hint="eastAsia" w:ascii="方正小标宋_GBK" w:hAnsi="方正小标宋_GBK" w:eastAsia="方正小标宋_GBK" w:cs="方正小标宋_GBK"/>
          <w:sz w:val="44"/>
          <w:szCs w:val="44"/>
          <w:lang w:eastAsia="zh-CN"/>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关于明确企业养老保险中央财政直达资金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有关事项的通知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北塔区人力资源和社会保障局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根据湘财社</w:t>
      </w:r>
      <w:r>
        <w:rPr>
          <w:rFonts w:hint="eastAsia" w:ascii="仿宋" w:hAnsi="仿宋" w:eastAsia="仿宋" w:cs="仿宋"/>
          <w:sz w:val="32"/>
          <w:szCs w:val="32"/>
          <w:lang w:val="en-US" w:eastAsia="zh-CN"/>
        </w:rPr>
        <w:t>2020-19号《</w:t>
      </w:r>
      <w:r>
        <w:rPr>
          <w:rFonts w:hint="eastAsia" w:ascii="仿宋" w:hAnsi="仿宋" w:eastAsia="仿宋" w:cs="仿宋"/>
          <w:sz w:val="32"/>
          <w:szCs w:val="32"/>
        </w:rPr>
        <w:t>湖南省财政厅关于明确企业养老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保险中央财政直达资金有关事项的通知</w:t>
      </w:r>
      <w:r>
        <w:rPr>
          <w:rFonts w:hint="eastAsia" w:ascii="仿宋" w:hAnsi="仿宋" w:eastAsia="仿宋" w:cs="仿宋"/>
          <w:sz w:val="32"/>
          <w:szCs w:val="32"/>
          <w:lang w:val="en-US" w:eastAsia="zh-CN"/>
        </w:rPr>
        <w:t>》文件精神</w:t>
      </w:r>
      <w:r>
        <w:rPr>
          <w:rFonts w:hint="eastAsia" w:ascii="仿宋" w:hAnsi="仿宋" w:eastAsia="仿宋" w:cs="仿宋"/>
          <w:sz w:val="32"/>
          <w:szCs w:val="32"/>
        </w:rPr>
        <w:t>，确保</w:t>
      </w:r>
      <w:r>
        <w:rPr>
          <w:rFonts w:hint="eastAsia" w:ascii="仿宋" w:hAnsi="仿宋" w:eastAsia="仿宋" w:cs="仿宋"/>
          <w:sz w:val="32"/>
          <w:szCs w:val="32"/>
          <w:lang w:eastAsia="zh-CN"/>
        </w:rPr>
        <w:t>该项</w:t>
      </w:r>
      <w:r>
        <w:rPr>
          <w:rFonts w:hint="eastAsia" w:ascii="仿宋" w:hAnsi="仿宋" w:eastAsia="仿宋" w:cs="仿宋"/>
          <w:sz w:val="32"/>
          <w:szCs w:val="32"/>
        </w:rPr>
        <w:t>资金直接惠企利民，现就2020年中央财政企业养老保险补助资金和中央调剂资金实行特殊转移支付管理有关事项通知如下: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一、明确通过湘财社指[2019]94号文件提前下达的2020年企业养老保险中央补助资金纳入直达资金管理，该项直达资金的标识为“02001参照直达资金”。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二、明确湘财社指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 w:hAnsi="仿宋" w:eastAsia="仿宋" w:cs="仿宋"/>
          <w:sz w:val="32"/>
          <w:szCs w:val="32"/>
        </w:rPr>
        <w:t>45号文件下达的2020年调整企业退休人员基本养老金中央财政补助资金纳入直达资金管理，该项直达资金的标识为“01002正常转移支付”。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三、明确企业职工基本恭诸保险中央调剂金(财社</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 w:hAnsi="仿宋" w:eastAsia="仿宋" w:cs="仿宋"/>
          <w:sz w:val="32"/>
          <w:szCs w:val="32"/>
        </w:rPr>
        <w:t>20号)的入重达资金管理，读项直达资金的标识为“02001参照直达资金”</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根据企业职工养老保险省级统筹改革的需要，中央财政补助资金和中央调利资金直接拨入省本级企业养老保险基金财政专户，统筹用于全省养老金发放。省级根据各地养老金发放规模将中央财政补助资金分配到各县市区，根据各地享受基本养老金待遇的人数将中央调剂资金分配到各市县区，并录入直达资金监控系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直达资金标识贯穿资金分配、拨付、使用等整个环节，且保持不变。请市、县在指标管理系统中及时登录、核对、补充完善有关指标和作好直达资金标识，导入直达资金监控系统，确保数据真实、账目清晰、流向明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附件:湖南省2020年企业养老保险中央财政直达资金管理</w:t>
      </w:r>
      <w:r>
        <w:rPr>
          <w:rFonts w:hint="eastAsia" w:ascii="仿宋" w:hAnsi="仿宋" w:eastAsia="仿宋" w:cs="仿宋"/>
          <w:sz w:val="32"/>
          <w:szCs w:val="32"/>
          <w:lang w:eastAsia="zh-CN"/>
        </w:rPr>
        <w:t>明细表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邵阳市北塔区</w:t>
      </w:r>
      <w:r>
        <w:rPr>
          <w:rFonts w:hint="eastAsia" w:ascii="仿宋" w:hAnsi="仿宋" w:eastAsia="仿宋" w:cs="仿宋"/>
          <w:sz w:val="32"/>
          <w:szCs w:val="32"/>
        </w:rPr>
        <w:t>财政</w:t>
      </w:r>
      <w:r>
        <w:rPr>
          <w:rFonts w:hint="eastAsia" w:ascii="仿宋" w:hAnsi="仿宋" w:eastAsia="仿宋" w:cs="仿宋"/>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right"/>
        <w:textAlignment w:val="auto"/>
        <w:rPr>
          <w:rFonts w:hint="eastAsia" w:ascii="仿宋" w:hAnsi="仿宋" w:eastAsia="仿宋" w:cs="仿宋"/>
          <w:sz w:val="32"/>
          <w:szCs w:val="32"/>
        </w:rPr>
        <w:sectPr>
          <w:footerReference r:id="rId3" w:type="default"/>
          <w:pgSz w:w="11906" w:h="16838"/>
          <w:pgMar w:top="1984" w:right="1701" w:bottom="1701" w:left="1701" w:header="851" w:footer="992" w:gutter="0"/>
          <w:cols w:space="425" w:num="1"/>
          <w:docGrid w:type="lines" w:linePitch="312" w:charSpace="0"/>
        </w:sectPr>
      </w:pPr>
      <w:r>
        <w:rPr>
          <w:rFonts w:hint="eastAsia" w:ascii="仿宋" w:hAnsi="仿宋" w:eastAsia="仿宋" w:cs="仿宋"/>
          <w:sz w:val="32"/>
          <w:szCs w:val="32"/>
        </w:rPr>
        <w:t>2020年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湖南省2020年企业养老保险中央财政直达资金管理</w:t>
      </w:r>
      <w:r>
        <w:rPr>
          <w:rFonts w:hint="eastAsia" w:ascii="方正小标宋简体" w:hAnsi="方正小标宋简体" w:eastAsia="方正小标宋简体" w:cs="方正小标宋简体"/>
          <w:sz w:val="44"/>
          <w:szCs w:val="44"/>
          <w:lang w:eastAsia="zh-CN"/>
        </w:rPr>
        <w:t>明细表</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pPr>
        <w:ind w:firstLine="6400" w:firstLineChars="20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单位：万元</w:t>
      </w:r>
    </w:p>
    <w:tbl>
      <w:tblPr>
        <w:tblStyle w:val="5"/>
        <w:tblW w:w="9525"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922"/>
        <w:gridCol w:w="1833"/>
        <w:gridCol w:w="2504"/>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935"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单位</w:t>
            </w:r>
          </w:p>
        </w:tc>
        <w:tc>
          <w:tcPr>
            <w:tcW w:w="1922"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提前下达参照直达资金</w:t>
            </w:r>
          </w:p>
        </w:tc>
        <w:tc>
          <w:tcPr>
            <w:tcW w:w="1833"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正常转移支付</w:t>
            </w:r>
          </w:p>
        </w:tc>
        <w:tc>
          <w:tcPr>
            <w:tcW w:w="2504"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中央调剂金参照直达资金</w:t>
            </w:r>
          </w:p>
        </w:tc>
        <w:tc>
          <w:tcPr>
            <w:tcW w:w="1331"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935"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北塔区人力资源和社会保障局</w:t>
            </w:r>
          </w:p>
        </w:tc>
        <w:tc>
          <w:tcPr>
            <w:tcW w:w="192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1965</w:t>
            </w:r>
          </w:p>
        </w:tc>
        <w:tc>
          <w:tcPr>
            <w:tcW w:w="1833"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194</w:t>
            </w:r>
          </w:p>
        </w:tc>
        <w:tc>
          <w:tcPr>
            <w:tcW w:w="2504" w:type="dxa"/>
            <w:vAlign w:val="center"/>
          </w:tcPr>
          <w:p>
            <w:pPr>
              <w:jc w:val="center"/>
              <w:rPr>
                <w:rFonts w:hint="default" w:ascii="宋体" w:hAnsi="宋体" w:eastAsia="宋体" w:cs="宋体"/>
                <w:sz w:val="24"/>
                <w:szCs w:val="24"/>
                <w:vertAlign w:val="baseline"/>
                <w:lang w:val="en-US" w:eastAsia="zh-CN"/>
              </w:rPr>
            </w:pPr>
            <w:bookmarkStart w:id="0" w:name="_GoBack"/>
            <w:bookmarkEnd w:id="0"/>
            <w:r>
              <w:rPr>
                <w:rFonts w:hint="eastAsia" w:ascii="宋体" w:hAnsi="宋体" w:eastAsia="宋体" w:cs="宋体"/>
                <w:sz w:val="24"/>
                <w:szCs w:val="24"/>
                <w:vertAlign w:val="baseline"/>
                <w:lang w:val="en-US" w:eastAsia="zh-CN"/>
              </w:rPr>
              <w:t>2122</w:t>
            </w:r>
          </w:p>
        </w:tc>
        <w:tc>
          <w:tcPr>
            <w:tcW w:w="1331"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4281</w:t>
            </w:r>
          </w:p>
        </w:tc>
      </w:tr>
    </w:tbl>
    <w:p>
      <w:pPr>
        <w:rPr>
          <w:rFonts w:hint="eastAsia" w:ascii="宋体" w:hAnsi="宋体" w:eastAsia="宋体" w:cs="宋体"/>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537DA"/>
    <w:rsid w:val="012A000A"/>
    <w:rsid w:val="0342333E"/>
    <w:rsid w:val="04271D87"/>
    <w:rsid w:val="04DE1240"/>
    <w:rsid w:val="054517E0"/>
    <w:rsid w:val="05630716"/>
    <w:rsid w:val="05D35756"/>
    <w:rsid w:val="062076F0"/>
    <w:rsid w:val="07D15095"/>
    <w:rsid w:val="07DA701C"/>
    <w:rsid w:val="0845516A"/>
    <w:rsid w:val="084B502E"/>
    <w:rsid w:val="08707549"/>
    <w:rsid w:val="094C575D"/>
    <w:rsid w:val="09532438"/>
    <w:rsid w:val="0A344A36"/>
    <w:rsid w:val="0D5961A6"/>
    <w:rsid w:val="0DA106D0"/>
    <w:rsid w:val="0EC21C2E"/>
    <w:rsid w:val="1050085F"/>
    <w:rsid w:val="109D32AA"/>
    <w:rsid w:val="11E72AF7"/>
    <w:rsid w:val="15227DF4"/>
    <w:rsid w:val="166918D2"/>
    <w:rsid w:val="18056A0B"/>
    <w:rsid w:val="1C453CA7"/>
    <w:rsid w:val="1D350F57"/>
    <w:rsid w:val="1E61489C"/>
    <w:rsid w:val="20A5145D"/>
    <w:rsid w:val="20B41B77"/>
    <w:rsid w:val="21A577C8"/>
    <w:rsid w:val="22282949"/>
    <w:rsid w:val="254A2CCD"/>
    <w:rsid w:val="26A86AD8"/>
    <w:rsid w:val="2767312C"/>
    <w:rsid w:val="28507D0D"/>
    <w:rsid w:val="28DB27FD"/>
    <w:rsid w:val="2E1538DD"/>
    <w:rsid w:val="2F2E08A3"/>
    <w:rsid w:val="30E407FF"/>
    <w:rsid w:val="3275420D"/>
    <w:rsid w:val="32C9702A"/>
    <w:rsid w:val="32D35DF1"/>
    <w:rsid w:val="33081D75"/>
    <w:rsid w:val="357B42AC"/>
    <w:rsid w:val="35C77141"/>
    <w:rsid w:val="368E0AC4"/>
    <w:rsid w:val="38F519B7"/>
    <w:rsid w:val="38FD7F54"/>
    <w:rsid w:val="3B452E25"/>
    <w:rsid w:val="3BB6226E"/>
    <w:rsid w:val="3D2E4419"/>
    <w:rsid w:val="3E575A3E"/>
    <w:rsid w:val="40BC0D9C"/>
    <w:rsid w:val="43CB1F0B"/>
    <w:rsid w:val="43E35650"/>
    <w:rsid w:val="46A67B2C"/>
    <w:rsid w:val="496177FD"/>
    <w:rsid w:val="49E23B89"/>
    <w:rsid w:val="4AA959BC"/>
    <w:rsid w:val="4E336480"/>
    <w:rsid w:val="4F170C5C"/>
    <w:rsid w:val="4F5D5FB5"/>
    <w:rsid w:val="50694B15"/>
    <w:rsid w:val="509C2638"/>
    <w:rsid w:val="50BB1B50"/>
    <w:rsid w:val="51FF6362"/>
    <w:rsid w:val="52B0007B"/>
    <w:rsid w:val="534663C4"/>
    <w:rsid w:val="53D47E8E"/>
    <w:rsid w:val="549C40E8"/>
    <w:rsid w:val="54AE3B13"/>
    <w:rsid w:val="55997D7E"/>
    <w:rsid w:val="55F03587"/>
    <w:rsid w:val="5AA7791A"/>
    <w:rsid w:val="5BEA74AF"/>
    <w:rsid w:val="5D8A5D01"/>
    <w:rsid w:val="61E91F63"/>
    <w:rsid w:val="62EE32F2"/>
    <w:rsid w:val="638B36E6"/>
    <w:rsid w:val="63A34097"/>
    <w:rsid w:val="640E548C"/>
    <w:rsid w:val="649835CB"/>
    <w:rsid w:val="677733B6"/>
    <w:rsid w:val="69541E12"/>
    <w:rsid w:val="69945A92"/>
    <w:rsid w:val="6C9B29C0"/>
    <w:rsid w:val="6DA5645D"/>
    <w:rsid w:val="6EFD796D"/>
    <w:rsid w:val="72893E81"/>
    <w:rsid w:val="734F30B4"/>
    <w:rsid w:val="75F00775"/>
    <w:rsid w:val="761628D0"/>
    <w:rsid w:val="7BF22094"/>
    <w:rsid w:val="7DB760EC"/>
    <w:rsid w:val="7DE4564C"/>
    <w:rsid w:val="7EB11F12"/>
    <w:rsid w:val="7F1F0EE9"/>
    <w:rsid w:val="7FCA1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巨信</cp:lastModifiedBy>
  <dcterms:modified xsi:type="dcterms:W3CDTF">2020-12-06T05:33:11Z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