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kern w:val="0"/>
          <w:sz w:val="44"/>
          <w:szCs w:val="44"/>
          <w:shd w:val="clear" w:fill="FFFFFF"/>
        </w:rPr>
        <w:t>第五部分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sz w:val="44"/>
          <w:szCs w:val="4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b/>
          <w:bCs/>
          <w:color w:val="444444"/>
          <w:kern w:val="0"/>
          <w:sz w:val="44"/>
          <w:szCs w:val="44"/>
          <w:shd w:val="clear" w:fill="FFFFFF"/>
        </w:rPr>
        <w:t>附件</w:t>
      </w: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720" w:hangingChars="200"/>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lang w:eastAsia="zh-CN"/>
        </w:rPr>
        <w:t>北塔区状元洲街道</w:t>
      </w:r>
      <w:r>
        <w:rPr>
          <w:rFonts w:hint="eastAsia" w:ascii="方正小标宋_GBK" w:hAnsi="方正小标宋_GBK" w:eastAsia="方正小标宋_GBK" w:cs="方正小标宋_GBK"/>
          <w:b w:val="0"/>
          <w:bCs/>
          <w:color w:val="auto"/>
          <w:sz w:val="36"/>
          <w:szCs w:val="36"/>
          <w:lang w:val="en-US" w:eastAsia="zh-CN"/>
        </w:rPr>
        <w:t>2022</w:t>
      </w:r>
      <w:r>
        <w:rPr>
          <w:rFonts w:hint="eastAsia" w:ascii="方正小标宋_GBK" w:hAnsi="方正小标宋_GBK" w:eastAsia="方正小标宋_GBK" w:cs="方正小标宋_GBK"/>
          <w:b w:val="0"/>
          <w:bCs/>
          <w:color w:val="auto"/>
          <w:sz w:val="36"/>
          <w:szCs w:val="36"/>
        </w:rPr>
        <w:t>年度部门整体支出</w:t>
      </w: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720" w:hangingChars="200"/>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绩效评价报告</w:t>
      </w:r>
    </w:p>
    <w:p>
      <w:pPr>
        <w:widowControl/>
        <w:numPr>
          <w:ilvl w:val="0"/>
          <w:numId w:val="1"/>
        </w:numPr>
        <w:shd w:val="clear" w:color="auto" w:fill="FFFFFF"/>
        <w:spacing w:after="168" w:line="500" w:lineRule="atLeast"/>
        <w:ind w:firstLine="480" w:firstLineChars="150"/>
        <w:jc w:val="left"/>
        <w:rPr>
          <w:rFonts w:hint="eastAsia" w:ascii="仿宋" w:hAnsi="仿宋" w:eastAsia="仿宋" w:cs="仿宋"/>
          <w:b/>
          <w:color w:val="auto"/>
          <w:kern w:val="0"/>
          <w:sz w:val="32"/>
          <w:szCs w:val="32"/>
          <w:shd w:val="clear" w:color="auto" w:fill="FFFFFF"/>
          <w:lang w:bidi="ar"/>
        </w:rPr>
      </w:pPr>
      <w:r>
        <w:rPr>
          <w:rFonts w:hint="eastAsia" w:ascii="仿宋" w:hAnsi="仿宋" w:eastAsia="仿宋" w:cs="仿宋"/>
          <w:color w:val="auto"/>
          <w:sz w:val="32"/>
          <w:szCs w:val="32"/>
          <w:lang w:eastAsia="zh-CN"/>
        </w:rPr>
        <w:t>　</w:t>
      </w:r>
      <w:r>
        <w:rPr>
          <w:rFonts w:hint="eastAsia" w:ascii="仿宋" w:hAnsi="仿宋" w:eastAsia="仿宋" w:cs="仿宋"/>
          <w:b/>
          <w:color w:val="auto"/>
          <w:kern w:val="0"/>
          <w:sz w:val="32"/>
          <w:szCs w:val="32"/>
          <w:shd w:val="clear" w:color="auto" w:fill="FFFFFF"/>
          <w:lang w:bidi="ar"/>
        </w:rPr>
        <w:t>部门基本概况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28"/>
          <w:szCs w:val="28"/>
          <w:shd w:val="clear" w:color="auto" w:fill="FFFFFF"/>
          <w:lang w:val="en-US" w:eastAsia="zh-CN" w:bidi="ar"/>
        </w:rPr>
        <w:t xml:space="preserve">  </w:t>
      </w: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w:t>
      </w:r>
      <w:r>
        <w:rPr>
          <w:rFonts w:hint="eastAsia" w:ascii="仿宋" w:hAnsi="仿宋" w:eastAsia="仿宋" w:cs="仿宋"/>
          <w:b/>
          <w:bCs/>
          <w:i w:val="0"/>
          <w:iCs w:val="0"/>
          <w:caps w:val="0"/>
          <w:color w:val="232323"/>
          <w:spacing w:val="0"/>
          <w:kern w:val="0"/>
          <w:sz w:val="32"/>
          <w:szCs w:val="32"/>
          <w:shd w:val="clear" w:color="auto" w:fill="FFFFFF"/>
          <w:lang w:val="en-US" w:eastAsia="zh-CN" w:bidi="ar"/>
        </w:rPr>
        <w:t xml:space="preserve">  （一）基本情况</w:t>
      </w:r>
    </w:p>
    <w:p>
      <w:pPr>
        <w:pStyle w:val="2"/>
        <w:rPr>
          <w:rFonts w:hint="eastAsia" w:ascii="仿宋" w:hAnsi="仿宋" w:eastAsia="仿宋" w:cs="仿宋"/>
          <w:sz w:val="32"/>
          <w:szCs w:val="32"/>
          <w:lang w:val="en-US" w:eastAsia="zh-CN"/>
        </w:rPr>
      </w:pPr>
      <w:r>
        <w:rPr>
          <w:rFonts w:hint="eastAsia" w:ascii="仿宋" w:hAnsi="仿宋" w:eastAsia="仿宋" w:cs="仿宋"/>
          <w:color w:val="444444"/>
          <w:kern w:val="0"/>
          <w:sz w:val="32"/>
          <w:szCs w:val="32"/>
          <w:shd w:val="clear" w:fill="FFFFFF"/>
          <w:lang w:val="en-US" w:eastAsia="zh-CN" w:bidi="ar-SA"/>
        </w:rPr>
        <w:t>邵阳市北塔区状元洲街道办事处是北塔区人民政府派出机构，为正科级，由区人民政府统一领导和管理。</w:t>
      </w:r>
    </w:p>
    <w:p>
      <w:pPr>
        <w:widowControl/>
        <w:numPr>
          <w:ilvl w:val="0"/>
          <w:numId w:val="0"/>
        </w:numPr>
        <w:shd w:val="clear" w:color="auto" w:fill="FFFFFF"/>
        <w:spacing w:after="168" w:line="500" w:lineRule="atLeast"/>
        <w:ind w:firstLine="964" w:firstLineChars="300"/>
        <w:jc w:val="left"/>
        <w:rPr>
          <w:rFonts w:hint="default" w:ascii="仿宋_GB2312" w:hAnsi="仿宋" w:eastAsia="仿宋_GB2312" w:cs="仿宋"/>
          <w:b/>
          <w:bCs w:val="0"/>
          <w:color w:val="auto"/>
          <w:kern w:val="0"/>
          <w:sz w:val="32"/>
          <w:szCs w:val="32"/>
          <w:shd w:val="clear" w:color="auto" w:fill="FFFFFF"/>
          <w:lang w:val="en-US" w:eastAsia="zh-CN" w:bidi="ar"/>
        </w:rPr>
      </w:pPr>
      <w:r>
        <w:rPr>
          <w:rFonts w:hint="eastAsia" w:ascii="仿宋_GB2312" w:hAnsi="仿宋" w:eastAsia="仿宋_GB2312" w:cs="仿宋"/>
          <w:b/>
          <w:bCs w:val="0"/>
          <w:color w:val="auto"/>
          <w:kern w:val="0"/>
          <w:sz w:val="32"/>
          <w:szCs w:val="32"/>
          <w:shd w:val="clear" w:color="auto" w:fill="FFFFFF"/>
          <w:lang w:val="en-US" w:eastAsia="zh-CN" w:bidi="ar"/>
        </w:rPr>
        <w:t>1、职责职能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（1）贯彻执行国家法律、法规、规章和市、区人民政府的决定、命令、指示，完成市、区人民政府部署的各项任务；</w:t>
      </w:r>
    </w:p>
    <w:p>
      <w:pPr>
        <w:bidi w:val="0"/>
        <w:rPr>
          <w:rFonts w:hint="eastAsia" w:ascii="仿宋" w:hAnsi="仿宋" w:eastAsia="仿宋" w:cs="仿宋"/>
          <w:sz w:val="32"/>
          <w:szCs w:val="32"/>
        </w:rPr>
      </w:pPr>
      <w:r>
        <w:rPr>
          <w:rFonts w:hint="eastAsia" w:ascii="仿宋" w:hAnsi="仿宋" w:eastAsia="仿宋" w:cs="仿宋"/>
          <w:sz w:val="32"/>
          <w:szCs w:val="32"/>
        </w:rPr>
        <w:t>　　（2）负责居民区、街巷的环境卫生和绿化美化的管理工作，组织辖区单位和居民开展爱国卫生运动，落实门前五包责任制；</w:t>
      </w:r>
    </w:p>
    <w:p>
      <w:pPr>
        <w:bidi w:val="0"/>
        <w:rPr>
          <w:rFonts w:hint="eastAsia" w:ascii="仿宋" w:hAnsi="仿宋" w:eastAsia="仿宋" w:cs="仿宋"/>
          <w:sz w:val="32"/>
          <w:szCs w:val="32"/>
        </w:rPr>
      </w:pPr>
      <w:r>
        <w:rPr>
          <w:rFonts w:hint="eastAsia" w:ascii="仿宋" w:hAnsi="仿宋" w:eastAsia="仿宋" w:cs="仿宋"/>
          <w:sz w:val="32"/>
          <w:szCs w:val="32"/>
        </w:rPr>
        <w:t>　　（3）组织和监督对违法建筑、违法占用道路、无照经营以及违反市容环境卫生、绿化管理规定行为的查处工作；</w:t>
      </w:r>
    </w:p>
    <w:p>
      <w:pPr>
        <w:bidi w:val="0"/>
        <w:rPr>
          <w:rFonts w:hint="eastAsia" w:ascii="仿宋" w:hAnsi="仿宋" w:eastAsia="仿宋" w:cs="仿宋"/>
          <w:sz w:val="32"/>
          <w:szCs w:val="32"/>
        </w:rPr>
      </w:pPr>
      <w:r>
        <w:rPr>
          <w:rFonts w:hint="eastAsia" w:ascii="仿宋" w:hAnsi="仿宋" w:eastAsia="仿宋" w:cs="仿宋"/>
          <w:sz w:val="32"/>
          <w:szCs w:val="32"/>
        </w:rPr>
        <w:t>　　（4）配合市、区环境保护部门监督环境污染项目的治理；</w:t>
      </w:r>
    </w:p>
    <w:p>
      <w:pPr>
        <w:bidi w:val="0"/>
        <w:rPr>
          <w:rFonts w:hint="eastAsia" w:ascii="仿宋" w:hAnsi="仿宋" w:eastAsia="仿宋" w:cs="仿宋"/>
          <w:sz w:val="32"/>
          <w:szCs w:val="32"/>
        </w:rPr>
      </w:pPr>
      <w:r>
        <w:rPr>
          <w:rFonts w:hint="eastAsia" w:ascii="仿宋" w:hAnsi="仿宋" w:eastAsia="仿宋" w:cs="仿宋"/>
          <w:sz w:val="32"/>
          <w:szCs w:val="32"/>
        </w:rPr>
        <w:t>　　（5）协同建设主管部门监督施工单位依法施工，防治施工扬尘、扰民；配合建设单位、施工单位做好居民工作，维护施工秩序；</w:t>
      </w:r>
    </w:p>
    <w:p>
      <w:pPr>
        <w:bidi w:val="0"/>
        <w:rPr>
          <w:rFonts w:hint="eastAsia" w:ascii="仿宋" w:hAnsi="仿宋" w:eastAsia="仿宋" w:cs="仿宋"/>
          <w:sz w:val="32"/>
          <w:szCs w:val="32"/>
        </w:rPr>
      </w:pPr>
      <w:r>
        <w:rPr>
          <w:rFonts w:hint="eastAsia" w:ascii="仿宋" w:hAnsi="仿宋" w:eastAsia="仿宋" w:cs="仿宋"/>
          <w:sz w:val="32"/>
          <w:szCs w:val="32"/>
        </w:rPr>
        <w:t>　　（6）对居住小区的物业管理进行指导和监督检查；</w:t>
      </w:r>
    </w:p>
    <w:p>
      <w:pPr>
        <w:bidi w:val="0"/>
        <w:rPr>
          <w:rFonts w:hint="eastAsia" w:ascii="仿宋" w:hAnsi="仿宋" w:eastAsia="仿宋" w:cs="仿宋"/>
          <w:sz w:val="32"/>
          <w:szCs w:val="32"/>
        </w:rPr>
      </w:pPr>
      <w:r>
        <w:rPr>
          <w:rFonts w:hint="eastAsia" w:ascii="仿宋" w:hAnsi="仿宋" w:eastAsia="仿宋" w:cs="仿宋"/>
          <w:sz w:val="32"/>
          <w:szCs w:val="32"/>
        </w:rPr>
        <w:t>　　（7）组织辖区单位和居民开展多种形式的社会主义精神文明创建活动；</w:t>
      </w:r>
    </w:p>
    <w:p>
      <w:pPr>
        <w:bidi w:val="0"/>
        <w:rPr>
          <w:rFonts w:hint="eastAsia" w:ascii="仿宋" w:hAnsi="仿宋" w:eastAsia="仿宋" w:cs="仿宋"/>
          <w:sz w:val="32"/>
          <w:szCs w:val="32"/>
        </w:rPr>
      </w:pPr>
      <w:r>
        <w:rPr>
          <w:rFonts w:hint="eastAsia" w:ascii="仿宋" w:hAnsi="仿宋" w:eastAsia="仿宋" w:cs="仿宋"/>
          <w:sz w:val="32"/>
          <w:szCs w:val="32"/>
        </w:rPr>
        <w:t>　　（8）制定本辖区社会治安综合治理规划，并组织落实；</w:t>
      </w:r>
    </w:p>
    <w:p>
      <w:pPr>
        <w:bidi w:val="0"/>
        <w:rPr>
          <w:rFonts w:hint="eastAsia" w:ascii="仿宋" w:hAnsi="仿宋" w:eastAsia="仿宋" w:cs="仿宋"/>
          <w:sz w:val="32"/>
          <w:szCs w:val="32"/>
        </w:rPr>
      </w:pPr>
      <w:r>
        <w:rPr>
          <w:rFonts w:hint="eastAsia" w:ascii="仿宋" w:hAnsi="仿宋" w:eastAsia="仿宋" w:cs="仿宋"/>
          <w:sz w:val="32"/>
          <w:szCs w:val="32"/>
        </w:rPr>
        <w:t>　　（9）负责本辖区外来人口的综合管理和地区交通安全工作；</w:t>
      </w:r>
    </w:p>
    <w:p>
      <w:pPr>
        <w:bidi w:val="0"/>
        <w:rPr>
          <w:rFonts w:hint="eastAsia" w:ascii="仿宋" w:hAnsi="仿宋" w:eastAsia="仿宋" w:cs="仿宋"/>
          <w:sz w:val="32"/>
          <w:szCs w:val="32"/>
        </w:rPr>
      </w:pPr>
      <w:r>
        <w:rPr>
          <w:rFonts w:hint="eastAsia" w:ascii="仿宋" w:hAnsi="仿宋" w:eastAsia="仿宋" w:cs="仿宋"/>
          <w:sz w:val="32"/>
          <w:szCs w:val="32"/>
        </w:rPr>
        <w:t>　　（10）负责统计、红十字会、信访、人民调解工作；协调有关部门做好劳动就业工作；</w:t>
      </w:r>
    </w:p>
    <w:p>
      <w:pPr>
        <w:bidi w:val="0"/>
        <w:rPr>
          <w:rFonts w:hint="eastAsia" w:ascii="仿宋" w:hAnsi="仿宋" w:eastAsia="仿宋" w:cs="仿宋"/>
          <w:sz w:val="32"/>
          <w:szCs w:val="32"/>
        </w:rPr>
      </w:pPr>
      <w:r>
        <w:rPr>
          <w:rFonts w:hint="eastAsia" w:ascii="仿宋" w:hAnsi="仿宋" w:eastAsia="仿宋" w:cs="仿宋"/>
          <w:sz w:val="32"/>
          <w:szCs w:val="32"/>
        </w:rPr>
        <w:t>　　（11）负责本辖区拥军优属、民兵预备役、征兵、人民防空等工作；</w:t>
      </w:r>
    </w:p>
    <w:p>
      <w:pPr>
        <w:bidi w:val="0"/>
        <w:rPr>
          <w:rFonts w:hint="eastAsia" w:ascii="仿宋" w:hAnsi="仿宋" w:eastAsia="仿宋" w:cs="仿宋"/>
          <w:sz w:val="32"/>
          <w:szCs w:val="32"/>
        </w:rPr>
      </w:pPr>
      <w:r>
        <w:rPr>
          <w:rFonts w:hint="eastAsia" w:ascii="仿宋" w:hAnsi="仿宋" w:eastAsia="仿宋" w:cs="仿宋"/>
          <w:sz w:val="32"/>
          <w:szCs w:val="32"/>
        </w:rPr>
        <w:t>　　（12）维护老年人、妇女、未成年人和残疾人的合法权益；</w:t>
      </w:r>
    </w:p>
    <w:p>
      <w:pPr>
        <w:bidi w:val="0"/>
        <w:rPr>
          <w:rFonts w:hint="eastAsia" w:ascii="仿宋" w:hAnsi="仿宋" w:eastAsia="仿宋" w:cs="仿宋"/>
          <w:sz w:val="32"/>
          <w:szCs w:val="32"/>
        </w:rPr>
      </w:pPr>
      <w:r>
        <w:rPr>
          <w:rFonts w:hint="eastAsia" w:ascii="仿宋" w:hAnsi="仿宋" w:eastAsia="仿宋" w:cs="仿宋"/>
          <w:sz w:val="32"/>
          <w:szCs w:val="32"/>
        </w:rPr>
        <w:t>　　（13）制定社区建设、社区服务发展规划，发展社区服务设施，合理配置社区服务资源；</w:t>
      </w:r>
    </w:p>
    <w:p>
      <w:pPr>
        <w:bidi w:val="0"/>
        <w:rPr>
          <w:rFonts w:hint="eastAsia" w:ascii="仿宋" w:hAnsi="仿宋" w:eastAsia="仿宋" w:cs="仿宋"/>
          <w:sz w:val="32"/>
          <w:szCs w:val="32"/>
        </w:rPr>
      </w:pPr>
      <w:r>
        <w:rPr>
          <w:rFonts w:hint="eastAsia" w:ascii="仿宋" w:hAnsi="仿宋" w:eastAsia="仿宋" w:cs="仿宋"/>
          <w:sz w:val="32"/>
          <w:szCs w:val="32"/>
        </w:rPr>
        <w:t>　　（14）组建社区服务志愿者队伍，动员本辖区单位和居民兴办社区服务事业；</w:t>
      </w:r>
    </w:p>
    <w:p>
      <w:pPr>
        <w:bidi w:val="0"/>
        <w:rPr>
          <w:rFonts w:hint="eastAsia" w:ascii="仿宋" w:hAnsi="仿宋" w:eastAsia="仿宋" w:cs="仿宋"/>
          <w:sz w:val="32"/>
          <w:szCs w:val="32"/>
        </w:rPr>
      </w:pPr>
      <w:r>
        <w:rPr>
          <w:rFonts w:hint="eastAsia" w:ascii="仿宋" w:hAnsi="仿宋" w:eastAsia="仿宋" w:cs="仿宋"/>
          <w:sz w:val="32"/>
          <w:szCs w:val="32"/>
        </w:rPr>
        <w:t>　　（15）兴办社会福利事业，做好社会救助、社会保险等社会保障工作；</w:t>
      </w:r>
    </w:p>
    <w:p>
      <w:pPr>
        <w:bidi w:val="0"/>
        <w:ind w:firstLine="640"/>
        <w:rPr>
          <w:rFonts w:hint="eastAsia" w:ascii="仿宋" w:hAnsi="仿宋" w:eastAsia="仿宋" w:cs="仿宋"/>
          <w:sz w:val="32"/>
          <w:szCs w:val="32"/>
        </w:rPr>
      </w:pPr>
      <w:r>
        <w:rPr>
          <w:rFonts w:hint="eastAsia" w:ascii="仿宋" w:hAnsi="仿宋" w:eastAsia="仿宋" w:cs="仿宋"/>
          <w:sz w:val="32"/>
          <w:szCs w:val="32"/>
        </w:rPr>
        <w:t>（16）指导社区居委会工作，及时向上级政府反映居民的意见和要求；</w:t>
      </w:r>
    </w:p>
    <w:p>
      <w:pPr>
        <w:bidi w:val="0"/>
        <w:ind w:firstLine="640"/>
        <w:rPr>
          <w:rFonts w:hint="eastAsia" w:ascii="仿宋" w:hAnsi="仿宋" w:eastAsia="仿宋" w:cs="仿宋"/>
          <w:sz w:val="32"/>
          <w:szCs w:val="32"/>
        </w:rPr>
      </w:pPr>
      <w:r>
        <w:rPr>
          <w:rFonts w:hint="eastAsia" w:ascii="仿宋" w:hAnsi="仿宋" w:eastAsia="仿宋" w:cs="仿宋"/>
          <w:sz w:val="32"/>
          <w:szCs w:val="32"/>
        </w:rPr>
        <w:t>（17）对居民进行法制和社会公德教育，组织居民参与社区环境整治等社会公益活动；</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　</w:t>
      </w:r>
      <w:r>
        <w:rPr>
          <w:rFonts w:hint="eastAsia" w:ascii="仿宋" w:hAnsi="仿宋" w:eastAsia="仿宋" w:cs="仿宋"/>
          <w:sz w:val="32"/>
          <w:szCs w:val="32"/>
        </w:rPr>
        <w:t>（18）组织开展群众文化、体育活动和社区教育、卫生工作，普及科学常识；</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　</w:t>
      </w:r>
      <w:r>
        <w:rPr>
          <w:rFonts w:hint="eastAsia" w:ascii="仿宋" w:hAnsi="仿宋" w:eastAsia="仿宋" w:cs="仿宋"/>
          <w:sz w:val="32"/>
          <w:szCs w:val="32"/>
        </w:rPr>
        <w:t>（19）承办区政府交办的其他事项。</w:t>
      </w:r>
    </w:p>
    <w:p>
      <w:pPr>
        <w:bidi w:val="0"/>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机构设置</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邵阳市北塔区状元洲街道办事处是北塔区人民政府派出机构，内设行政机构6个（即：党政综合办公室、基层党建办公室、经济发展办公室、城市管理办公室、</w:t>
      </w:r>
      <w:r>
        <w:rPr>
          <w:rFonts w:hint="eastAsia" w:ascii="仿宋" w:hAnsi="仿宋" w:eastAsia="仿宋" w:cs="仿宋"/>
          <w:sz w:val="32"/>
          <w:szCs w:val="32"/>
        </w:rPr>
        <w:t>公共服务办公室</w:t>
      </w:r>
      <w:r>
        <w:rPr>
          <w:rFonts w:hint="eastAsia" w:ascii="仿宋" w:hAnsi="仿宋" w:eastAsia="仿宋" w:cs="仿宋"/>
          <w:sz w:val="32"/>
          <w:szCs w:val="32"/>
          <w:lang w:eastAsia="zh-CN"/>
        </w:rPr>
        <w:t>、</w:t>
      </w:r>
      <w:r>
        <w:rPr>
          <w:rFonts w:hint="eastAsia" w:ascii="仿宋" w:hAnsi="仿宋" w:eastAsia="仿宋" w:cs="仿宋"/>
          <w:sz w:val="32"/>
          <w:szCs w:val="32"/>
        </w:rPr>
        <w:t>公共安全办公室</w:t>
      </w:r>
      <w:r>
        <w:rPr>
          <w:rFonts w:hint="eastAsia" w:ascii="仿宋" w:hAnsi="仿宋" w:eastAsia="仿宋" w:cs="仿宋"/>
          <w:sz w:val="32"/>
          <w:szCs w:val="32"/>
          <w:lang w:val="en-US" w:eastAsia="zh-CN"/>
        </w:rPr>
        <w:t>），事业服务中心机构3个（</w:t>
      </w:r>
      <w:r>
        <w:rPr>
          <w:rFonts w:hint="eastAsia" w:ascii="仿宋" w:hAnsi="仿宋" w:eastAsia="仿宋" w:cs="仿宋"/>
          <w:sz w:val="32"/>
          <w:szCs w:val="32"/>
        </w:rPr>
        <w:t>政务服务中心</w:t>
      </w:r>
      <w:r>
        <w:rPr>
          <w:rFonts w:hint="eastAsia" w:ascii="仿宋" w:hAnsi="仿宋" w:eastAsia="仿宋" w:cs="仿宋"/>
          <w:sz w:val="32"/>
          <w:szCs w:val="32"/>
          <w:lang w:eastAsia="zh-CN"/>
        </w:rPr>
        <w:t>、</w:t>
      </w:r>
      <w:r>
        <w:rPr>
          <w:rFonts w:hint="eastAsia" w:ascii="仿宋" w:hAnsi="仿宋" w:eastAsia="仿宋" w:cs="仿宋"/>
          <w:sz w:val="32"/>
          <w:szCs w:val="32"/>
        </w:rPr>
        <w:t>街道文化综合服务中心</w:t>
      </w:r>
      <w:r>
        <w:rPr>
          <w:rFonts w:hint="eastAsia" w:ascii="仿宋" w:hAnsi="仿宋" w:eastAsia="仿宋" w:cs="仿宋"/>
          <w:sz w:val="32"/>
          <w:szCs w:val="32"/>
          <w:lang w:eastAsia="zh-CN"/>
        </w:rPr>
        <w:t>、</w:t>
      </w:r>
      <w:r>
        <w:rPr>
          <w:rFonts w:hint="eastAsia" w:ascii="仿宋" w:hAnsi="仿宋" w:eastAsia="仿宋" w:cs="仿宋"/>
          <w:sz w:val="32"/>
          <w:szCs w:val="32"/>
        </w:rPr>
        <w:t>街道网格化综合服务中心</w:t>
      </w:r>
      <w:r>
        <w:rPr>
          <w:rFonts w:hint="eastAsia" w:ascii="仿宋" w:hAnsi="仿宋" w:eastAsia="仿宋" w:cs="仿宋"/>
          <w:sz w:val="32"/>
          <w:szCs w:val="32"/>
          <w:lang w:val="en-US" w:eastAsia="zh-CN"/>
        </w:rPr>
        <w:t>）、综合行政执法大队1个、纪工委，财务统一核算。</w:t>
      </w:r>
    </w:p>
    <w:p>
      <w:pPr>
        <w:bidi w:val="0"/>
        <w:ind w:firstLine="964" w:firstLineChars="3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3、人员情况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全办实有在职人员73人，其中行政编制23人、事业编制21人、工勤人员编制1人，</w:t>
      </w:r>
      <w:r>
        <w:rPr>
          <w:rFonts w:hint="eastAsia" w:ascii="仿宋" w:hAnsi="仿宋" w:eastAsia="仿宋" w:cs="仿宋"/>
          <w:i w:val="0"/>
          <w:iCs w:val="0"/>
          <w:caps w:val="0"/>
          <w:color w:val="232323"/>
          <w:spacing w:val="0"/>
          <w:kern w:val="0"/>
          <w:sz w:val="32"/>
          <w:szCs w:val="32"/>
          <w:shd w:val="clear" w:color="auto" w:fill="FFFFFF"/>
          <w:lang w:val="en-US" w:eastAsia="zh-CN" w:bidi="ar"/>
        </w:rPr>
        <w:t>离退休23人，遗属补助人数4人，小</w:t>
      </w:r>
      <w:r>
        <w:rPr>
          <w:rFonts w:hint="eastAsia" w:ascii="仿宋" w:hAnsi="仿宋" w:eastAsia="仿宋" w:cs="仿宋"/>
          <w:sz w:val="32"/>
          <w:szCs w:val="32"/>
          <w:lang w:val="en-US" w:eastAsia="zh-CN"/>
        </w:rPr>
        <w:t>车数1台，房屋面积3038.64平方米。</w:t>
      </w:r>
    </w:p>
    <w:p>
      <w:pPr>
        <w:bidi w:val="0"/>
        <w:ind w:firstLine="321" w:firstLineChars="100"/>
        <w:rPr>
          <w:rFonts w:hint="eastAsia" w:ascii="仿宋" w:hAnsi="仿宋" w:eastAsia="仿宋" w:cs="仿宋"/>
          <w:b/>
          <w:bCs/>
          <w:sz w:val="32"/>
          <w:szCs w:val="32"/>
          <w:lang w:val="en-US" w:eastAsia="zh-CN"/>
        </w:rPr>
      </w:pPr>
      <w:r>
        <w:rPr>
          <w:rFonts w:hint="eastAsia" w:ascii="宋体" w:hAnsi="宋体" w:eastAsia="宋体" w:cs="宋体"/>
          <w:b/>
          <w:bCs/>
          <w:i w:val="0"/>
          <w:iCs w:val="0"/>
          <w:caps w:val="0"/>
          <w:color w:val="FFFFFF" w:themeColor="background1"/>
          <w:spacing w:val="0"/>
          <w:kern w:val="0"/>
          <w:sz w:val="32"/>
          <w:szCs w:val="32"/>
          <w:highlight w:val="none"/>
          <w:shd w:val="clear" w:fill="FFFFFF"/>
          <w:lang w:val="en-US" w:eastAsia="zh-CN" w:bidi="ar"/>
          <w14:textFill>
            <w14:solidFill>
              <w14:schemeClr w14:val="bg1"/>
            </w14:solidFill>
          </w14:textFill>
        </w:rPr>
        <w:t>二</w:t>
      </w:r>
      <w:r>
        <w:rPr>
          <w:rFonts w:hint="eastAsia" w:ascii="仿宋" w:hAnsi="仿宋" w:eastAsia="仿宋" w:cs="仿宋"/>
          <w:b/>
          <w:bCs/>
          <w:sz w:val="32"/>
          <w:szCs w:val="32"/>
          <w:lang w:val="en-US" w:eastAsia="zh-CN"/>
        </w:rPr>
        <w:t>（一）预算执行情况</w:t>
      </w:r>
    </w:p>
    <w:p>
      <w:pPr>
        <w:bidi w:val="0"/>
        <w:ind w:firstLine="640" w:firstLineChars="200"/>
        <w:rPr>
          <w:rFonts w:hint="default" w:ascii="仿宋" w:hAnsi="仿宋" w:eastAsia="仿宋" w:cs="仿宋"/>
          <w:color w:val="444444"/>
          <w:kern w:val="0"/>
          <w:sz w:val="32"/>
          <w:szCs w:val="32"/>
          <w:shd w:val="clear" w:fill="FFFFFF"/>
          <w:lang w:val="en-US" w:eastAsia="zh-CN" w:bidi="ar-SA"/>
        </w:rPr>
      </w:pPr>
      <w:r>
        <w:rPr>
          <w:rFonts w:hint="eastAsia" w:ascii="仿宋" w:hAnsi="仿宋" w:eastAsia="仿宋" w:cs="仿宋"/>
          <w:color w:val="444444"/>
          <w:kern w:val="0"/>
          <w:sz w:val="32"/>
          <w:szCs w:val="32"/>
          <w:shd w:val="clear" w:fill="FFFFFF"/>
          <w:lang w:val="en-US" w:eastAsia="zh-CN" w:bidi="ar-SA"/>
        </w:rPr>
        <w:t>2022年我街道在党委的正确领导和街道人大的监督支持下，认真贯彻落实新预算法，严格预算执行，依法行政、依法理财，有力地促进了经济发展、结构调整、民生改善，财政运行总体平稳，很好地服务了全街道经济社会发展大局。</w:t>
      </w:r>
    </w:p>
    <w:p>
      <w:pPr>
        <w:numPr>
          <w:ilvl w:val="0"/>
          <w:numId w:val="2"/>
        </w:num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基本支出</w:t>
      </w:r>
    </w:p>
    <w:p>
      <w:pPr>
        <w:numPr>
          <w:ilvl w:val="0"/>
          <w:numId w:val="0"/>
        </w:numPr>
        <w:bidi w:val="0"/>
        <w:ind w:firstLine="640" w:firstLineChars="200"/>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基本支出系保障我</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机构正常运转、完成日常工作任务而发生的人员支出和公用支出，包括用于在职和离退休人员基本工资、津贴补贴等人员经费以及办公费、印刷费、水电费、办公设备购置等日常公用经费。202</w:t>
      </w:r>
      <w:r>
        <w:rPr>
          <w:rFonts w:hint="eastAsia" w:ascii="仿宋" w:hAnsi="仿宋" w:eastAsia="仿宋" w:cs="仿宋"/>
          <w:color w:val="444444"/>
          <w:kern w:val="0"/>
          <w:sz w:val="32"/>
          <w:szCs w:val="32"/>
          <w:shd w:val="clear" w:fill="FFFFFF"/>
          <w:lang w:val="en-US" w:eastAsia="zh-CN"/>
        </w:rPr>
        <w:t>2</w:t>
      </w:r>
      <w:r>
        <w:rPr>
          <w:rFonts w:hint="eastAsia" w:ascii="仿宋" w:hAnsi="仿宋" w:eastAsia="仿宋" w:cs="仿宋"/>
          <w:color w:val="444444"/>
          <w:kern w:val="0"/>
          <w:sz w:val="32"/>
          <w:szCs w:val="32"/>
          <w:shd w:val="clear" w:fill="FFFFFF"/>
        </w:rPr>
        <w:t>年我</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基本支</w:t>
      </w:r>
      <w:r>
        <w:rPr>
          <w:rFonts w:hint="eastAsia" w:ascii="仿宋" w:hAnsi="仿宋" w:eastAsia="仿宋" w:cs="仿宋"/>
          <w:color w:val="000000"/>
          <w:kern w:val="0"/>
          <w:sz w:val="32"/>
          <w:szCs w:val="32"/>
          <w:shd w:val="clear" w:color="auto" w:fill="FFFFFF"/>
          <w:lang w:val="en-US" w:eastAsia="zh-CN" w:bidi="ar"/>
        </w:rPr>
        <w:t>5081.68</w:t>
      </w:r>
      <w:r>
        <w:rPr>
          <w:rFonts w:hint="eastAsia" w:ascii="仿宋" w:hAnsi="仿宋" w:eastAsia="仿宋" w:cs="仿宋"/>
          <w:color w:val="444444"/>
          <w:kern w:val="0"/>
          <w:sz w:val="32"/>
          <w:szCs w:val="32"/>
          <w:shd w:val="clear" w:fill="FFFFFF"/>
        </w:rPr>
        <w:t>万元，比上年同口径</w:t>
      </w:r>
      <w:r>
        <w:rPr>
          <w:rFonts w:hint="eastAsia" w:ascii="仿宋" w:hAnsi="仿宋" w:eastAsia="仿宋" w:cs="仿宋"/>
          <w:color w:val="444444"/>
          <w:kern w:val="0"/>
          <w:sz w:val="32"/>
          <w:szCs w:val="32"/>
          <w:shd w:val="clear" w:fill="FFFFFF"/>
          <w:lang w:val="en-US" w:eastAsia="zh-CN"/>
        </w:rPr>
        <w:t>增加1585.94</w:t>
      </w:r>
      <w:r>
        <w:rPr>
          <w:rFonts w:hint="eastAsia" w:ascii="仿宋" w:hAnsi="仿宋" w:eastAsia="仿宋" w:cs="仿宋"/>
          <w:color w:val="444444"/>
          <w:kern w:val="0"/>
          <w:sz w:val="32"/>
          <w:szCs w:val="32"/>
          <w:shd w:val="clear" w:fill="FFFFFF"/>
        </w:rPr>
        <w:t>万元，</w:t>
      </w:r>
      <w:r>
        <w:rPr>
          <w:rFonts w:hint="eastAsia" w:ascii="仿宋" w:hAnsi="仿宋" w:eastAsia="仿宋" w:cs="仿宋"/>
          <w:color w:val="444444"/>
          <w:kern w:val="0"/>
          <w:sz w:val="32"/>
          <w:szCs w:val="32"/>
          <w:shd w:val="clear" w:fill="FFFFFF"/>
          <w:lang w:eastAsia="zh-CN"/>
        </w:rPr>
        <w:t>增加</w:t>
      </w:r>
      <w:r>
        <w:rPr>
          <w:rFonts w:hint="eastAsia" w:ascii="仿宋" w:hAnsi="仿宋" w:eastAsia="仿宋" w:cs="仿宋"/>
          <w:color w:val="444444"/>
          <w:kern w:val="0"/>
          <w:sz w:val="32"/>
          <w:szCs w:val="32"/>
          <w:shd w:val="clear" w:fill="FFFFFF"/>
          <w:lang w:val="en-US" w:eastAsia="zh-CN"/>
        </w:rPr>
        <w:t>45.4</w:t>
      </w:r>
      <w:r>
        <w:rPr>
          <w:rFonts w:hint="eastAsia" w:ascii="仿宋" w:hAnsi="仿宋" w:eastAsia="仿宋" w:cs="仿宋"/>
          <w:color w:val="444444"/>
          <w:kern w:val="0"/>
          <w:sz w:val="32"/>
          <w:szCs w:val="32"/>
          <w:shd w:val="clear" w:fill="FFFFFF"/>
        </w:rPr>
        <w:t>%。其中：</w:t>
      </w:r>
      <w:r>
        <w:rPr>
          <w:rFonts w:hint="eastAsia" w:ascii="仿宋" w:hAnsi="仿宋" w:eastAsia="仿宋" w:cs="仿宋"/>
          <w:color w:val="000000"/>
          <w:kern w:val="0"/>
          <w:sz w:val="32"/>
          <w:szCs w:val="32"/>
          <w:shd w:val="clear" w:color="auto" w:fill="FFFFFF"/>
          <w:lang w:val="en-US" w:eastAsia="zh-CN" w:bidi="ar"/>
        </w:rPr>
        <w:t>工资福利支出783.56万元，占基本支出的15.4%；商品服务支出4124.6万元，占基本支出的81.2%；对个人和家庭的补助145.52万元，占基本支出的2.86%；</w:t>
      </w:r>
      <w:r>
        <w:rPr>
          <w:rFonts w:hint="eastAsia" w:ascii="仿宋" w:hAnsi="仿宋" w:eastAsia="仿宋" w:cs="仿宋"/>
          <w:color w:val="444444"/>
          <w:kern w:val="0"/>
          <w:sz w:val="32"/>
          <w:szCs w:val="32"/>
          <w:shd w:val="clear" w:fill="FFFFFF"/>
        </w:rPr>
        <w:t>资本性支出</w:t>
      </w:r>
      <w:r>
        <w:rPr>
          <w:rFonts w:hint="eastAsia" w:ascii="仿宋" w:hAnsi="仿宋" w:eastAsia="仿宋" w:cs="仿宋"/>
          <w:color w:val="444444"/>
          <w:kern w:val="0"/>
          <w:sz w:val="32"/>
          <w:szCs w:val="32"/>
          <w:shd w:val="clear" w:fill="FFFFFF"/>
          <w:lang w:val="en-US" w:eastAsia="zh-CN"/>
        </w:rPr>
        <w:t>28</w:t>
      </w:r>
      <w:r>
        <w:rPr>
          <w:rFonts w:hint="eastAsia" w:ascii="仿宋" w:hAnsi="仿宋" w:eastAsia="仿宋" w:cs="仿宋"/>
          <w:color w:val="444444"/>
          <w:kern w:val="0"/>
          <w:sz w:val="32"/>
          <w:szCs w:val="32"/>
          <w:shd w:val="clear" w:fill="FFFFFF"/>
        </w:rPr>
        <w:t>万元</w:t>
      </w:r>
      <w:r>
        <w:rPr>
          <w:rFonts w:hint="eastAsia" w:ascii="仿宋" w:hAnsi="仿宋" w:eastAsia="仿宋" w:cs="仿宋"/>
          <w:color w:val="444444"/>
          <w:kern w:val="0"/>
          <w:sz w:val="32"/>
          <w:szCs w:val="32"/>
          <w:shd w:val="clear" w:fill="FFFFFF"/>
          <w:lang w:eastAsia="zh-CN"/>
        </w:rPr>
        <w:t>，</w:t>
      </w:r>
      <w:r>
        <w:rPr>
          <w:rFonts w:hint="eastAsia" w:ascii="仿宋" w:hAnsi="仿宋" w:eastAsia="仿宋" w:cs="仿宋"/>
          <w:color w:val="000000"/>
          <w:kern w:val="0"/>
          <w:sz w:val="32"/>
          <w:szCs w:val="32"/>
          <w:shd w:val="clear" w:color="auto" w:fill="FFFFFF"/>
          <w:lang w:val="en-US" w:eastAsia="zh-CN" w:bidi="ar"/>
        </w:rPr>
        <w:t>占基本支出的0.6%</w:t>
      </w:r>
      <w:r>
        <w:rPr>
          <w:rFonts w:hint="eastAsia" w:ascii="仿宋" w:hAnsi="仿宋" w:eastAsia="仿宋" w:cs="仿宋"/>
          <w:color w:val="444444"/>
          <w:kern w:val="0"/>
          <w:sz w:val="32"/>
          <w:szCs w:val="32"/>
          <w:shd w:val="clear" w:fill="FFFFFF"/>
        </w:rPr>
        <w:t>。</w:t>
      </w:r>
    </w:p>
    <w:p>
      <w:pPr>
        <w:pStyle w:val="9"/>
        <w:widowControl/>
        <w:spacing w:before="150" w:beforeAutospacing="0" w:after="150" w:afterAutospacing="0" w:line="240" w:lineRule="auto"/>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val="en-US" w:eastAsia="zh-CN" w:bidi="ar"/>
        </w:rPr>
        <w:t>2022年我街道“三公”经费决算支出数0万元。其中：因公出国(境)费0万元、公务接待费0万元、</w:t>
      </w:r>
      <w:r>
        <w:rPr>
          <w:rFonts w:hint="eastAsia" w:ascii="仿宋" w:hAnsi="仿宋" w:eastAsia="仿宋" w:cs="仿宋"/>
          <w:color w:val="444444"/>
          <w:kern w:val="0"/>
          <w:sz w:val="32"/>
          <w:szCs w:val="32"/>
          <w:shd w:val="clear" w:fill="FFFFFF"/>
        </w:rPr>
        <w:t>公务用车购置及运行维护费实际开支</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万元（公务用车购置费</w:t>
      </w:r>
      <w:r>
        <w:rPr>
          <w:rFonts w:hint="eastAsia" w:ascii="仿宋" w:hAnsi="仿宋" w:eastAsia="仿宋" w:cs="仿宋"/>
          <w:color w:val="444444"/>
          <w:kern w:val="0"/>
          <w:sz w:val="32"/>
          <w:szCs w:val="32"/>
          <w:shd w:val="clear" w:fill="FFFFFF"/>
          <w:lang w:val="en-US" w:eastAsia="zh-CN"/>
        </w:rPr>
        <w:t>0万元</w:t>
      </w:r>
      <w:r>
        <w:rPr>
          <w:rFonts w:hint="eastAsia" w:ascii="仿宋" w:hAnsi="仿宋" w:eastAsia="仿宋" w:cs="仿宋"/>
          <w:color w:val="444444"/>
          <w:kern w:val="0"/>
          <w:sz w:val="32"/>
          <w:szCs w:val="32"/>
          <w:shd w:val="clear" w:fill="FFFFFF"/>
        </w:rPr>
        <w:t>，公务用车运行维护费</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万元），公务用车保有量</w:t>
      </w:r>
      <w:r>
        <w:rPr>
          <w:rFonts w:hint="eastAsia" w:ascii="仿宋" w:hAnsi="仿宋" w:eastAsia="仿宋" w:cs="仿宋"/>
          <w:color w:val="444444"/>
          <w:kern w:val="0"/>
          <w:sz w:val="32"/>
          <w:szCs w:val="32"/>
          <w:shd w:val="clear" w:fill="FFFFFF"/>
          <w:lang w:val="en-US" w:eastAsia="zh-CN"/>
        </w:rPr>
        <w:t>1</w:t>
      </w:r>
      <w:r>
        <w:rPr>
          <w:rFonts w:hint="eastAsia" w:ascii="仿宋" w:hAnsi="仿宋" w:eastAsia="仿宋" w:cs="仿宋"/>
          <w:color w:val="444444"/>
          <w:kern w:val="0"/>
          <w:sz w:val="32"/>
          <w:szCs w:val="32"/>
          <w:shd w:val="clear" w:fill="FFFFFF"/>
        </w:rPr>
        <w:t>辆；</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color w:val="444444"/>
          <w:kern w:val="0"/>
          <w:sz w:val="32"/>
          <w:szCs w:val="32"/>
          <w:shd w:val="clear" w:fill="FFFFFF"/>
          <w:lang w:eastAsia="zh-CN"/>
        </w:rPr>
      </w:pPr>
      <w:r>
        <w:rPr>
          <w:rFonts w:hint="eastAsia" w:ascii="仿宋" w:hAnsi="仿宋" w:eastAsia="仿宋" w:cs="仿宋"/>
          <w:color w:val="444444"/>
          <w:kern w:val="0"/>
          <w:sz w:val="32"/>
          <w:szCs w:val="32"/>
          <w:shd w:val="clear" w:fill="FFFFFF"/>
        </w:rPr>
        <w:t>项目支出系我</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为完成</w:t>
      </w:r>
      <w:r>
        <w:rPr>
          <w:rFonts w:hint="eastAsia" w:ascii="仿宋" w:hAnsi="仿宋" w:eastAsia="仿宋" w:cs="仿宋"/>
          <w:color w:val="444444"/>
          <w:kern w:val="0"/>
          <w:sz w:val="32"/>
          <w:szCs w:val="32"/>
          <w:shd w:val="clear" w:fill="FFFFFF"/>
          <w:lang w:eastAsia="zh-CN"/>
        </w:rPr>
        <w:t>项目</w:t>
      </w:r>
      <w:r>
        <w:rPr>
          <w:rFonts w:hint="eastAsia" w:ascii="仿宋" w:hAnsi="仿宋" w:eastAsia="仿宋" w:cs="仿宋"/>
          <w:color w:val="444444"/>
          <w:kern w:val="0"/>
          <w:sz w:val="32"/>
          <w:szCs w:val="32"/>
          <w:shd w:val="clear" w:fill="FFFFFF"/>
        </w:rPr>
        <w:t>工作而发生的支出。202</w:t>
      </w:r>
      <w:r>
        <w:rPr>
          <w:rFonts w:hint="eastAsia" w:ascii="仿宋" w:hAnsi="仿宋" w:eastAsia="仿宋" w:cs="仿宋"/>
          <w:color w:val="444444"/>
          <w:kern w:val="0"/>
          <w:sz w:val="32"/>
          <w:szCs w:val="32"/>
          <w:shd w:val="clear" w:fill="FFFFFF"/>
          <w:lang w:val="en-US" w:eastAsia="zh-CN"/>
        </w:rPr>
        <w:t>2</w:t>
      </w:r>
      <w:r>
        <w:rPr>
          <w:rFonts w:hint="eastAsia" w:ascii="仿宋" w:hAnsi="仿宋" w:eastAsia="仿宋" w:cs="仿宋"/>
          <w:color w:val="444444"/>
          <w:kern w:val="0"/>
          <w:sz w:val="32"/>
          <w:szCs w:val="32"/>
          <w:shd w:val="clear" w:fill="FFFFFF"/>
        </w:rPr>
        <w:t>年我</w:t>
      </w:r>
      <w:r>
        <w:rPr>
          <w:rFonts w:hint="eastAsia" w:ascii="仿宋" w:hAnsi="仿宋" w:eastAsia="仿宋" w:cs="仿宋"/>
          <w:color w:val="444444"/>
          <w:kern w:val="0"/>
          <w:sz w:val="32"/>
          <w:szCs w:val="32"/>
          <w:shd w:val="clear" w:fill="FFFFFF"/>
          <w:lang w:eastAsia="zh-CN"/>
        </w:rPr>
        <w:t>街道</w:t>
      </w:r>
      <w:r>
        <w:rPr>
          <w:rFonts w:hint="eastAsia" w:ascii="仿宋" w:hAnsi="仿宋" w:eastAsia="仿宋" w:cs="仿宋"/>
          <w:color w:val="444444"/>
          <w:kern w:val="0"/>
          <w:sz w:val="32"/>
          <w:szCs w:val="32"/>
          <w:shd w:val="clear" w:fill="FFFFFF"/>
        </w:rPr>
        <w:t>组织实施专项项目经费当年实际收入</w:t>
      </w:r>
      <w:r>
        <w:rPr>
          <w:rFonts w:hint="eastAsia" w:ascii="仿宋" w:hAnsi="仿宋" w:eastAsia="仿宋" w:cs="仿宋"/>
          <w:color w:val="444444"/>
          <w:kern w:val="0"/>
          <w:sz w:val="32"/>
          <w:szCs w:val="32"/>
          <w:shd w:val="clear" w:fill="FFFFFF"/>
          <w:lang w:val="en-US" w:eastAsia="zh-CN"/>
        </w:rPr>
        <w:t>959.41</w:t>
      </w:r>
      <w:r>
        <w:rPr>
          <w:rFonts w:hint="eastAsia" w:ascii="仿宋" w:hAnsi="仿宋" w:eastAsia="仿宋" w:cs="仿宋"/>
          <w:color w:val="444444"/>
          <w:kern w:val="0"/>
          <w:sz w:val="32"/>
          <w:szCs w:val="32"/>
          <w:shd w:val="clear" w:fill="FFFFFF"/>
        </w:rPr>
        <w:t>万元，其中包括预算安排项目经费</w:t>
      </w:r>
      <w:r>
        <w:rPr>
          <w:rFonts w:hint="eastAsia" w:ascii="仿宋" w:hAnsi="仿宋" w:eastAsia="仿宋" w:cs="仿宋"/>
          <w:color w:val="444444"/>
          <w:kern w:val="0"/>
          <w:sz w:val="32"/>
          <w:szCs w:val="32"/>
          <w:shd w:val="clear" w:fill="FFFFFF"/>
          <w:lang w:val="en-US" w:eastAsia="zh-CN"/>
        </w:rPr>
        <w:t>959.41</w:t>
      </w:r>
      <w:r>
        <w:rPr>
          <w:rFonts w:hint="eastAsia" w:ascii="仿宋" w:hAnsi="仿宋" w:eastAsia="仿宋" w:cs="仿宋"/>
          <w:color w:val="444444"/>
          <w:kern w:val="0"/>
          <w:sz w:val="32"/>
          <w:szCs w:val="32"/>
          <w:shd w:val="clear" w:fill="FFFFFF"/>
        </w:rPr>
        <w:t>万元。项目支出</w:t>
      </w:r>
      <w:r>
        <w:rPr>
          <w:rFonts w:hint="eastAsia" w:ascii="仿宋" w:hAnsi="仿宋" w:eastAsia="仿宋" w:cs="仿宋"/>
          <w:color w:val="444444"/>
          <w:kern w:val="0"/>
          <w:sz w:val="32"/>
          <w:szCs w:val="32"/>
          <w:shd w:val="clear" w:fill="FFFFFF"/>
          <w:lang w:val="en-US" w:eastAsia="zh-CN"/>
        </w:rPr>
        <w:t>959.41</w:t>
      </w:r>
      <w:r>
        <w:rPr>
          <w:rFonts w:hint="eastAsia" w:ascii="仿宋" w:hAnsi="仿宋" w:eastAsia="仿宋" w:cs="仿宋"/>
          <w:color w:val="444444"/>
          <w:kern w:val="0"/>
          <w:sz w:val="32"/>
          <w:szCs w:val="32"/>
          <w:shd w:val="clear" w:fill="FFFFFF"/>
        </w:rPr>
        <w:t>万元（其中：商品和服务支出</w:t>
      </w:r>
      <w:r>
        <w:rPr>
          <w:rFonts w:hint="eastAsia" w:ascii="仿宋" w:hAnsi="仿宋" w:eastAsia="仿宋" w:cs="仿宋"/>
          <w:color w:val="444444"/>
          <w:kern w:val="0"/>
          <w:sz w:val="32"/>
          <w:szCs w:val="32"/>
          <w:shd w:val="clear" w:fill="FFFFFF"/>
          <w:lang w:val="en-US" w:eastAsia="zh-CN"/>
        </w:rPr>
        <w:t>564.79</w:t>
      </w:r>
      <w:r>
        <w:rPr>
          <w:rFonts w:hint="eastAsia" w:ascii="仿宋" w:hAnsi="仿宋" w:eastAsia="仿宋" w:cs="仿宋"/>
          <w:color w:val="444444"/>
          <w:kern w:val="0"/>
          <w:sz w:val="32"/>
          <w:szCs w:val="32"/>
          <w:shd w:val="clear" w:fill="FFFFFF"/>
        </w:rPr>
        <w:t>万元）</w:t>
      </w:r>
      <w:r>
        <w:rPr>
          <w:rFonts w:hint="eastAsia" w:ascii="仿宋" w:hAnsi="仿宋" w:eastAsia="仿宋" w:cs="仿宋"/>
          <w:color w:val="444444"/>
          <w:kern w:val="0"/>
          <w:sz w:val="32"/>
          <w:szCs w:val="32"/>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3" w:firstLineChars="200"/>
        <w:jc w:val="left"/>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964" w:firstLineChars="300"/>
        <w:jc w:val="both"/>
        <w:rPr>
          <w:rFonts w:hint="eastAsia" w:ascii="仿宋" w:hAnsi="仿宋" w:eastAsia="仿宋" w:cs="仿宋"/>
          <w:color w:val="444444"/>
          <w:kern w:val="0"/>
          <w:sz w:val="32"/>
          <w:szCs w:val="32"/>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仿宋" w:hAnsi="仿宋" w:eastAsia="仿宋" w:cs="仿宋"/>
          <w:color w:val="444444"/>
          <w:kern w:val="0"/>
          <w:sz w:val="32"/>
          <w:szCs w:val="32"/>
          <w:shd w:val="clear" w:fill="FFFFFF"/>
          <w:lang w:val="en-US" w:eastAsia="zh-CN"/>
        </w:rPr>
        <w:t>⑴2022年财政拨款预算执行数1947万元，预算安排数770.66万元，预算执行率为252.6%，当年预算有超支1176.34万元；⑵公用经费预算63.58万元，实际支出207.5万元，公用经费控制率为326.4%；、（3）“三公经费”年初预算安排4.8万元，实际支出0万元，“三公经费”控制率为0%。（4）政府采购年初预算0万元，实际政府采购金额0万元，政府采购执行率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964" w:firstLineChars="300"/>
        <w:jc w:val="both"/>
        <w:rPr>
          <w:rFonts w:hint="eastAsia" w:ascii="仿宋" w:hAnsi="仿宋" w:eastAsia="仿宋" w:cs="仿宋"/>
          <w:color w:val="444444"/>
          <w:kern w:val="0"/>
          <w:sz w:val="32"/>
          <w:szCs w:val="32"/>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w:t>
      </w:r>
      <w:r>
        <w:rPr>
          <w:rFonts w:hint="eastAsia" w:ascii="仿宋" w:hAnsi="仿宋" w:eastAsia="仿宋" w:cs="仿宋"/>
          <w:color w:val="444444"/>
          <w:kern w:val="0"/>
          <w:sz w:val="32"/>
          <w:szCs w:val="32"/>
          <w:shd w:val="clear" w:fill="FFFFFF"/>
          <w:lang w:val="en-US" w:eastAsia="zh-CN"/>
        </w:rPr>
        <w:t>街道及时在区政府统一平台公开了部门预算、决算和绩效目标、绩效自评报告、“三公经费”等信息，接受群众和社会监督。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964"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道资产管理由办公室负责，资产采购按程序实行报批采购，统一在政采云平台下单，采购后登记入账，录入资产信息系统，再派发到相关部门。一是我街道资产管理和使用坚持统一政策、统一领导、分级管理、责任到人、物尽其用的原则。二是运用资产信息管理系统加强资产管理。对固定资产分别按</w:t>
      </w:r>
      <w:r>
        <w:rPr>
          <w:rFonts w:hint="default" w:ascii="仿宋" w:hAnsi="仿宋" w:eastAsia="仿宋" w:cs="仿宋"/>
          <w:sz w:val="32"/>
          <w:szCs w:val="32"/>
          <w:lang w:val="en-US" w:eastAsia="zh-CN"/>
        </w:rPr>
        <w:t>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我单位资产总额为1247.38万元，主要由以下部分构成：流动资产1009.2万元,占资产总额的80.9%,主要为银行存款及其他应收款等;固定资238.18万元,占资产总额的19.1%，主要包括房屋、公务用车、办公设备等。单位为加强资产管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职责覆行和主要绩效情况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街道充分履行职责职能，严格执行各项管理制度，经济、社会等效益显著、社会公众满意度上升，较好地完成了全年工作目标。（一）经济建设稳步推进，全年任务顺利完成:一是经济指标稳步增长;二是重点项目踏实推进;（二）严守底线常抓安全，社会大局保持和谐:一是疫情防控慎终如始;二是综合治理成效凸显;三是安全生产常抓不懈;（三）以人为本以民为重，民生福祉持续增进:一是救助水平不断提升;二是用办好民生实事;三是社会保障逐渐完善;四是基层服务全面创新;（四）多措并举共同发力，城市管理再上台阶:一是生态环保持续优化;二是创文工作提质增效;三是社会环境全面优化;</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firstLineChars="300"/>
        <w:jc w:val="left"/>
        <w:rPr>
          <w:rFonts w:hint="eastAsia" w:ascii="仿宋" w:hAnsi="仿宋" w:eastAsia="仿宋" w:cs="仿宋"/>
          <w:kern w:val="0"/>
          <w:sz w:val="32"/>
          <w:szCs w:val="32"/>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1、绩</w:t>
      </w:r>
      <w:r>
        <w:rPr>
          <w:rFonts w:hint="eastAsia" w:ascii="仿宋" w:hAnsi="仿宋" w:eastAsia="仿宋" w:cs="仿宋"/>
          <w:kern w:val="0"/>
          <w:sz w:val="32"/>
          <w:szCs w:val="32"/>
          <w:lang w:val="en-US" w:eastAsia="zh-CN" w:bidi="ar"/>
        </w:rPr>
        <w:t>效评价代作机制有待进一步完善，由于在平时工作中未加强对绩效监控工作的重视，绩效监控工作容易滞后，未形成对绩效目标进行监控的习惯。</w:t>
      </w:r>
    </w:p>
    <w:p>
      <w:pPr>
        <w:pStyle w:val="2"/>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在编制部门年底预算时，虽然根据本单位职能职责的年度工作计划编制，但在2022年部门预算执行过程中，仍然存在以下问题，年初预算编制不合理或部分经费计划比较紧张，往往需要在年度中间进行预算追加和调整。</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960" w:firstLineChars="3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3、财务制度还不够完善，资产管理还不够严谨，业务素质有待提高。</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（一）进一步加强项目资金管理</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（二）进一步提高绩效管理水平</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r>
              <w:rPr>
                <w:rFonts w:hint="eastAsia" w:ascii="仿宋_GB2312" w:hAnsi="宋体" w:eastAsia="仿宋_GB2312" w:cs="宋体"/>
                <w:kern w:val="0"/>
                <w:sz w:val="20"/>
                <w:szCs w:val="20"/>
              </w:rPr>
              <w:t>过    程</w:t>
            </w:r>
          </w:p>
          <w:p>
            <w:pPr>
              <w:keepNext w:val="0"/>
              <w:keepLines w:val="0"/>
              <w:widowControl/>
              <w:suppressLineNumbers w:val="0"/>
              <w:spacing w:before="0" w:beforeAutospacing="0" w:after="0" w:afterAutospacing="0"/>
              <w:ind w:left="113" w:right="113"/>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highlight w:val="none"/>
              </w:rPr>
            </w:pPr>
          </w:p>
        </w:tc>
        <w:tc>
          <w:tcPr>
            <w:tcW w:w="3472" w:type="dxa"/>
            <w:noWrap w:val="0"/>
            <w:vAlign w:val="center"/>
          </w:tcPr>
          <w:p>
            <w:pPr>
              <w:keepNext w:val="0"/>
              <w:keepLines w:val="0"/>
              <w:suppressLineNumbers w:val="0"/>
              <w:autoSpaceDN w:val="0"/>
              <w:spacing w:before="0" w:beforeAutospacing="0" w:after="0" w:afterAutospacing="0"/>
              <w:ind w:left="0" w:right="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keepNext w:val="0"/>
              <w:keepLines w:val="0"/>
              <w:widowControl/>
              <w:suppressLineNumbers w:val="0"/>
              <w:spacing w:before="0" w:beforeAutospacing="0" w:after="0" w:afterAutospacing="0"/>
              <w:ind w:left="0" w:right="0"/>
              <w:jc w:val="both"/>
              <w:rPr>
                <w:rFonts w:hint="default"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keepNext w:val="0"/>
              <w:keepLines w:val="0"/>
              <w:widowControl/>
              <w:suppressLineNumbers w:val="0"/>
              <w:spacing w:before="0" w:beforeAutospacing="0" w:after="0" w:afterAutospacing="0"/>
              <w:ind w:left="0" w:right="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keepNext w:val="0"/>
              <w:keepLines w:val="0"/>
              <w:widowControl/>
              <w:suppressLineNumbers w:val="0"/>
              <w:spacing w:before="0" w:beforeAutospacing="0" w:after="0" w:afterAutospacing="0"/>
              <w:ind w:left="0" w:right="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keepNext w:val="0"/>
              <w:keepLines w:val="0"/>
              <w:widowControl/>
              <w:suppressLineNumbers w:val="0"/>
              <w:spacing w:before="0" w:beforeAutospacing="0" w:after="0" w:afterAutospacing="0"/>
              <w:ind w:left="0" w:right="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keepNext w:val="0"/>
              <w:keepLines w:val="0"/>
              <w:widowControl/>
              <w:suppressLineNumbers w:val="0"/>
              <w:spacing w:before="0" w:beforeAutospacing="0" w:after="0" w:afterAutospacing="0"/>
              <w:ind w:left="0" w:right="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keepNext w:val="0"/>
              <w:keepLines w:val="0"/>
              <w:widowControl/>
              <w:suppressLineNumbers w:val="0"/>
              <w:spacing w:before="0" w:beforeAutospacing="0" w:after="0" w:afterAutospacing="0"/>
              <w:ind w:left="0" w:right="0"/>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default"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default"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keepNext w:val="0"/>
              <w:keepLines w:val="0"/>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keepNext w:val="0"/>
              <w:keepLines w:val="0"/>
              <w:suppressLineNumbers w:val="0"/>
              <w:autoSpaceDN w:val="0"/>
              <w:spacing w:before="0" w:beforeAutospacing="0" w:after="0" w:afterAutospacing="0"/>
              <w:ind w:left="0" w:right="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keepNext w:val="0"/>
              <w:keepLines w:val="0"/>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keepNext w:val="0"/>
              <w:keepLines w:val="0"/>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keepNext w:val="0"/>
              <w:keepLines w:val="0"/>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keepNext w:val="0"/>
              <w:keepLines w:val="0"/>
              <w:suppressLineNumbers w:val="0"/>
              <w:autoSpaceDN w:val="0"/>
              <w:spacing w:before="0" w:beforeAutospacing="0" w:after="0" w:afterAutospacing="0"/>
              <w:ind w:left="0" w:right="0"/>
              <w:jc w:val="left"/>
              <w:textAlignment w:val="center"/>
              <w:rPr>
                <w:rFonts w:hint="eastAsia" w:ascii="仿宋_GB2312" w:hAnsi="宋体" w:eastAsia="仿宋_GB2312" w:cs="宋体"/>
                <w:kern w:val="0"/>
                <w:sz w:val="20"/>
                <w:szCs w:val="20"/>
              </w:rPr>
            </w:pPr>
          </w:p>
        </w:tc>
        <w:tc>
          <w:tcPr>
            <w:tcW w:w="61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p>
        </w:tc>
        <w:tc>
          <w:tcPr>
            <w:tcW w:w="6590"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p>
        </w:tc>
        <w:tc>
          <w:tcPr>
            <w:tcW w:w="6590" w:type="dxa"/>
            <w:gridSpan w:val="2"/>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0"/>
                <w:szCs w:val="20"/>
              </w:rPr>
            </w:pPr>
          </w:p>
        </w:tc>
        <w:tc>
          <w:tcPr>
            <w:tcW w:w="851"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0"/>
                <w:szCs w:val="20"/>
              </w:rPr>
            </w:pPr>
          </w:p>
        </w:tc>
        <w:tc>
          <w:tcPr>
            <w:tcW w:w="61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w:t>
            </w:r>
          </w:p>
        </w:tc>
      </w:tr>
    </w:tbl>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40" w:firstLineChars="200"/>
        <w:jc w:val="left"/>
        <w:rPr>
          <w:rFonts w:hint="eastAsia" w:ascii="仿宋" w:hAnsi="仿宋" w:eastAsia="仿宋" w:cs="仿宋"/>
          <w:kern w:val="0"/>
          <w:sz w:val="32"/>
          <w:szCs w:val="32"/>
          <w:lang w:val="en-US" w:eastAsia="zh-CN" w:bidi="ar"/>
        </w:rPr>
      </w:pPr>
    </w:p>
    <w:p/>
    <w:p>
      <w:pPr>
        <w:jc w:val="center"/>
        <w:rPr>
          <w:rFonts w:hint="eastAsia" w:ascii="仿宋" w:hAnsi="仿宋" w:eastAsia="仿宋" w:cs="仿宋"/>
          <w:sz w:val="36"/>
          <w:szCs w:val="36"/>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6"/>
          <w:szCs w:val="36"/>
          <w:lang w:eastAsia="zh-CN"/>
        </w:rPr>
        <w:t>北塔区状元洲街道办事处</w:t>
      </w:r>
      <w:bookmarkStart w:id="1" w:name="_GoBack"/>
      <w:bookmarkEnd w:id="1"/>
    </w:p>
    <w:p>
      <w:pPr>
        <w:pStyle w:val="2"/>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2023年9月26日</w:t>
      </w:r>
    </w:p>
    <w:sectPr>
      <w:footerReference r:id="rId3" w:type="default"/>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auto"/>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F282"/>
    <w:multiLevelType w:val="singleLevel"/>
    <w:tmpl w:val="D6BBF282"/>
    <w:lvl w:ilvl="0" w:tentative="0">
      <w:start w:val="2"/>
      <w:numFmt w:val="chineseCounting"/>
      <w:suff w:val="nothing"/>
      <w:lvlText w:val="（%1）"/>
      <w:lvlJc w:val="left"/>
      <w:rPr>
        <w:rFonts w:hint="eastAsia"/>
      </w:rPr>
    </w:lvl>
  </w:abstractNum>
  <w:abstractNum w:abstractNumId="1">
    <w:nsid w:val="D9FE0F69"/>
    <w:multiLevelType w:val="singleLevel"/>
    <w:tmpl w:val="D9FE0F69"/>
    <w:lvl w:ilvl="0" w:tentative="0">
      <w:start w:val="2"/>
      <w:numFmt w:val="chineseCounting"/>
      <w:suff w:val="nothing"/>
      <w:lvlText w:val="（%1）"/>
      <w:lvlJc w:val="left"/>
      <w:rPr>
        <w:rFonts w:hint="eastAsia"/>
      </w:rPr>
    </w:lvl>
  </w:abstractNum>
  <w:abstractNum w:abstractNumId="2">
    <w:nsid w:val="74EC5826"/>
    <w:multiLevelType w:val="singleLevel"/>
    <w:tmpl w:val="74EC582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D057F0A"/>
    <w:rsid w:val="001570FF"/>
    <w:rsid w:val="006E5A4C"/>
    <w:rsid w:val="00D914D1"/>
    <w:rsid w:val="01CA6C60"/>
    <w:rsid w:val="01FB77A7"/>
    <w:rsid w:val="02B87B4B"/>
    <w:rsid w:val="05DC4F78"/>
    <w:rsid w:val="06BC3816"/>
    <w:rsid w:val="07102EEB"/>
    <w:rsid w:val="091C3F2C"/>
    <w:rsid w:val="09CB4C9C"/>
    <w:rsid w:val="0B7C352C"/>
    <w:rsid w:val="0D057F0A"/>
    <w:rsid w:val="0D0E2832"/>
    <w:rsid w:val="0D456556"/>
    <w:rsid w:val="0D82059C"/>
    <w:rsid w:val="0EA36CC4"/>
    <w:rsid w:val="0FC64259"/>
    <w:rsid w:val="10F164AE"/>
    <w:rsid w:val="11867876"/>
    <w:rsid w:val="12064285"/>
    <w:rsid w:val="13424A29"/>
    <w:rsid w:val="15C71F15"/>
    <w:rsid w:val="15CA21A7"/>
    <w:rsid w:val="15F12672"/>
    <w:rsid w:val="16427EC4"/>
    <w:rsid w:val="16FD67BB"/>
    <w:rsid w:val="16FF2139"/>
    <w:rsid w:val="18A601C6"/>
    <w:rsid w:val="1A544BD2"/>
    <w:rsid w:val="1AA02767"/>
    <w:rsid w:val="1BCB5D44"/>
    <w:rsid w:val="1C0A5855"/>
    <w:rsid w:val="1CF30371"/>
    <w:rsid w:val="1D3A070C"/>
    <w:rsid w:val="1D6B54DC"/>
    <w:rsid w:val="1DA01B06"/>
    <w:rsid w:val="1E6814E8"/>
    <w:rsid w:val="1F920ED3"/>
    <w:rsid w:val="20426E4A"/>
    <w:rsid w:val="208056C9"/>
    <w:rsid w:val="220136C6"/>
    <w:rsid w:val="222067D9"/>
    <w:rsid w:val="23E85CBA"/>
    <w:rsid w:val="25017B07"/>
    <w:rsid w:val="270A60CB"/>
    <w:rsid w:val="283F552D"/>
    <w:rsid w:val="29BB7EA3"/>
    <w:rsid w:val="29F7107C"/>
    <w:rsid w:val="2CA86D10"/>
    <w:rsid w:val="2D5B02A3"/>
    <w:rsid w:val="2D695147"/>
    <w:rsid w:val="2DFC3C3D"/>
    <w:rsid w:val="2EB404C4"/>
    <w:rsid w:val="2EE64E29"/>
    <w:rsid w:val="2FD87AEF"/>
    <w:rsid w:val="30101498"/>
    <w:rsid w:val="336F381B"/>
    <w:rsid w:val="34E25723"/>
    <w:rsid w:val="34EFC05F"/>
    <w:rsid w:val="35753922"/>
    <w:rsid w:val="37EF242B"/>
    <w:rsid w:val="38F01AA4"/>
    <w:rsid w:val="38F05C83"/>
    <w:rsid w:val="39566B3A"/>
    <w:rsid w:val="397857EF"/>
    <w:rsid w:val="3A272412"/>
    <w:rsid w:val="3BD65FBB"/>
    <w:rsid w:val="3DAD6F49"/>
    <w:rsid w:val="3E3F6A67"/>
    <w:rsid w:val="3E594EE1"/>
    <w:rsid w:val="3FE1272C"/>
    <w:rsid w:val="40534573"/>
    <w:rsid w:val="42427BAA"/>
    <w:rsid w:val="43B83CA3"/>
    <w:rsid w:val="43F201F0"/>
    <w:rsid w:val="4438451B"/>
    <w:rsid w:val="44890CB7"/>
    <w:rsid w:val="453C5A60"/>
    <w:rsid w:val="45F335BE"/>
    <w:rsid w:val="46991404"/>
    <w:rsid w:val="480B3145"/>
    <w:rsid w:val="48C150C6"/>
    <w:rsid w:val="498E7E6E"/>
    <w:rsid w:val="49DF738F"/>
    <w:rsid w:val="4A681C71"/>
    <w:rsid w:val="4AB704AD"/>
    <w:rsid w:val="4AF06E7B"/>
    <w:rsid w:val="4B5912D9"/>
    <w:rsid w:val="4B995825"/>
    <w:rsid w:val="4E282160"/>
    <w:rsid w:val="4E32759F"/>
    <w:rsid w:val="4EAA55D5"/>
    <w:rsid w:val="50064CEA"/>
    <w:rsid w:val="504356C6"/>
    <w:rsid w:val="504B4B47"/>
    <w:rsid w:val="50F24754"/>
    <w:rsid w:val="538A08BA"/>
    <w:rsid w:val="54801323"/>
    <w:rsid w:val="555A031C"/>
    <w:rsid w:val="57F64CF7"/>
    <w:rsid w:val="584439C4"/>
    <w:rsid w:val="587C2AAE"/>
    <w:rsid w:val="58B248C6"/>
    <w:rsid w:val="58BF1E7D"/>
    <w:rsid w:val="595326D5"/>
    <w:rsid w:val="5BB82F26"/>
    <w:rsid w:val="5C9C24C6"/>
    <w:rsid w:val="5DC23CEF"/>
    <w:rsid w:val="5DEB5CF2"/>
    <w:rsid w:val="5E5351F5"/>
    <w:rsid w:val="5E670BB6"/>
    <w:rsid w:val="5F7F8019"/>
    <w:rsid w:val="60355F47"/>
    <w:rsid w:val="60A93452"/>
    <w:rsid w:val="61543EDC"/>
    <w:rsid w:val="61A759CB"/>
    <w:rsid w:val="62CE4D3F"/>
    <w:rsid w:val="62CF47EA"/>
    <w:rsid w:val="6301775D"/>
    <w:rsid w:val="63636368"/>
    <w:rsid w:val="64133E9F"/>
    <w:rsid w:val="642F52C5"/>
    <w:rsid w:val="6466345A"/>
    <w:rsid w:val="64EE3BEF"/>
    <w:rsid w:val="65553A68"/>
    <w:rsid w:val="65D57273"/>
    <w:rsid w:val="67617C30"/>
    <w:rsid w:val="69FCBAF5"/>
    <w:rsid w:val="6A0009B6"/>
    <w:rsid w:val="6B7D5664"/>
    <w:rsid w:val="6BE96A71"/>
    <w:rsid w:val="6BFC7F9A"/>
    <w:rsid w:val="6CD2153C"/>
    <w:rsid w:val="6CD83BB9"/>
    <w:rsid w:val="6E076609"/>
    <w:rsid w:val="6EBD2BFB"/>
    <w:rsid w:val="6F875530"/>
    <w:rsid w:val="6F8C3E48"/>
    <w:rsid w:val="6F9D7381"/>
    <w:rsid w:val="6FFF0FA8"/>
    <w:rsid w:val="6FFF96C7"/>
    <w:rsid w:val="70476A76"/>
    <w:rsid w:val="714E542A"/>
    <w:rsid w:val="7279214C"/>
    <w:rsid w:val="73F57742"/>
    <w:rsid w:val="74B62F96"/>
    <w:rsid w:val="75016BAF"/>
    <w:rsid w:val="75FF4D58"/>
    <w:rsid w:val="76350135"/>
    <w:rsid w:val="76A3D975"/>
    <w:rsid w:val="76F965E3"/>
    <w:rsid w:val="76FC7CFA"/>
    <w:rsid w:val="77EC2388"/>
    <w:rsid w:val="78460A98"/>
    <w:rsid w:val="796B1AA5"/>
    <w:rsid w:val="7AB82A3F"/>
    <w:rsid w:val="7B197FFF"/>
    <w:rsid w:val="7D93C52C"/>
    <w:rsid w:val="7DA20347"/>
    <w:rsid w:val="7DBB7924"/>
    <w:rsid w:val="7E8A493B"/>
    <w:rsid w:val="7EF04988"/>
    <w:rsid w:val="7EFB18D6"/>
    <w:rsid w:val="7EFDC48D"/>
    <w:rsid w:val="7FDA7D5D"/>
    <w:rsid w:val="9AFB11E0"/>
    <w:rsid w:val="AEF7D8E9"/>
    <w:rsid w:val="C3F3B603"/>
    <w:rsid w:val="DC4770FF"/>
    <w:rsid w:val="F42D3060"/>
    <w:rsid w:val="F4BFF639"/>
    <w:rsid w:val="F5F3DFED"/>
    <w:rsid w:val="F7BFE610"/>
    <w:rsid w:val="FD7B51A9"/>
    <w:rsid w:val="FF39C6A4"/>
    <w:rsid w:val="FF3CDF35"/>
    <w:rsid w:val="FFF873B8"/>
    <w:rsid w:val="FFFB0471"/>
    <w:rsid w:val="FFFF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黑领结">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fillRect/>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5675</Words>
  <Characters>5984</Characters>
  <Lines>0</Lines>
  <Paragraphs>0</Paragraphs>
  <TotalTime>0</TotalTime>
  <ScaleCrop>false</ScaleCrop>
  <LinksUpToDate>false</LinksUpToDate>
  <CharactersWithSpaces>6176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2020-07-08T12:36:00Z</dcterms:created>
  <dc:creator>没有可能</dc:creator>
  <cp:lastModifiedBy>Administrator</cp:lastModifiedBy>
  <cp:lastPrinted>2021-09-15T09:57:00Z</cp:lastPrinted>
  <dcterms:modified xsi:type="dcterms:W3CDTF">2023-12-13T09:39:57Z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999CB1A6A4AF4C0B9094B18B607E6802</vt:lpwstr>
  </property>
</Properties>
</file>