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880" w:hangingChars="200"/>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北塔区状元洲街道</w:t>
      </w:r>
      <w:r>
        <w:rPr>
          <w:rFonts w:hint="eastAsia" w:ascii="方正小标宋_GBK" w:hAnsi="方正小标宋_GBK" w:eastAsia="方正小标宋_GBK" w:cs="方正小标宋_GBK"/>
          <w:b w:val="0"/>
          <w:bCs/>
          <w:color w:val="auto"/>
          <w:sz w:val="44"/>
          <w:szCs w:val="44"/>
          <w:lang w:val="en-US" w:eastAsia="zh-CN"/>
        </w:rPr>
        <w:t>2020</w:t>
      </w:r>
      <w:r>
        <w:rPr>
          <w:rFonts w:hint="eastAsia" w:ascii="方正小标宋_GBK" w:hAnsi="方正小标宋_GBK" w:eastAsia="方正小标宋_GBK" w:cs="方正小标宋_GBK"/>
          <w:b w:val="0"/>
          <w:bCs/>
          <w:color w:val="auto"/>
          <w:sz w:val="44"/>
          <w:szCs w:val="44"/>
        </w:rPr>
        <w:t>年度部门整体支出</w:t>
      </w:r>
    </w:p>
    <w:p>
      <w:pPr>
        <w:pStyle w:val="4"/>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880" w:hangingChars="200"/>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绩效评价报告</w:t>
      </w:r>
    </w:p>
    <w:p>
      <w:pPr>
        <w:bidi w:val="0"/>
        <w:ind w:firstLine="640" w:firstLineChars="200"/>
        <w:rPr>
          <w:color w:val="auto"/>
        </w:rPr>
      </w:pPr>
      <w:r>
        <w:rPr>
          <w:rFonts w:hint="eastAsia" w:ascii="仿宋" w:hAnsi="仿宋" w:eastAsia="仿宋" w:cs="仿宋"/>
          <w:sz w:val="32"/>
          <w:szCs w:val="32"/>
          <w:lang w:val="en-US" w:eastAsia="zh-CN"/>
        </w:rPr>
        <w:t>根据《邵阳市北塔区财政办关于开展2020年度项目和整体支出绩效自评的通知》（邵北财绩〔2021〕3号）文件精神，我街道对2020年度部门整体支出绩效进行了全面综合评价。整体支出分基本支出和项目支出两部分，基本支出的评价重点是厉行节约保运转，降低行政运行成本；项目支出的评价重点是规范管理促发展，专款专用，提高资金使用效益。现将绩效评价情况及评价结果报告如下:</w:t>
      </w:r>
    </w:p>
    <w:p>
      <w:pPr>
        <w:widowControl/>
        <w:numPr>
          <w:ilvl w:val="0"/>
          <w:numId w:val="1"/>
        </w:numPr>
        <w:shd w:val="clear" w:color="auto" w:fill="FFFFFF"/>
        <w:spacing w:after="168" w:line="500" w:lineRule="atLeast"/>
        <w:ind w:firstLine="480" w:firstLineChars="150"/>
        <w:jc w:val="left"/>
        <w:rPr>
          <w:rFonts w:hint="eastAsia" w:ascii="仿宋" w:hAnsi="仿宋" w:eastAsia="仿宋" w:cs="仿宋"/>
          <w:b/>
          <w:color w:val="auto"/>
          <w:kern w:val="0"/>
          <w:sz w:val="32"/>
          <w:szCs w:val="32"/>
          <w:shd w:val="clear" w:color="auto" w:fill="FFFFFF"/>
          <w:lang w:bidi="ar"/>
        </w:rPr>
      </w:pPr>
      <w:r>
        <w:rPr>
          <w:rFonts w:hint="eastAsia" w:ascii="仿宋" w:hAnsi="仿宋" w:eastAsia="仿宋" w:cs="仿宋"/>
          <w:color w:val="auto"/>
          <w:sz w:val="32"/>
          <w:szCs w:val="32"/>
          <w:lang w:eastAsia="zh-CN"/>
        </w:rPr>
        <w:t>　</w:t>
      </w:r>
      <w:r>
        <w:rPr>
          <w:rFonts w:hint="eastAsia" w:ascii="仿宋" w:hAnsi="仿宋" w:eastAsia="仿宋" w:cs="仿宋"/>
          <w:b/>
          <w:color w:val="auto"/>
          <w:kern w:val="0"/>
          <w:sz w:val="32"/>
          <w:szCs w:val="32"/>
          <w:shd w:val="clear" w:color="auto" w:fill="FFFFFF"/>
          <w:lang w:bidi="ar"/>
        </w:rPr>
        <w:t>部门基本概况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28"/>
          <w:szCs w:val="28"/>
          <w:shd w:val="clear" w:color="auto" w:fill="FFFFFF"/>
          <w:lang w:val="en-US" w:eastAsia="zh-CN" w:bidi="ar"/>
        </w:rPr>
        <w:t xml:space="preserve">  </w:t>
      </w:r>
      <w:r>
        <w:rPr>
          <w:rFonts w:hint="eastAsia" w:ascii="仿宋" w:hAnsi="仿宋" w:eastAsia="仿宋" w:cs="仿宋"/>
          <w:i w:val="0"/>
          <w:iCs w:val="0"/>
          <w:caps w:val="0"/>
          <w:color w:val="232323"/>
          <w:spacing w:val="0"/>
          <w:kern w:val="0"/>
          <w:sz w:val="32"/>
          <w:szCs w:val="32"/>
          <w:shd w:val="clear" w:color="auto" w:fill="FFFFFF"/>
          <w:lang w:val="en-US" w:eastAsia="zh-CN" w:bidi="ar"/>
        </w:rPr>
        <w:t xml:space="preserve"> </w:t>
      </w:r>
      <w:r>
        <w:rPr>
          <w:rFonts w:hint="eastAsia" w:ascii="仿宋" w:hAnsi="仿宋" w:eastAsia="仿宋" w:cs="仿宋"/>
          <w:b/>
          <w:bCs/>
          <w:i w:val="0"/>
          <w:iCs w:val="0"/>
          <w:caps w:val="0"/>
          <w:color w:val="232323"/>
          <w:spacing w:val="0"/>
          <w:kern w:val="0"/>
          <w:sz w:val="32"/>
          <w:szCs w:val="32"/>
          <w:shd w:val="clear" w:color="auto" w:fill="FFFFFF"/>
          <w:lang w:val="en-US" w:eastAsia="zh-CN" w:bidi="ar"/>
        </w:rPr>
        <w:t xml:space="preserve">  （一）基本情况</w:t>
      </w:r>
    </w:p>
    <w:p>
      <w:pPr>
        <w:widowControl/>
        <w:numPr>
          <w:ilvl w:val="0"/>
          <w:numId w:val="0"/>
        </w:numPr>
        <w:shd w:val="clear" w:color="auto" w:fill="FFFFFF"/>
        <w:spacing w:after="168" w:line="500" w:lineRule="atLeast"/>
        <w:ind w:firstLine="964" w:firstLineChars="300"/>
        <w:jc w:val="left"/>
        <w:rPr>
          <w:rFonts w:hint="default" w:ascii="仿宋_GB2312" w:hAnsi="仿宋" w:eastAsia="仿宋_GB2312" w:cs="仿宋"/>
          <w:b/>
          <w:bCs w:val="0"/>
          <w:color w:val="auto"/>
          <w:kern w:val="0"/>
          <w:sz w:val="32"/>
          <w:szCs w:val="32"/>
          <w:shd w:val="clear" w:color="auto" w:fill="FFFFFF"/>
          <w:lang w:val="en-US" w:eastAsia="zh-CN" w:bidi="ar"/>
        </w:rPr>
      </w:pPr>
      <w:r>
        <w:rPr>
          <w:rFonts w:hint="eastAsia" w:ascii="仿宋_GB2312" w:hAnsi="仿宋" w:eastAsia="仿宋_GB2312" w:cs="仿宋"/>
          <w:b/>
          <w:bCs w:val="0"/>
          <w:color w:val="auto"/>
          <w:kern w:val="0"/>
          <w:sz w:val="32"/>
          <w:szCs w:val="32"/>
          <w:shd w:val="clear" w:color="auto" w:fill="FFFFFF"/>
          <w:lang w:val="en-US" w:eastAsia="zh-CN" w:bidi="ar"/>
        </w:rPr>
        <w:t>1、职责职能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（1）贯彻执行国家法律、法规、规章和市、区人民政府的决定、命令、指示，完成市、区人民政府部署的各项任务； </w:t>
      </w:r>
    </w:p>
    <w:p>
      <w:pPr>
        <w:bidi w:val="0"/>
        <w:rPr>
          <w:rFonts w:hint="eastAsia" w:ascii="仿宋" w:hAnsi="仿宋" w:eastAsia="仿宋" w:cs="仿宋"/>
          <w:sz w:val="32"/>
          <w:szCs w:val="32"/>
        </w:rPr>
      </w:pPr>
      <w:r>
        <w:rPr>
          <w:rFonts w:hint="eastAsia" w:ascii="仿宋" w:hAnsi="仿宋" w:eastAsia="仿宋" w:cs="仿宋"/>
          <w:sz w:val="32"/>
          <w:szCs w:val="32"/>
        </w:rPr>
        <w:t>　　（2）负责居民区、街巷的环境卫生和绿化美化的管理工作，组织辖区单位和居民开展爱国卫生运动，落实门前五包责任制； </w:t>
      </w:r>
    </w:p>
    <w:p>
      <w:pPr>
        <w:bidi w:val="0"/>
        <w:rPr>
          <w:rFonts w:hint="eastAsia" w:ascii="仿宋" w:hAnsi="仿宋" w:eastAsia="仿宋" w:cs="仿宋"/>
          <w:sz w:val="32"/>
          <w:szCs w:val="32"/>
        </w:rPr>
      </w:pPr>
      <w:r>
        <w:rPr>
          <w:rFonts w:hint="eastAsia" w:ascii="仿宋" w:hAnsi="仿宋" w:eastAsia="仿宋" w:cs="仿宋"/>
          <w:sz w:val="32"/>
          <w:szCs w:val="32"/>
        </w:rPr>
        <w:t>　　（3）组织和监督对违法建筑、违法占用道路、无照经营以及违反市容环境卫生、绿化管理规定行为的查处工作； </w:t>
      </w:r>
    </w:p>
    <w:p>
      <w:pPr>
        <w:bidi w:val="0"/>
        <w:rPr>
          <w:rFonts w:hint="eastAsia" w:ascii="仿宋" w:hAnsi="仿宋" w:eastAsia="仿宋" w:cs="仿宋"/>
          <w:sz w:val="32"/>
          <w:szCs w:val="32"/>
        </w:rPr>
      </w:pPr>
      <w:r>
        <w:rPr>
          <w:rFonts w:hint="eastAsia" w:ascii="仿宋" w:hAnsi="仿宋" w:eastAsia="仿宋" w:cs="仿宋"/>
          <w:sz w:val="32"/>
          <w:szCs w:val="32"/>
        </w:rPr>
        <w:t>　　（4）配合市、区环境保护部门监督环境污染项目的治理； </w:t>
      </w:r>
    </w:p>
    <w:p>
      <w:pPr>
        <w:bidi w:val="0"/>
        <w:rPr>
          <w:rFonts w:hint="eastAsia" w:ascii="仿宋" w:hAnsi="仿宋" w:eastAsia="仿宋" w:cs="仿宋"/>
          <w:sz w:val="32"/>
          <w:szCs w:val="32"/>
        </w:rPr>
      </w:pPr>
      <w:r>
        <w:rPr>
          <w:rFonts w:hint="eastAsia" w:ascii="仿宋" w:hAnsi="仿宋" w:eastAsia="仿宋" w:cs="仿宋"/>
          <w:sz w:val="32"/>
          <w:szCs w:val="32"/>
        </w:rPr>
        <w:t>　　（5）协同建设主管部门监督施工单位依法施工，防治施工扬尘、扰民；配合建设单位、施工单位做好居民工作，维护施工秩序； </w:t>
      </w:r>
    </w:p>
    <w:p>
      <w:pPr>
        <w:bidi w:val="0"/>
        <w:rPr>
          <w:rFonts w:hint="eastAsia" w:ascii="仿宋" w:hAnsi="仿宋" w:eastAsia="仿宋" w:cs="仿宋"/>
          <w:sz w:val="32"/>
          <w:szCs w:val="32"/>
        </w:rPr>
      </w:pPr>
      <w:r>
        <w:rPr>
          <w:rFonts w:hint="eastAsia" w:ascii="仿宋" w:hAnsi="仿宋" w:eastAsia="仿宋" w:cs="仿宋"/>
          <w:sz w:val="32"/>
          <w:szCs w:val="32"/>
        </w:rPr>
        <w:t>　　（6）对居住小区的物业管理进行指导和监督检查； </w:t>
      </w:r>
    </w:p>
    <w:p>
      <w:pPr>
        <w:bidi w:val="0"/>
        <w:rPr>
          <w:rFonts w:hint="eastAsia" w:ascii="仿宋" w:hAnsi="仿宋" w:eastAsia="仿宋" w:cs="仿宋"/>
          <w:sz w:val="32"/>
          <w:szCs w:val="32"/>
        </w:rPr>
      </w:pPr>
      <w:r>
        <w:rPr>
          <w:rFonts w:hint="eastAsia" w:ascii="仿宋" w:hAnsi="仿宋" w:eastAsia="仿宋" w:cs="仿宋"/>
          <w:sz w:val="32"/>
          <w:szCs w:val="32"/>
        </w:rPr>
        <w:t>　　（7）组织辖区单位和居民开展多种形式的社会主义精神文明创建活动； </w:t>
      </w:r>
    </w:p>
    <w:p>
      <w:pPr>
        <w:bidi w:val="0"/>
        <w:rPr>
          <w:rFonts w:hint="eastAsia" w:ascii="仿宋" w:hAnsi="仿宋" w:eastAsia="仿宋" w:cs="仿宋"/>
          <w:sz w:val="32"/>
          <w:szCs w:val="32"/>
        </w:rPr>
      </w:pPr>
      <w:r>
        <w:rPr>
          <w:rFonts w:hint="eastAsia" w:ascii="仿宋" w:hAnsi="仿宋" w:eastAsia="仿宋" w:cs="仿宋"/>
          <w:sz w:val="32"/>
          <w:szCs w:val="32"/>
        </w:rPr>
        <w:t>　　（8）制定本辖区社会治安综合治理规划，并组织落实； </w:t>
      </w:r>
    </w:p>
    <w:p>
      <w:pPr>
        <w:bidi w:val="0"/>
        <w:rPr>
          <w:rFonts w:hint="eastAsia" w:ascii="仿宋" w:hAnsi="仿宋" w:eastAsia="仿宋" w:cs="仿宋"/>
          <w:sz w:val="32"/>
          <w:szCs w:val="32"/>
        </w:rPr>
      </w:pPr>
      <w:r>
        <w:rPr>
          <w:rFonts w:hint="eastAsia" w:ascii="仿宋" w:hAnsi="仿宋" w:eastAsia="仿宋" w:cs="仿宋"/>
          <w:sz w:val="32"/>
          <w:szCs w:val="32"/>
        </w:rPr>
        <w:t>　　（9）负责本辖区外来人口的综合管理和地区交通安全工作； </w:t>
      </w:r>
    </w:p>
    <w:p>
      <w:pPr>
        <w:bidi w:val="0"/>
        <w:rPr>
          <w:rFonts w:hint="eastAsia" w:ascii="仿宋" w:hAnsi="仿宋" w:eastAsia="仿宋" w:cs="仿宋"/>
          <w:sz w:val="32"/>
          <w:szCs w:val="32"/>
        </w:rPr>
      </w:pPr>
      <w:r>
        <w:rPr>
          <w:rFonts w:hint="eastAsia" w:ascii="仿宋" w:hAnsi="仿宋" w:eastAsia="仿宋" w:cs="仿宋"/>
          <w:sz w:val="32"/>
          <w:szCs w:val="32"/>
        </w:rPr>
        <w:t>　　（10）负责统计、红十字会、信访、人民调解工作；协调有关部门做好劳动就业工作； </w:t>
      </w:r>
    </w:p>
    <w:p>
      <w:pPr>
        <w:bidi w:val="0"/>
        <w:rPr>
          <w:rFonts w:hint="eastAsia" w:ascii="仿宋" w:hAnsi="仿宋" w:eastAsia="仿宋" w:cs="仿宋"/>
          <w:sz w:val="32"/>
          <w:szCs w:val="32"/>
        </w:rPr>
      </w:pPr>
      <w:r>
        <w:rPr>
          <w:rFonts w:hint="eastAsia" w:ascii="仿宋" w:hAnsi="仿宋" w:eastAsia="仿宋" w:cs="仿宋"/>
          <w:sz w:val="32"/>
          <w:szCs w:val="32"/>
        </w:rPr>
        <w:t>　　（11）负责本辖区拥军优属、民兵预备役、征兵、人民防空等工作； </w:t>
      </w:r>
    </w:p>
    <w:p>
      <w:pPr>
        <w:bidi w:val="0"/>
        <w:rPr>
          <w:rFonts w:hint="eastAsia" w:ascii="仿宋" w:hAnsi="仿宋" w:eastAsia="仿宋" w:cs="仿宋"/>
          <w:sz w:val="32"/>
          <w:szCs w:val="32"/>
        </w:rPr>
      </w:pPr>
      <w:r>
        <w:rPr>
          <w:rFonts w:hint="eastAsia" w:ascii="仿宋" w:hAnsi="仿宋" w:eastAsia="仿宋" w:cs="仿宋"/>
          <w:sz w:val="32"/>
          <w:szCs w:val="32"/>
        </w:rPr>
        <w:t>　　（12）维护老年人、妇女、未成年人和残疾人的合法权益； </w:t>
      </w:r>
    </w:p>
    <w:p>
      <w:pPr>
        <w:bidi w:val="0"/>
        <w:rPr>
          <w:rFonts w:hint="eastAsia" w:ascii="仿宋" w:hAnsi="仿宋" w:eastAsia="仿宋" w:cs="仿宋"/>
          <w:sz w:val="32"/>
          <w:szCs w:val="32"/>
        </w:rPr>
      </w:pPr>
      <w:r>
        <w:rPr>
          <w:rFonts w:hint="eastAsia" w:ascii="仿宋" w:hAnsi="仿宋" w:eastAsia="仿宋" w:cs="仿宋"/>
          <w:sz w:val="32"/>
          <w:szCs w:val="32"/>
        </w:rPr>
        <w:t>　　（13）制定社区建设、社区服务发展规划，发展社区服务设施，合理配置社区服务资源； </w:t>
      </w:r>
    </w:p>
    <w:p>
      <w:pPr>
        <w:bidi w:val="0"/>
        <w:rPr>
          <w:rFonts w:hint="eastAsia" w:ascii="仿宋" w:hAnsi="仿宋" w:eastAsia="仿宋" w:cs="仿宋"/>
          <w:sz w:val="32"/>
          <w:szCs w:val="32"/>
        </w:rPr>
      </w:pPr>
      <w:r>
        <w:rPr>
          <w:rFonts w:hint="eastAsia" w:ascii="仿宋" w:hAnsi="仿宋" w:eastAsia="仿宋" w:cs="仿宋"/>
          <w:sz w:val="32"/>
          <w:szCs w:val="32"/>
        </w:rPr>
        <w:t>　　（14）组建社区服务志愿者队伍，动员本辖区单位和居民兴办社区服务事业； </w:t>
      </w:r>
    </w:p>
    <w:p>
      <w:pPr>
        <w:bidi w:val="0"/>
        <w:rPr>
          <w:rFonts w:hint="eastAsia" w:ascii="仿宋" w:hAnsi="仿宋" w:eastAsia="仿宋" w:cs="仿宋"/>
          <w:sz w:val="32"/>
          <w:szCs w:val="32"/>
        </w:rPr>
      </w:pPr>
      <w:r>
        <w:rPr>
          <w:rFonts w:hint="eastAsia" w:ascii="仿宋" w:hAnsi="仿宋" w:eastAsia="仿宋" w:cs="仿宋"/>
          <w:sz w:val="32"/>
          <w:szCs w:val="32"/>
        </w:rPr>
        <w:t>　　（15）兴办社会福利事业，做好社会救助、社会保险等社会保障工作；</w:t>
      </w:r>
    </w:p>
    <w:p>
      <w:pPr>
        <w:bidi w:val="0"/>
        <w:ind w:firstLine="640"/>
        <w:rPr>
          <w:rFonts w:hint="eastAsia" w:ascii="仿宋" w:hAnsi="仿宋" w:eastAsia="仿宋" w:cs="仿宋"/>
          <w:sz w:val="32"/>
          <w:szCs w:val="32"/>
        </w:rPr>
      </w:pPr>
      <w:r>
        <w:rPr>
          <w:rFonts w:hint="eastAsia" w:ascii="仿宋" w:hAnsi="仿宋" w:eastAsia="仿宋" w:cs="仿宋"/>
          <w:sz w:val="32"/>
          <w:szCs w:val="32"/>
        </w:rPr>
        <w:t>（16）指导社区居委会工作，及时向上级政府反映居民的意见和要求；</w:t>
      </w:r>
    </w:p>
    <w:p>
      <w:pPr>
        <w:bidi w:val="0"/>
        <w:ind w:firstLine="640"/>
        <w:rPr>
          <w:rFonts w:hint="eastAsia" w:ascii="仿宋" w:hAnsi="仿宋" w:eastAsia="仿宋" w:cs="仿宋"/>
          <w:sz w:val="32"/>
          <w:szCs w:val="32"/>
        </w:rPr>
      </w:pPr>
      <w:r>
        <w:rPr>
          <w:rFonts w:hint="eastAsia" w:ascii="仿宋" w:hAnsi="仿宋" w:eastAsia="仿宋" w:cs="仿宋"/>
          <w:sz w:val="32"/>
          <w:szCs w:val="32"/>
        </w:rPr>
        <w:t>（17）对居民进行法制和社会公德教育，组织居民参与社区环境整治等社会公益活动；</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　</w:t>
      </w:r>
      <w:r>
        <w:rPr>
          <w:rFonts w:hint="eastAsia" w:ascii="仿宋" w:hAnsi="仿宋" w:eastAsia="仿宋" w:cs="仿宋"/>
          <w:sz w:val="32"/>
          <w:szCs w:val="32"/>
        </w:rPr>
        <w:t>（18）组织开展群众文化、体育活动和社区教育、卫生工作，普及科学常识；</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　</w:t>
      </w:r>
      <w:r>
        <w:rPr>
          <w:rFonts w:hint="eastAsia" w:ascii="仿宋" w:hAnsi="仿宋" w:eastAsia="仿宋" w:cs="仿宋"/>
          <w:sz w:val="32"/>
          <w:szCs w:val="32"/>
        </w:rPr>
        <w:t>（19）承办区政府交办的其他事项。</w:t>
      </w:r>
    </w:p>
    <w:p>
      <w:pPr>
        <w:bidi w:val="0"/>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机构设置</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邵阳市北塔区状元洲街道办事处是北塔区人民政府派出机构，内设行政机构6个（即：党政综合办公室、基层党建办公室、经济发展办公室、城市管理办公室、</w:t>
      </w:r>
      <w:r>
        <w:rPr>
          <w:rFonts w:hint="eastAsia" w:ascii="仿宋" w:hAnsi="仿宋" w:eastAsia="仿宋" w:cs="仿宋"/>
          <w:sz w:val="32"/>
          <w:szCs w:val="32"/>
        </w:rPr>
        <w:t>公共服务办公室</w:t>
      </w:r>
      <w:r>
        <w:rPr>
          <w:rFonts w:hint="eastAsia" w:ascii="仿宋" w:hAnsi="仿宋" w:eastAsia="仿宋" w:cs="仿宋"/>
          <w:sz w:val="32"/>
          <w:szCs w:val="32"/>
          <w:lang w:eastAsia="zh-CN"/>
        </w:rPr>
        <w:t>、</w:t>
      </w:r>
      <w:r>
        <w:rPr>
          <w:rFonts w:hint="eastAsia" w:ascii="仿宋" w:hAnsi="仿宋" w:eastAsia="仿宋" w:cs="仿宋"/>
          <w:sz w:val="32"/>
          <w:szCs w:val="32"/>
        </w:rPr>
        <w:t>公共安全办公室</w:t>
      </w:r>
      <w:r>
        <w:rPr>
          <w:rFonts w:hint="eastAsia" w:ascii="仿宋" w:hAnsi="仿宋" w:eastAsia="仿宋" w:cs="仿宋"/>
          <w:sz w:val="32"/>
          <w:szCs w:val="32"/>
          <w:lang w:val="en-US" w:eastAsia="zh-CN"/>
        </w:rPr>
        <w:t>），事业服务中心机构3个（</w:t>
      </w:r>
      <w:r>
        <w:rPr>
          <w:rFonts w:hint="eastAsia" w:ascii="仿宋" w:hAnsi="仿宋" w:eastAsia="仿宋" w:cs="仿宋"/>
          <w:sz w:val="32"/>
          <w:szCs w:val="32"/>
        </w:rPr>
        <w:t>政务服务中心</w:t>
      </w:r>
      <w:r>
        <w:rPr>
          <w:rFonts w:hint="eastAsia" w:ascii="仿宋" w:hAnsi="仿宋" w:eastAsia="仿宋" w:cs="仿宋"/>
          <w:sz w:val="32"/>
          <w:szCs w:val="32"/>
          <w:lang w:eastAsia="zh-CN"/>
        </w:rPr>
        <w:t>、</w:t>
      </w:r>
      <w:r>
        <w:rPr>
          <w:rFonts w:hint="eastAsia" w:ascii="仿宋" w:hAnsi="仿宋" w:eastAsia="仿宋" w:cs="仿宋"/>
          <w:sz w:val="32"/>
          <w:szCs w:val="32"/>
        </w:rPr>
        <w:t>街道文化综合服务中心</w:t>
      </w:r>
      <w:r>
        <w:rPr>
          <w:rFonts w:hint="eastAsia" w:ascii="仿宋" w:hAnsi="仿宋" w:eastAsia="仿宋" w:cs="仿宋"/>
          <w:sz w:val="32"/>
          <w:szCs w:val="32"/>
          <w:lang w:eastAsia="zh-CN"/>
        </w:rPr>
        <w:t>、</w:t>
      </w:r>
      <w:r>
        <w:rPr>
          <w:rFonts w:hint="eastAsia" w:ascii="仿宋" w:hAnsi="仿宋" w:eastAsia="仿宋" w:cs="仿宋"/>
          <w:sz w:val="32"/>
          <w:szCs w:val="32"/>
        </w:rPr>
        <w:t>街道网格化综合服务中心</w:t>
      </w:r>
      <w:r>
        <w:rPr>
          <w:rFonts w:hint="eastAsia" w:ascii="仿宋" w:hAnsi="仿宋" w:eastAsia="仿宋" w:cs="仿宋"/>
          <w:sz w:val="32"/>
          <w:szCs w:val="32"/>
          <w:lang w:val="en-US" w:eastAsia="zh-CN"/>
        </w:rPr>
        <w:t>）、综合行政执法大队1个、纪工委，财务统一核算。</w:t>
      </w:r>
    </w:p>
    <w:p>
      <w:pPr>
        <w:bidi w:val="0"/>
        <w:ind w:firstLine="964" w:firstLineChars="3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3、人员情况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全办</w:t>
      </w:r>
      <w:bookmarkStart w:id="0" w:name="_GoBack"/>
      <w:bookmarkEnd w:id="0"/>
      <w:r>
        <w:rPr>
          <w:rFonts w:hint="eastAsia" w:ascii="仿宋" w:hAnsi="仿宋" w:eastAsia="仿宋" w:cs="仿宋"/>
          <w:sz w:val="32"/>
          <w:szCs w:val="32"/>
          <w:lang w:val="en-US" w:eastAsia="zh-CN"/>
        </w:rPr>
        <w:t>实有在职人员88人，其中行政编制23人、事业编制21人、工勤人员编制1人，</w:t>
      </w:r>
      <w:r>
        <w:rPr>
          <w:rFonts w:hint="eastAsia" w:ascii="仿宋" w:hAnsi="仿宋" w:eastAsia="仿宋" w:cs="仿宋"/>
          <w:i w:val="0"/>
          <w:iCs w:val="0"/>
          <w:caps w:val="0"/>
          <w:color w:val="232323"/>
          <w:spacing w:val="0"/>
          <w:kern w:val="0"/>
          <w:sz w:val="32"/>
          <w:szCs w:val="32"/>
          <w:shd w:val="clear" w:color="auto" w:fill="FFFFFF"/>
          <w:lang w:val="en-US" w:eastAsia="zh-CN" w:bidi="ar"/>
        </w:rPr>
        <w:t>离退休21人，遗属补助人数8人，小车数1台，房屋面积1491平方米</w:t>
      </w:r>
      <w:r>
        <w:rPr>
          <w:rFonts w:hint="eastAsia" w:ascii="仿宋" w:hAnsi="仿宋" w:eastAsia="仿宋" w:cs="仿宋"/>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left"/>
        <w:rPr>
          <w:rFonts w:hint="eastAsia" w:ascii="仿宋" w:hAnsi="仿宋" w:eastAsia="仿宋" w:cs="仿宋"/>
          <w:b/>
          <w:bCs/>
          <w:i w:val="0"/>
          <w:iCs w:val="0"/>
          <w:caps w:val="0"/>
          <w:color w:val="232323"/>
          <w:spacing w:val="0"/>
          <w:kern w:val="0"/>
          <w:sz w:val="32"/>
          <w:szCs w:val="32"/>
          <w:shd w:val="clear" w:color="auto" w:fill="FFFFFF"/>
          <w:lang w:val="en-US" w:eastAsia="zh-CN" w:bidi="ar"/>
        </w:rPr>
      </w:pPr>
      <w:r>
        <w:rPr>
          <w:rFonts w:hint="eastAsia" w:ascii="仿宋" w:hAnsi="仿宋" w:eastAsia="仿宋" w:cs="仿宋"/>
          <w:b/>
          <w:bCs/>
          <w:i w:val="0"/>
          <w:iCs w:val="0"/>
          <w:caps w:val="0"/>
          <w:color w:val="232323"/>
          <w:spacing w:val="0"/>
          <w:kern w:val="0"/>
          <w:sz w:val="32"/>
          <w:szCs w:val="32"/>
          <w:shd w:val="clear" w:color="auto" w:fill="FFFFFF"/>
          <w:lang w:val="en-US" w:eastAsia="zh-CN" w:bidi="ar"/>
        </w:rPr>
        <w:t>（二）2020年重点工作</w:t>
      </w:r>
    </w:p>
    <w:p>
      <w:pPr>
        <w:spacing w:line="360" w:lineRule="auto"/>
        <w:ind w:firstLine="640" w:firstLineChars="200"/>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2020年，我街道扎实推进了以下重点工作：一、综合实力实现新的攀升：1、主要经济指标持续增长,2、产业发展持续增强,3、项目建设持续发力；二、城市管理实现新的发展：1、拆控违工作常抓不懈，2、文明城市创建、卫生城市复审双管齐下，3、商住小区管理上台阶；三、人居环境实现新的优化：1、持续打好“蓝天碧水净土”三大保卫战，2、扎实推进不达标企业整治清零行动；四、民生福祉实现新的改善：1、社会事业加快发展，2、社会保障逐渐完善；五、社会稳定实现新的突破：1、疫情防控慎终如始，2、综合治理再上新台阶，3、安全生产抓紧抓牢，4、基层群众自治全面推进；六、党的建设实现新的进步：1、党建引领提质增效，2、党风廉政建设扎实推进。</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168" w:afterAutospacing="0" w:line="560" w:lineRule="exact"/>
        <w:ind w:right="0" w:firstLine="643" w:firstLineChars="200"/>
        <w:jc w:val="both"/>
        <w:textAlignment w:val="auto"/>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pPr>
      <w:r>
        <w:rPr>
          <w:rFonts w:hint="eastAsia" w:ascii="仿宋" w:hAnsi="仿宋" w:eastAsia="仿宋" w:cs="仿宋"/>
          <w:b/>
          <w:bCs/>
          <w:i w:val="0"/>
          <w:caps w:val="0"/>
          <w:color w:val="000000"/>
          <w:spacing w:val="0"/>
          <w:kern w:val="0"/>
          <w:sz w:val="32"/>
          <w:szCs w:val="32"/>
          <w:shd w:val="clear" w:color="auto" w:fill="FFFFFF"/>
          <w:lang w:val="en-US" w:eastAsia="zh-CN" w:bidi="ar"/>
        </w:rPr>
        <w:t>整体支出情况</w:t>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168" w:afterAutospacing="0" w:line="560" w:lineRule="exact"/>
        <w:ind w:right="0" w:rightChars="0" w:firstLine="964" w:firstLineChars="300"/>
        <w:jc w:val="both"/>
        <w:textAlignment w:val="auto"/>
        <w:rPr>
          <w:rFonts w:hint="eastAsia" w:ascii="仿宋" w:hAnsi="仿宋" w:eastAsia="仿宋" w:cs="仿宋"/>
          <w:b/>
          <w:bCs/>
          <w:i w:val="0"/>
          <w:iCs w:val="0"/>
          <w:caps w:val="0"/>
          <w:color w:val="232323"/>
          <w:spacing w:val="0"/>
          <w:kern w:val="0"/>
          <w:sz w:val="32"/>
          <w:szCs w:val="32"/>
          <w:shd w:val="clear" w:color="auto" w:fill="FFFFFF"/>
          <w:lang w:val="en-US" w:eastAsia="zh-CN" w:bidi="ar"/>
        </w:rPr>
      </w:pPr>
      <w:r>
        <w:rPr>
          <w:rFonts w:hint="eastAsia" w:ascii="仿宋" w:hAnsi="仿宋" w:eastAsia="仿宋" w:cs="仿宋"/>
          <w:b/>
          <w:bCs/>
          <w:i w:val="0"/>
          <w:iCs w:val="0"/>
          <w:caps w:val="0"/>
          <w:color w:val="232323"/>
          <w:spacing w:val="0"/>
          <w:kern w:val="0"/>
          <w:sz w:val="32"/>
          <w:szCs w:val="32"/>
          <w:shd w:val="clear" w:color="auto" w:fill="FFFFFF"/>
          <w:lang w:val="en-US" w:eastAsia="zh-CN" w:bidi="ar"/>
        </w:rPr>
        <w:t>1、整体收支决算情况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    2020年决算收入</w:t>
      </w:r>
      <w:r>
        <w:rPr>
          <w:rFonts w:hint="eastAsia" w:ascii="仿宋" w:hAnsi="仿宋" w:eastAsia="仿宋" w:cs="仿宋"/>
          <w:i w:val="0"/>
          <w:caps w:val="0"/>
          <w:color w:val="000000"/>
          <w:spacing w:val="0"/>
          <w:kern w:val="0"/>
          <w:sz w:val="32"/>
          <w:szCs w:val="32"/>
          <w:shd w:val="clear" w:color="auto" w:fill="FFFFFF"/>
          <w:lang w:val="en-US" w:eastAsia="zh-CN" w:bidi="ar"/>
        </w:rPr>
        <w:t>4715.35</w:t>
      </w:r>
      <w:r>
        <w:rPr>
          <w:rFonts w:hint="eastAsia" w:ascii="仿宋" w:hAnsi="仿宋" w:eastAsia="仿宋" w:cs="仿宋"/>
          <w:i w:val="0"/>
          <w:iCs w:val="0"/>
          <w:caps w:val="0"/>
          <w:color w:val="232323"/>
          <w:spacing w:val="0"/>
          <w:kern w:val="0"/>
          <w:sz w:val="32"/>
          <w:szCs w:val="32"/>
          <w:shd w:val="clear" w:color="auto" w:fill="FFFFFF"/>
          <w:lang w:val="en-US" w:eastAsia="zh-CN" w:bidi="ar"/>
        </w:rPr>
        <w:t>万元：其中年初结转和结余939.91万元，财政拨款</w:t>
      </w:r>
      <w:r>
        <w:rPr>
          <w:rFonts w:hint="eastAsia" w:ascii="仿宋" w:hAnsi="仿宋" w:eastAsia="仿宋" w:cs="仿宋"/>
          <w:i w:val="0"/>
          <w:caps w:val="0"/>
          <w:color w:val="000000"/>
          <w:spacing w:val="0"/>
          <w:kern w:val="0"/>
          <w:sz w:val="32"/>
          <w:szCs w:val="32"/>
          <w:shd w:val="clear" w:color="auto" w:fill="FFFFFF"/>
          <w:lang w:val="en-US" w:eastAsia="zh-CN" w:bidi="ar"/>
        </w:rPr>
        <w:t>819.41</w:t>
      </w:r>
      <w:r>
        <w:rPr>
          <w:rFonts w:hint="eastAsia" w:ascii="仿宋" w:hAnsi="仿宋" w:eastAsia="仿宋" w:cs="仿宋"/>
          <w:i w:val="0"/>
          <w:iCs w:val="0"/>
          <w:caps w:val="0"/>
          <w:color w:val="232323"/>
          <w:spacing w:val="0"/>
          <w:kern w:val="0"/>
          <w:sz w:val="32"/>
          <w:szCs w:val="32"/>
          <w:shd w:val="clear" w:color="auto" w:fill="FFFFFF"/>
          <w:lang w:val="en-US" w:eastAsia="zh-CN" w:bidi="ar"/>
        </w:rPr>
        <w:t>万元，其他收入3895.94万元；决算支出5655.26万元，年末结转和结余累计0万元。2020年预、决算收入、支出及年末结转和结余明细如下（单位：万元）：</w:t>
      </w:r>
    </w:p>
    <w:p>
      <w:pPr>
        <w:pStyle w:val="2"/>
        <w:rPr>
          <w:rFonts w:hint="eastAsia" w:ascii="仿宋" w:hAnsi="仿宋" w:eastAsia="仿宋" w:cs="仿宋"/>
          <w:i w:val="0"/>
          <w:iCs w:val="0"/>
          <w:caps w:val="0"/>
          <w:color w:val="232323"/>
          <w:spacing w:val="0"/>
          <w:kern w:val="0"/>
          <w:sz w:val="32"/>
          <w:szCs w:val="32"/>
          <w:shd w:val="clear" w:color="auto" w:fill="FFFFFF"/>
          <w:lang w:val="en-US" w:eastAsia="zh-CN" w:bidi="ar"/>
        </w:rPr>
      </w:pPr>
    </w:p>
    <w:p>
      <w:pPr>
        <w:pStyle w:val="2"/>
        <w:rPr>
          <w:rFonts w:hint="eastAsia" w:ascii="仿宋" w:hAnsi="仿宋" w:eastAsia="仿宋" w:cs="仿宋"/>
          <w:i w:val="0"/>
          <w:iCs w:val="0"/>
          <w:caps w:val="0"/>
          <w:color w:val="232323"/>
          <w:spacing w:val="0"/>
          <w:kern w:val="0"/>
          <w:sz w:val="32"/>
          <w:szCs w:val="32"/>
          <w:shd w:val="clear" w:color="auto" w:fill="FFFFFF"/>
          <w:lang w:val="en-US" w:eastAsia="zh-CN" w:bidi="ar"/>
        </w:rPr>
      </w:pPr>
    </w:p>
    <w:p>
      <w:pPr>
        <w:pStyle w:val="2"/>
        <w:rPr>
          <w:rFonts w:hint="eastAsia" w:ascii="仿宋" w:hAnsi="仿宋" w:eastAsia="仿宋" w:cs="仿宋"/>
          <w:i w:val="0"/>
          <w:iCs w:val="0"/>
          <w:caps w:val="0"/>
          <w:color w:val="232323"/>
          <w:spacing w:val="0"/>
          <w:kern w:val="0"/>
          <w:sz w:val="32"/>
          <w:szCs w:val="32"/>
          <w:shd w:val="clear" w:color="auto" w:fill="FFFFFF"/>
          <w:lang w:val="en-US" w:eastAsia="zh-CN" w:bidi="ar"/>
        </w:rPr>
      </w:pPr>
    </w:p>
    <w:p>
      <w:pPr>
        <w:pStyle w:val="2"/>
        <w:rPr>
          <w:rFonts w:hint="eastAsia" w:ascii="仿宋" w:hAnsi="仿宋" w:eastAsia="仿宋" w:cs="仿宋"/>
          <w:i w:val="0"/>
          <w:iCs w:val="0"/>
          <w:caps w:val="0"/>
          <w:color w:val="232323"/>
          <w:spacing w:val="0"/>
          <w:kern w:val="0"/>
          <w:sz w:val="32"/>
          <w:szCs w:val="32"/>
          <w:shd w:val="clear" w:color="auto" w:fill="FFFFFF"/>
          <w:lang w:val="en-US" w:eastAsia="zh-CN" w:bidi="ar"/>
        </w:rPr>
      </w:pPr>
    </w:p>
    <w:tbl>
      <w:tblPr>
        <w:tblStyle w:val="9"/>
        <w:tblpPr w:leftFromText="180" w:rightFromText="180" w:vertAnchor="text" w:horzAnchor="page" w:tblpX="1089" w:tblpY="154"/>
        <w:tblOverlap w:val="never"/>
        <w:tblW w:w="10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1275"/>
        <w:gridCol w:w="993"/>
        <w:gridCol w:w="938"/>
        <w:gridCol w:w="1087"/>
        <w:gridCol w:w="1170"/>
        <w:gridCol w:w="938"/>
        <w:gridCol w:w="1214"/>
        <w:gridCol w:w="71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30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收入</w:t>
            </w:r>
          </w:p>
        </w:tc>
        <w:tc>
          <w:tcPr>
            <w:tcW w:w="40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支出</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年末</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结转</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年初结</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转、结余</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财政</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拨款</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收入</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基本支出</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支出</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人员</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公用</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经费</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预算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634.47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512.47</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634.47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490.82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决算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5655.26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rPr>
            </w:pPr>
            <w:r>
              <w:rPr>
                <w:rFonts w:hint="eastAsia" w:ascii="仿宋" w:hAnsi="仿宋" w:eastAsia="仿宋" w:cs="仿宋"/>
                <w:i w:val="0"/>
                <w:iCs w:val="0"/>
                <w:caps w:val="0"/>
                <w:color w:val="232323"/>
                <w:spacing w:val="0"/>
                <w:kern w:val="0"/>
                <w:sz w:val="24"/>
                <w:szCs w:val="24"/>
                <w:shd w:val="clear" w:color="auto" w:fill="FFFFFF"/>
                <w:lang w:val="en-US" w:eastAsia="zh-CN" w:bidi="ar"/>
              </w:rPr>
              <w:t>939.91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rPr>
            </w:pPr>
            <w:r>
              <w:rPr>
                <w:rFonts w:hint="eastAsia" w:ascii="仿宋" w:hAnsi="仿宋" w:eastAsia="仿宋" w:cs="仿宋"/>
                <w:i w:val="0"/>
                <w:caps w:val="0"/>
                <w:color w:val="000000"/>
                <w:spacing w:val="0"/>
                <w:kern w:val="0"/>
                <w:sz w:val="24"/>
                <w:szCs w:val="24"/>
                <w:shd w:val="clear" w:color="auto" w:fill="FFFFFF"/>
                <w:lang w:val="en-US" w:eastAsia="zh-CN" w:bidi="ar"/>
              </w:rPr>
              <w:t>819.41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3895.94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5655.26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923.61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4711.65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差异率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791.33%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59.89</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309.33%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791.33%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88.17%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3179.95%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left"/>
        <w:rPr>
          <w:rFonts w:hint="eastAsia" w:ascii="仿宋" w:hAnsi="仿宋" w:eastAsia="仿宋" w:cs="仿宋"/>
          <w:b/>
          <w:bCs/>
          <w:i w:val="0"/>
          <w:iCs w:val="0"/>
          <w:caps w:val="0"/>
          <w:color w:val="232323"/>
          <w:spacing w:val="0"/>
          <w:kern w:val="0"/>
          <w:sz w:val="32"/>
          <w:szCs w:val="32"/>
          <w:shd w:val="clear" w:color="auto" w:fill="FFFFFF"/>
          <w:lang w:val="en-US" w:eastAsia="zh-CN" w:bidi="ar"/>
        </w:rPr>
      </w:pPr>
      <w:r>
        <w:rPr>
          <w:rFonts w:hint="eastAsia" w:ascii="仿宋" w:hAnsi="仿宋" w:eastAsia="仿宋" w:cs="仿宋"/>
          <w:b/>
          <w:bCs/>
          <w:i w:val="0"/>
          <w:iCs w:val="0"/>
          <w:caps w:val="0"/>
          <w:color w:val="232323"/>
          <w:spacing w:val="0"/>
          <w:kern w:val="0"/>
          <w:sz w:val="32"/>
          <w:szCs w:val="32"/>
          <w:shd w:val="clear" w:color="auto" w:fill="FFFFFF"/>
          <w:lang w:val="en-US" w:eastAsia="zh-CN" w:bidi="ar"/>
        </w:rPr>
        <w:t>2、支出决算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    2020年度决算支出5655.26万元，其中基本支出5635.26万元，占总支出的99.6%；项目支出20万元，占总支出的0.4%。部门支出决算明细如下（单位：万元）：</w:t>
      </w:r>
    </w:p>
    <w:tbl>
      <w:tblPr>
        <w:tblStyle w:val="9"/>
        <w:tblW w:w="8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34"/>
        <w:gridCol w:w="2718"/>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   目</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财政拨款-基本支出</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财政拨款-项目支出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工资福利支出</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701.08</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商品和服务支出</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4711.65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对个人和家庭的补助</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222.53</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资本性支出</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5635.26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960" w:firstLineChars="30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二、整体支出管理及使用情况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    （一）基本支出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2020年，我街道基本支出5635.26万元，主要用于保障人员的工资和福利支出、正常办公所需的商品和服务支出及对个人和家庭的补助支出。按支出经济分类：其中工资福利支出701.08万元，占基本支出的12.44%；商品服务支出4711.65万元，占基本支出的83.61%；对个人家庭补助支出222.53万元，占基本支出的3.95%。</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    （二）项目支出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    2020年，我街道项目支出20万元，按支出经济分类：其中资本性支出20万元，占项目支出的100%；按支出功能（项目）分类：其中基础设施建设20万元。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    （三）项目资金结转和结余情况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    2020年项目资金结转和结余0万。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firstLineChars="20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w:t>
      </w:r>
      <w:r>
        <w:rPr>
          <w:rFonts w:hint="eastAsia" w:ascii="仿宋_GB2312" w:hAnsi="仿宋" w:eastAsia="仿宋_GB2312" w:cs="仿宋"/>
          <w:color w:val="000000"/>
          <w:kern w:val="0"/>
          <w:sz w:val="32"/>
          <w:szCs w:val="32"/>
          <w:shd w:val="clear" w:color="auto" w:fill="FFFFFF"/>
          <w:lang w:val="en-US" w:eastAsia="zh-CN" w:bidi="ar"/>
        </w:rPr>
        <w:t>四）“三公”经费决算说明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公务接待费严格按照《邵阳市党政机关国内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pStyle w:val="8"/>
        <w:widowControl/>
        <w:spacing w:before="150" w:beforeAutospacing="0" w:after="150" w:afterAutospacing="0" w:line="432" w:lineRule="atLeast"/>
        <w:ind w:firstLine="640" w:firstLineChars="200"/>
        <w:jc w:val="both"/>
        <w:rPr>
          <w:rFonts w:hint="default"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    2020年我街道“三公”经费决算支出数2.1万元。其中：因公出国(境)费0万元、公务接待费0万元（同比2019年0.31万元减少0.31万元，</w:t>
      </w:r>
      <w:r>
        <w:rPr>
          <w:rFonts w:hint="eastAsia" w:ascii="仿宋_GB2312" w:hAnsi="仿宋" w:eastAsia="仿宋_GB2312" w:cs="仿宋"/>
          <w:color w:val="000000"/>
          <w:sz w:val="32"/>
          <w:szCs w:val="32"/>
          <w:shd w:val="clear" w:color="auto" w:fill="FFFFFF"/>
          <w:lang w:bidi="ar"/>
        </w:rPr>
        <w:t>主要是贯彻中央“八项规定”和厉行节约的要求</w:t>
      </w:r>
      <w:r>
        <w:rPr>
          <w:rFonts w:hint="eastAsia" w:ascii="仿宋_GB2312" w:hAnsi="仿宋" w:eastAsia="仿宋_GB2312" w:cs="仿宋"/>
          <w:color w:val="000000"/>
          <w:kern w:val="0"/>
          <w:sz w:val="32"/>
          <w:szCs w:val="32"/>
          <w:shd w:val="clear" w:color="auto" w:fill="FFFFFF"/>
          <w:lang w:val="en-US" w:eastAsia="zh-CN" w:bidi="ar"/>
        </w:rPr>
        <w:t>）、公务用车费2.1万元（同比2019年4.16万元减少2.06万元，</w:t>
      </w:r>
      <w:r>
        <w:rPr>
          <w:rFonts w:hint="eastAsia" w:ascii="仿宋_GB2312" w:hAnsi="仿宋" w:eastAsia="仿宋_GB2312" w:cs="仿宋"/>
          <w:color w:val="000000"/>
          <w:sz w:val="32"/>
          <w:szCs w:val="32"/>
          <w:shd w:val="clear" w:color="auto" w:fill="FFFFFF"/>
          <w:lang w:bidi="ar"/>
        </w:rPr>
        <w:t>主要是贯彻中央“八项规定”和厉行节约的要求</w:t>
      </w:r>
      <w:r>
        <w:rPr>
          <w:rFonts w:hint="eastAsia" w:ascii="仿宋_GB2312" w:hAnsi="仿宋" w:eastAsia="仿宋_GB2312" w:cs="仿宋"/>
          <w:color w:val="00000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    （五）基本支出的公用经费情况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    2020年我街道决算支出日常公用经费4711.65万元。主要包括：办公费、差旅费、招待费、水电费、维修费、租赁费、会议费、培训费等支出。具体明细如下（单位：万元）：</w:t>
      </w:r>
    </w:p>
    <w:tbl>
      <w:tblPr>
        <w:tblStyle w:val="9"/>
        <w:tblW w:w="8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96"/>
        <w:gridCol w:w="2775"/>
        <w:gridCol w:w="2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  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决算支出</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  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82.72</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印刷费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32.98</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资询费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15.6</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手续费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0.13</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0.69</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4.03</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邮电费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2.41</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差旅费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23.64</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维修（护）费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173.75</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租赁费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11.33</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0.13</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公务接待费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专用材料费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劳务费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373.54</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工会经费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28.8</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公务用车运行维护费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其他交通费用</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10.93</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其他商品服务支出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3945.97</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4711.65</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i w:val="0"/>
          <w:iCs w:val="0"/>
          <w:caps w:val="0"/>
          <w:color w:val="232323"/>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firstLineChars="20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w:t>
      </w:r>
      <w:r>
        <w:rPr>
          <w:rFonts w:hint="eastAsia" w:ascii="仿宋_GB2312" w:hAnsi="仿宋" w:eastAsia="仿宋_GB2312" w:cs="仿宋"/>
          <w:color w:val="000000"/>
          <w:kern w:val="0"/>
          <w:sz w:val="32"/>
          <w:szCs w:val="32"/>
          <w:shd w:val="clear" w:color="auto" w:fill="FFFFFF"/>
          <w:lang w:val="en-US" w:eastAsia="zh-CN" w:bidi="ar"/>
        </w:rPr>
        <w:t>六）部门整体支出的管理情况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根据《会计法》、《预算法》、《政府会计准则》等法律和财政部、省财政厅有关财务规章制度，我办制订了《状元洲街道财务内控制度（试行）》，严格执行经费审批制度、财务会审制度和报销程序，加强了经费支出的监督管理，实现了资金申请、审批、拨付、监督等全流程制度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为加强项目资金的管理和监督。一是严格执行政府采购的程序和规定。依据上级批复的建设实施方案实施，严格执行招投标制度和监理制度等。二是加强项目竣工验收。项目完工后由相关职能单位、财政局组织专业的技术人员和专门的技术机构进行项目验收并联合出具项目验收报告。对验收合格的项目财务凭完整的审批验收程序办理付款；对验收不合格的林业项目按验收标准进行整改，整改验收合格后财务凭完整的审批验收程序办理付款。三是加强项目资金使用监督检查。配合上级主管部门开展自查自纠专项检查，并按要求上报专项资金绩效自评报告，确保专项资金使用的公开透明、优质高效。         （七）资产管理情况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我街道建立健全了完整有效的资产管理制度，资产管理实行账物分离，确定专人负责。财务部门负责管账，相关股室负责管物。固定资产的购置须书面报告街道主管领导，经街道主管领导审批后，办理政府采购手续，办公室凭政府采购批复实行询价或定点采购，股室领用时需在固定资产管理卡片上签字建档。资产管理负责人建立实物资产的购、存、领台账。2020年我办资产管理和使用状况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firstLineChars="30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三、整体支出绩效情况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    （一）预算配置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    2020年，我街道在职人员编制数为45人，年末实际在职人数为88人。年初预算收入634.47万元，年末决算收入</w:t>
      </w:r>
      <w:r>
        <w:rPr>
          <w:rFonts w:hint="eastAsia" w:ascii="仿宋" w:hAnsi="仿宋" w:eastAsia="仿宋" w:cs="仿宋"/>
          <w:i w:val="0"/>
          <w:caps w:val="0"/>
          <w:color w:val="000000"/>
          <w:spacing w:val="0"/>
          <w:kern w:val="0"/>
          <w:sz w:val="32"/>
          <w:szCs w:val="32"/>
          <w:shd w:val="clear" w:color="auto" w:fill="FFFFFF"/>
          <w:lang w:val="en-US" w:eastAsia="zh-CN" w:bidi="ar"/>
        </w:rPr>
        <w:t>4715.35</w:t>
      </w:r>
      <w:r>
        <w:rPr>
          <w:rFonts w:hint="eastAsia" w:ascii="仿宋_GB2312" w:hAnsi="仿宋" w:eastAsia="仿宋_GB2312" w:cs="仿宋"/>
          <w:color w:val="000000"/>
          <w:kern w:val="0"/>
          <w:sz w:val="32"/>
          <w:szCs w:val="32"/>
          <w:shd w:val="clear" w:color="auto" w:fill="FFFFFF"/>
          <w:lang w:val="en-US" w:eastAsia="zh-CN" w:bidi="ar"/>
        </w:rPr>
        <w:t>万元；年末决算支出</w:t>
      </w:r>
      <w:r>
        <w:rPr>
          <w:rFonts w:hint="eastAsia" w:ascii="仿宋" w:hAnsi="仿宋" w:eastAsia="仿宋" w:cs="仿宋"/>
          <w:i w:val="0"/>
          <w:iCs w:val="0"/>
          <w:caps w:val="0"/>
          <w:color w:val="232323"/>
          <w:spacing w:val="0"/>
          <w:kern w:val="0"/>
          <w:sz w:val="32"/>
          <w:szCs w:val="32"/>
          <w:shd w:val="clear" w:color="auto" w:fill="FFFFFF"/>
          <w:lang w:val="en-US" w:eastAsia="zh-CN" w:bidi="ar"/>
        </w:rPr>
        <w:t>5655.26</w:t>
      </w:r>
      <w:r>
        <w:rPr>
          <w:rFonts w:hint="eastAsia" w:ascii="仿宋_GB2312" w:hAnsi="仿宋" w:eastAsia="仿宋_GB2312" w:cs="仿宋"/>
          <w:color w:val="000000"/>
          <w:kern w:val="0"/>
          <w:sz w:val="32"/>
          <w:szCs w:val="32"/>
          <w:shd w:val="clear" w:color="auto" w:fill="FFFFFF"/>
          <w:lang w:val="en-US" w:eastAsia="zh-CN" w:bidi="ar"/>
        </w:rPr>
        <w:t>万元，项目资金结转结余0万元。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    （二）预算执行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林业信息网及政务公开网公布部门财政预算批复及执行情况，及时公布“三公经费”支出情况，接受监督。三是建立健全项目资金管理制度。对于财政性专项资金，在县财政办的督导下，严格按专项资金项目实施方案执行，督促项目承担单位加快项目实施进度，及时办理报账、验收、结算等相关手续，做到不集中使用、不滥用资金，最大限度提高专项资金利用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    （三）预算管理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为规范机关财务管理，建立健全财务管理制度，我街道制订了《状元洲街道财务管理办法》、《状元洲街道财务内控制度（试行）》、《状元洲街道财务集中会审实施办法》等一系列合法合规、较为完整的、具有很强的可操作性财务管理制度。坚持经费预算科学化、精细化，执行控制规范化、责任化，监督检查常态化、同步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xml:space="preserve">     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    （四）提升支出绩效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2020年，我街道全面落实省委、省政府、市委、市政府和区委、区政府的工作部署，坚持以</w:t>
      </w:r>
      <w:r>
        <w:rPr>
          <w:rFonts w:hint="default" w:ascii="仿宋_GB2312" w:hAnsi="仿宋" w:eastAsia="仿宋_GB2312" w:cs="仿宋"/>
          <w:color w:val="000000"/>
          <w:kern w:val="0"/>
          <w:sz w:val="32"/>
          <w:szCs w:val="32"/>
          <w:shd w:val="clear" w:color="auto" w:fill="FFFFFF"/>
          <w:lang w:val="en-US" w:eastAsia="zh-CN" w:bidi="ar"/>
        </w:rPr>
        <w:t>建立全过程预算绩效管理运行机制</w:t>
      </w:r>
      <w:r>
        <w:rPr>
          <w:rFonts w:hint="eastAsia" w:ascii="仿宋_GB2312" w:hAnsi="仿宋" w:eastAsia="仿宋_GB2312" w:cs="仿宋"/>
          <w:color w:val="000000"/>
          <w:kern w:val="0"/>
          <w:sz w:val="32"/>
          <w:szCs w:val="32"/>
          <w:shd w:val="clear" w:color="auto" w:fill="FFFFFF"/>
          <w:lang w:val="en-US" w:eastAsia="zh-CN" w:bidi="ar"/>
        </w:rPr>
        <w:t>为目标，积极</w:t>
      </w:r>
      <w:r>
        <w:rPr>
          <w:rFonts w:hint="default" w:ascii="仿宋_GB2312" w:hAnsi="仿宋" w:eastAsia="仿宋_GB2312" w:cs="仿宋"/>
          <w:color w:val="000000"/>
          <w:kern w:val="0"/>
          <w:sz w:val="32"/>
          <w:szCs w:val="32"/>
          <w:shd w:val="clear" w:color="auto" w:fill="FFFFFF"/>
          <w:lang w:val="en-US" w:eastAsia="zh-CN" w:bidi="ar"/>
        </w:rPr>
        <w:t>开展绩效运行监控和支出绩效评价</w:t>
      </w:r>
      <w:r>
        <w:rPr>
          <w:rFonts w:hint="eastAsia" w:ascii="仿宋_GB2312" w:hAnsi="仿宋" w:eastAsia="仿宋_GB2312" w:cs="仿宋"/>
          <w:color w:val="000000"/>
          <w:kern w:val="0"/>
          <w:sz w:val="32"/>
          <w:szCs w:val="32"/>
          <w:shd w:val="clear" w:color="auto" w:fill="FFFFFF"/>
          <w:lang w:val="en-US" w:eastAsia="zh-CN" w:bidi="ar"/>
        </w:rPr>
        <w:t>，各项工作任务全面完成，财务管理规范，单位行政运行稳定有序。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    （五）评价结论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    结合我街道财政资金的使用情况，认真组织开展整体支出绩效自评，自评等级“良好”。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firstLineChars="30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四、存在的问题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1、绩效评价代作机制有待进一步完善，由于在平时工作中未加强对绩效监控工作的重视，绩效监控工作容易滞后，未形成对绩效目标进行监控的习惯。</w:t>
      </w:r>
    </w:p>
    <w:p>
      <w:pPr>
        <w:pStyle w:val="2"/>
        <w:rPr>
          <w:rFonts w:hint="default"/>
          <w:lang w:val="en-US" w:eastAsia="zh-CN"/>
        </w:rPr>
      </w:pPr>
      <w:r>
        <w:rPr>
          <w:rFonts w:hint="eastAsia" w:ascii="仿宋_GB2312" w:hAnsi="仿宋" w:eastAsia="仿宋_GB2312" w:cs="仿宋"/>
          <w:color w:val="000000"/>
          <w:kern w:val="0"/>
          <w:sz w:val="32"/>
          <w:szCs w:val="32"/>
          <w:shd w:val="clear" w:color="auto" w:fill="FFFFFF"/>
          <w:lang w:val="en-US" w:eastAsia="zh-CN" w:bidi="ar"/>
        </w:rPr>
        <w:t>2、在编制部门年底预算时，虽然根据本单位职能职责的年度工作计划编制，但在2020年部门预算执行过程中，仍然存在以下问题，年初预算编制不合理或部分经费计划比较紧张，往往需要在年度中间进行预算追加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五、措施和建议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    （一）进一步加强项目资金管理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    （二）进一步提高绩效管理水平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 w:eastAsia="仿宋_GB2312" w:cs="仿宋"/>
          <w:color w:val="000000"/>
          <w:kern w:val="0"/>
          <w:sz w:val="32"/>
          <w:szCs w:val="32"/>
          <w:shd w:val="clear" w:color="auto"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    加强预算执行的准确性，开展好支出绩效管理工作，运用好绩效评价结果，不断提升绩效管理水平。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200" w:firstLineChars="1000"/>
        <w:jc w:val="left"/>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 w:eastAsia="仿宋_GB2312" w:cs="仿宋"/>
          <w:color w:val="000000"/>
          <w:kern w:val="0"/>
          <w:sz w:val="32"/>
          <w:szCs w:val="32"/>
          <w:shd w:val="clear" w:color="auto" w:fill="FFFFFF"/>
          <w:lang w:val="en-US" w:eastAsia="zh-CN" w:bidi="ar"/>
        </w:rPr>
        <w:t>北塔区状元洲街道办事处                                   2021年8月26日</w:t>
      </w:r>
    </w:p>
    <w:sectPr>
      <w:footerReference r:id="rId3" w:type="default"/>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1B85B"/>
    <w:multiLevelType w:val="singleLevel"/>
    <w:tmpl w:val="8FB1B85B"/>
    <w:lvl w:ilvl="0" w:tentative="0">
      <w:start w:val="3"/>
      <w:numFmt w:val="chineseCounting"/>
      <w:suff w:val="nothing"/>
      <w:lvlText w:val="（%1）"/>
      <w:lvlJc w:val="left"/>
      <w:rPr>
        <w:rFonts w:hint="eastAsia"/>
      </w:rPr>
    </w:lvl>
  </w:abstractNum>
  <w:abstractNum w:abstractNumId="1">
    <w:nsid w:val="74EC5826"/>
    <w:multiLevelType w:val="singleLevel"/>
    <w:tmpl w:val="74EC582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57F0A"/>
    <w:rsid w:val="00D914D1"/>
    <w:rsid w:val="01CA6C60"/>
    <w:rsid w:val="01FB77A7"/>
    <w:rsid w:val="02B87B4B"/>
    <w:rsid w:val="06BC3816"/>
    <w:rsid w:val="07102EEB"/>
    <w:rsid w:val="091C3F2C"/>
    <w:rsid w:val="09CB4C9C"/>
    <w:rsid w:val="0B7C352C"/>
    <w:rsid w:val="0D057F0A"/>
    <w:rsid w:val="0D0E2832"/>
    <w:rsid w:val="0D456556"/>
    <w:rsid w:val="0D82059C"/>
    <w:rsid w:val="10F164AE"/>
    <w:rsid w:val="12064285"/>
    <w:rsid w:val="13424A29"/>
    <w:rsid w:val="15C71F15"/>
    <w:rsid w:val="16427EC4"/>
    <w:rsid w:val="16FF2139"/>
    <w:rsid w:val="18A601C6"/>
    <w:rsid w:val="1A544BD2"/>
    <w:rsid w:val="1BCB5D44"/>
    <w:rsid w:val="1C0A5855"/>
    <w:rsid w:val="1DA01B06"/>
    <w:rsid w:val="1E6814E8"/>
    <w:rsid w:val="1F920ED3"/>
    <w:rsid w:val="20426E4A"/>
    <w:rsid w:val="208056C9"/>
    <w:rsid w:val="220136C6"/>
    <w:rsid w:val="222067D9"/>
    <w:rsid w:val="23E85CBA"/>
    <w:rsid w:val="270A60CB"/>
    <w:rsid w:val="283F552D"/>
    <w:rsid w:val="29BB7EA3"/>
    <w:rsid w:val="29F7107C"/>
    <w:rsid w:val="2CA86D10"/>
    <w:rsid w:val="2D5B02A3"/>
    <w:rsid w:val="2DFC3C3D"/>
    <w:rsid w:val="2EB404C4"/>
    <w:rsid w:val="2EE64E29"/>
    <w:rsid w:val="2FD87AEF"/>
    <w:rsid w:val="30101498"/>
    <w:rsid w:val="336F381B"/>
    <w:rsid w:val="35753922"/>
    <w:rsid w:val="38F05C83"/>
    <w:rsid w:val="39566B3A"/>
    <w:rsid w:val="397857EF"/>
    <w:rsid w:val="3A272412"/>
    <w:rsid w:val="3BD65FBB"/>
    <w:rsid w:val="3DAD6F49"/>
    <w:rsid w:val="3E594EE1"/>
    <w:rsid w:val="40534573"/>
    <w:rsid w:val="43B83CA3"/>
    <w:rsid w:val="43F201F0"/>
    <w:rsid w:val="46991404"/>
    <w:rsid w:val="480B3145"/>
    <w:rsid w:val="48C150C6"/>
    <w:rsid w:val="498E7E6E"/>
    <w:rsid w:val="49DF738F"/>
    <w:rsid w:val="4AB704AD"/>
    <w:rsid w:val="4AF06E7B"/>
    <w:rsid w:val="4B5912D9"/>
    <w:rsid w:val="4B995825"/>
    <w:rsid w:val="4E32759F"/>
    <w:rsid w:val="4EAA55D5"/>
    <w:rsid w:val="504356C6"/>
    <w:rsid w:val="50F24754"/>
    <w:rsid w:val="538A08BA"/>
    <w:rsid w:val="54801323"/>
    <w:rsid w:val="57F64CF7"/>
    <w:rsid w:val="584439C4"/>
    <w:rsid w:val="587C2AAE"/>
    <w:rsid w:val="58B248C6"/>
    <w:rsid w:val="58BF1E7D"/>
    <w:rsid w:val="595326D5"/>
    <w:rsid w:val="5C9C24C6"/>
    <w:rsid w:val="5DC23CEF"/>
    <w:rsid w:val="5E670BB6"/>
    <w:rsid w:val="60A93452"/>
    <w:rsid w:val="61543EDC"/>
    <w:rsid w:val="61A759CB"/>
    <w:rsid w:val="62CF47EA"/>
    <w:rsid w:val="6301775D"/>
    <w:rsid w:val="63636368"/>
    <w:rsid w:val="642F52C5"/>
    <w:rsid w:val="6466345A"/>
    <w:rsid w:val="64EE3BEF"/>
    <w:rsid w:val="65D57273"/>
    <w:rsid w:val="67617C30"/>
    <w:rsid w:val="6A0009B6"/>
    <w:rsid w:val="6BE96A71"/>
    <w:rsid w:val="6CD2153C"/>
    <w:rsid w:val="6CD83BB9"/>
    <w:rsid w:val="6F875530"/>
    <w:rsid w:val="70476A76"/>
    <w:rsid w:val="714E542A"/>
    <w:rsid w:val="7279214C"/>
    <w:rsid w:val="74B62F96"/>
    <w:rsid w:val="75016BAF"/>
    <w:rsid w:val="76350135"/>
    <w:rsid w:val="76FC7CFA"/>
    <w:rsid w:val="77EC2388"/>
    <w:rsid w:val="78460A98"/>
    <w:rsid w:val="796B1AA5"/>
    <w:rsid w:val="7AB82A3F"/>
    <w:rsid w:val="7B197FFF"/>
    <w:rsid w:val="7E8A493B"/>
    <w:rsid w:val="7EF04988"/>
    <w:rsid w:val="7EFB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黑领结">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fillRect/>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2020-07-07T04:36:00Z</dcterms:created>
  <dc:creator>没有可能</dc:creator>
  <cp:lastModifiedBy>Administrator</cp:lastModifiedBy>
  <cp:lastPrinted>2021-09-14T01:57:00Z</cp:lastPrinted>
  <dcterms:modified xsi:type="dcterms:W3CDTF">2021-09-15T07:22:01Z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999CB1A6A4AF4C0B9094B18B607E6802</vt:lpwstr>
  </property>
</Properties>
</file>