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159A">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北塔区文化旅游广电体育局执法事项目录清单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88"/>
        <w:gridCol w:w="1092"/>
        <w:gridCol w:w="1246"/>
        <w:gridCol w:w="1765"/>
        <w:gridCol w:w="7324"/>
      </w:tblGrid>
      <w:tr w14:paraId="358E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1ADC2B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序号</w:t>
            </w:r>
          </w:p>
        </w:tc>
        <w:tc>
          <w:tcPr>
            <w:tcW w:w="2188" w:type="dxa"/>
            <w:vAlign w:val="center"/>
          </w:tcPr>
          <w:p w14:paraId="1DFE3DC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执法事项</w:t>
            </w:r>
          </w:p>
        </w:tc>
        <w:tc>
          <w:tcPr>
            <w:tcW w:w="1092" w:type="dxa"/>
            <w:vAlign w:val="center"/>
          </w:tcPr>
          <w:p w14:paraId="6E7EB63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执法类别</w:t>
            </w:r>
          </w:p>
        </w:tc>
        <w:tc>
          <w:tcPr>
            <w:tcW w:w="1246" w:type="dxa"/>
            <w:vAlign w:val="center"/>
          </w:tcPr>
          <w:p w14:paraId="67372C1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执法主体</w:t>
            </w:r>
          </w:p>
        </w:tc>
        <w:tc>
          <w:tcPr>
            <w:tcW w:w="1765" w:type="dxa"/>
            <w:vAlign w:val="center"/>
          </w:tcPr>
          <w:p w14:paraId="2AE0602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承办机构（科室）</w:t>
            </w:r>
          </w:p>
        </w:tc>
        <w:tc>
          <w:tcPr>
            <w:tcW w:w="7324" w:type="dxa"/>
            <w:vAlign w:val="center"/>
          </w:tcPr>
          <w:p w14:paraId="31B78A88">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执法依据（具体到条文）</w:t>
            </w:r>
          </w:p>
        </w:tc>
      </w:tr>
      <w:tr w14:paraId="02D2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52" w:type="dxa"/>
            <w:vAlign w:val="center"/>
          </w:tcPr>
          <w:p w14:paraId="5CDF10D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188" w:type="dxa"/>
            <w:vAlign w:val="center"/>
          </w:tcPr>
          <w:p w14:paraId="1722F697">
            <w:pPr>
              <w:jc w:val="center"/>
              <w:rPr>
                <w:rFonts w:hint="eastAsia" w:ascii="仿宋" w:hAnsi="仿宋" w:eastAsia="仿宋" w:cs="仿宋"/>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营业性演出活动举办的审批</w:t>
            </w:r>
          </w:p>
        </w:tc>
        <w:tc>
          <w:tcPr>
            <w:tcW w:w="1092" w:type="dxa"/>
            <w:vAlign w:val="center"/>
          </w:tcPr>
          <w:p w14:paraId="1AD83C6D">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行政许可</w:t>
            </w:r>
          </w:p>
        </w:tc>
        <w:tc>
          <w:tcPr>
            <w:tcW w:w="1246" w:type="dxa"/>
            <w:vAlign w:val="center"/>
          </w:tcPr>
          <w:p w14:paraId="2864496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区文旅广体局</w:t>
            </w:r>
          </w:p>
        </w:tc>
        <w:tc>
          <w:tcPr>
            <w:tcW w:w="1765" w:type="dxa"/>
            <w:vAlign w:val="center"/>
          </w:tcPr>
          <w:p w14:paraId="53FF6148">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5E987328">
            <w:pPr>
              <w:ind w:firstLine="420" w:firstLineChars="200"/>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《营业性演出管理条例》第十三条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r>
      <w:tr w14:paraId="2143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652" w:type="dxa"/>
            <w:vAlign w:val="center"/>
          </w:tcPr>
          <w:p w14:paraId="21877FB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188" w:type="dxa"/>
            <w:vAlign w:val="center"/>
          </w:tcPr>
          <w:p w14:paraId="3D262703">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营业性演出活动增加演出地备案的审批</w:t>
            </w:r>
          </w:p>
        </w:tc>
        <w:tc>
          <w:tcPr>
            <w:tcW w:w="1092" w:type="dxa"/>
            <w:vAlign w:val="center"/>
          </w:tcPr>
          <w:p w14:paraId="1CA6088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行政确认</w:t>
            </w:r>
          </w:p>
        </w:tc>
        <w:tc>
          <w:tcPr>
            <w:tcW w:w="1246" w:type="dxa"/>
            <w:shd w:val="clear" w:color="auto" w:fill="auto"/>
            <w:vAlign w:val="center"/>
          </w:tcPr>
          <w:p w14:paraId="2D525D7A">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5A5C3931">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1B50D45B">
            <w:pPr>
              <w:jc w:val="left"/>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 xml:space="preserve">    《文化部关于做好取消和下放营业性演出审批项目工作的通知》（文市发[2013]27号）第二条：二、简化审批程序  已经文化主管部门批准的营业性演出活动，在演出举办单位、参演文艺表演团体及个人、演出内容不变的情况下，自批准演出活动举办日期起6个月内增加演出地的，实行事前备案管理。（一）文艺表演团体、个人参加的营业性演出活动，演出增加地县级文化主管部门应当在受理备案申请之日起3日内，出具备案证明。（二）外国及香港特别行政区、澳门特别行政区、台湾地区的文艺表演团体、个人参加的营业性演出，演出增加地省级文化主管部门应当在受理备案申请之日起5日内，出具备案证明。（三）文化主管部门在履行备案手续时，应当核查以下材料：1．营业性演出许可证副本；2．原批准文件；3．演出名称、时间、地点、场次；4．文艺表演团体、演员名单；5．节目单及相关视听资料。（四）参演文艺表演团体及个人、演出举办单位自原批准之日起至申请备案期间，有违反《营业性演出管理条例》及其实施细则规定，被依法停止演出活动的，不予备案。不予备案的，应当书面通知申请人并说明理由。</w:t>
            </w:r>
          </w:p>
        </w:tc>
      </w:tr>
      <w:tr w14:paraId="5812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52" w:type="dxa"/>
            <w:vAlign w:val="center"/>
          </w:tcPr>
          <w:p w14:paraId="56BBABF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188" w:type="dxa"/>
            <w:vAlign w:val="center"/>
          </w:tcPr>
          <w:p w14:paraId="1BDF7122">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营业性演出个体演员、个体演出经纪人的备案</w:t>
            </w:r>
          </w:p>
        </w:tc>
        <w:tc>
          <w:tcPr>
            <w:tcW w:w="1092" w:type="dxa"/>
            <w:shd w:val="clear" w:color="auto" w:fill="auto"/>
            <w:vAlign w:val="center"/>
          </w:tcPr>
          <w:p w14:paraId="3DDFB87A">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行政确认</w:t>
            </w:r>
          </w:p>
        </w:tc>
        <w:tc>
          <w:tcPr>
            <w:tcW w:w="1246" w:type="dxa"/>
            <w:shd w:val="clear" w:color="auto" w:fill="auto"/>
            <w:vAlign w:val="center"/>
          </w:tcPr>
          <w:p w14:paraId="57485B04">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31AB24A6">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5463E2A">
            <w:pPr>
              <w:ind w:firstLine="420" w:firstLineChars="200"/>
              <w:jc w:val="left"/>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《营业性演出管理条例》第九条  以从事营业性演出为职业的个体演员和以从事营业性演出的居间、代理活动为职业的个体演出经纪人，应当依法到工商行政管理部门办理注册登记，领取营业执照。个体演员、个体演出经纪人应当自领取营业执照之日起20日内向所在地县级人民政府文化主管部门备案。</w:t>
            </w:r>
          </w:p>
        </w:tc>
      </w:tr>
      <w:tr w14:paraId="778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2" w:type="dxa"/>
            <w:shd w:val="clear" w:color="auto" w:fill="auto"/>
            <w:vAlign w:val="center"/>
          </w:tcPr>
          <w:p w14:paraId="5306B185">
            <w:pPr>
              <w:keepNext w:val="0"/>
              <w:keepLines w:val="0"/>
              <w:widowControl/>
              <w:suppressLineNumbers w:val="0"/>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4</w:t>
            </w:r>
          </w:p>
        </w:tc>
        <w:tc>
          <w:tcPr>
            <w:tcW w:w="2188" w:type="dxa"/>
            <w:shd w:val="clear" w:color="auto" w:fill="auto"/>
            <w:vAlign w:val="center"/>
          </w:tcPr>
          <w:p w14:paraId="0387FAE9">
            <w:pPr>
              <w:keepNext w:val="0"/>
              <w:keepLines w:val="0"/>
              <w:widowControl/>
              <w:suppressLineNumbers w:val="0"/>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演出场所经营单位的备案</w:t>
            </w:r>
          </w:p>
        </w:tc>
        <w:tc>
          <w:tcPr>
            <w:tcW w:w="1092" w:type="dxa"/>
            <w:shd w:val="clear" w:color="auto" w:fill="auto"/>
            <w:vAlign w:val="center"/>
          </w:tcPr>
          <w:p w14:paraId="4CC655E7">
            <w:pPr>
              <w:keepNext w:val="0"/>
              <w:keepLines w:val="0"/>
              <w:widowControl/>
              <w:suppressLineNumbers w:val="0"/>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4AEF30B2">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418657C9">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6FCA31E4">
            <w:pPr>
              <w:keepNext w:val="0"/>
              <w:keepLines w:val="0"/>
              <w:widowControl/>
              <w:suppressLineNumbers w:val="0"/>
              <w:ind w:firstLine="420" w:firstLineChars="200"/>
              <w:jc w:val="left"/>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《营业性演出管理条例》第七条  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r>
      <w:tr w14:paraId="754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52" w:type="dxa"/>
            <w:vAlign w:val="center"/>
          </w:tcPr>
          <w:p w14:paraId="2905F1A9">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188" w:type="dxa"/>
            <w:vAlign w:val="center"/>
          </w:tcPr>
          <w:p w14:paraId="48405994">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文艺表演团体从事营业性演出活动设立的审批</w:t>
            </w:r>
          </w:p>
        </w:tc>
        <w:tc>
          <w:tcPr>
            <w:tcW w:w="1092" w:type="dxa"/>
            <w:vAlign w:val="center"/>
          </w:tcPr>
          <w:p w14:paraId="3B02476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行政许可</w:t>
            </w:r>
          </w:p>
        </w:tc>
        <w:tc>
          <w:tcPr>
            <w:tcW w:w="1246" w:type="dxa"/>
            <w:shd w:val="clear" w:color="auto" w:fill="auto"/>
            <w:vAlign w:val="center"/>
          </w:tcPr>
          <w:p w14:paraId="1E311CF6">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6D38CCB9">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10A53599">
            <w:pPr>
              <w:ind w:firstLine="420" w:firstLineChars="200"/>
              <w:jc w:val="left"/>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《营业性演出管理条例》第六条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14:paraId="09D2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52" w:type="dxa"/>
            <w:vAlign w:val="center"/>
          </w:tcPr>
          <w:p w14:paraId="42E9CD0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188" w:type="dxa"/>
            <w:vAlign w:val="center"/>
          </w:tcPr>
          <w:p w14:paraId="7BB9329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文艺表演团体变更</w:t>
            </w:r>
          </w:p>
        </w:tc>
        <w:tc>
          <w:tcPr>
            <w:tcW w:w="1092" w:type="dxa"/>
            <w:vAlign w:val="center"/>
          </w:tcPr>
          <w:p w14:paraId="6E57334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行政确认</w:t>
            </w:r>
          </w:p>
        </w:tc>
        <w:tc>
          <w:tcPr>
            <w:tcW w:w="1246" w:type="dxa"/>
            <w:shd w:val="clear" w:color="auto" w:fill="auto"/>
            <w:vAlign w:val="center"/>
          </w:tcPr>
          <w:p w14:paraId="31ADAD00">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66504F98">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Merge w:val="restart"/>
            <w:vAlign w:val="center"/>
          </w:tcPr>
          <w:p w14:paraId="65D10657">
            <w:pPr>
              <w:jc w:val="left"/>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《营业性演出管理条例》第八条  文艺表演团体变更名称、住所、法定代表人或者主要负责人、营业性演出经营项目，应当向原发证机关申请换发营业性演出许可证，并依法到工商行政管理部门办理变更登记。演出场所经营单位变更名称、住所、法定代表人或者主要负责人，应当依法到工商行政管理部门办理变更登记，并向原备案机关重新备案。</w:t>
            </w:r>
          </w:p>
        </w:tc>
      </w:tr>
      <w:tr w14:paraId="1D75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52" w:type="dxa"/>
            <w:vAlign w:val="center"/>
          </w:tcPr>
          <w:p w14:paraId="7E77ED2D">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2188" w:type="dxa"/>
            <w:vAlign w:val="center"/>
          </w:tcPr>
          <w:p w14:paraId="1E990C6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演出场所经营单位变更</w:t>
            </w:r>
          </w:p>
        </w:tc>
        <w:tc>
          <w:tcPr>
            <w:tcW w:w="1092" w:type="dxa"/>
            <w:shd w:val="clear" w:color="auto" w:fill="auto"/>
            <w:vAlign w:val="center"/>
          </w:tcPr>
          <w:p w14:paraId="7BC2AF72">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行政确认</w:t>
            </w:r>
          </w:p>
        </w:tc>
        <w:tc>
          <w:tcPr>
            <w:tcW w:w="1246" w:type="dxa"/>
            <w:shd w:val="clear" w:color="auto" w:fill="auto"/>
            <w:vAlign w:val="center"/>
          </w:tcPr>
          <w:p w14:paraId="44493D28">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75644BE7">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Merge w:val="continue"/>
            <w:vAlign w:val="center"/>
          </w:tcPr>
          <w:p w14:paraId="1D02A3B0">
            <w:pPr>
              <w:jc w:val="left"/>
              <w:rPr>
                <w:rFonts w:hint="eastAsia" w:ascii="仿宋" w:hAnsi="仿宋" w:eastAsia="仿宋" w:cs="仿宋"/>
                <w:vertAlign w:val="baseline"/>
                <w:lang w:val="en-US" w:eastAsia="zh-CN"/>
              </w:rPr>
            </w:pPr>
          </w:p>
        </w:tc>
      </w:tr>
      <w:tr w14:paraId="738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652" w:type="dxa"/>
            <w:vAlign w:val="center"/>
          </w:tcPr>
          <w:p w14:paraId="32C3DE2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2188" w:type="dxa"/>
            <w:vAlign w:val="center"/>
          </w:tcPr>
          <w:p w14:paraId="20DDB1D1">
            <w:pPr>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互联网上网服务营业场所经营单位设立的审批</w:t>
            </w:r>
          </w:p>
        </w:tc>
        <w:tc>
          <w:tcPr>
            <w:tcW w:w="1092" w:type="dxa"/>
            <w:shd w:val="clear" w:color="auto" w:fill="auto"/>
            <w:vAlign w:val="center"/>
          </w:tcPr>
          <w:p w14:paraId="5090DE7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行政许可</w:t>
            </w:r>
          </w:p>
        </w:tc>
        <w:tc>
          <w:tcPr>
            <w:tcW w:w="1246" w:type="dxa"/>
            <w:shd w:val="clear" w:color="auto" w:fill="auto"/>
            <w:vAlign w:val="center"/>
          </w:tcPr>
          <w:p w14:paraId="1F26707A">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sz w:val="21"/>
                <w:szCs w:val="21"/>
                <w:vertAlign w:val="baseline"/>
                <w:lang w:val="en-US" w:eastAsia="zh-CN"/>
              </w:rPr>
              <w:t>区文旅广体局</w:t>
            </w:r>
          </w:p>
        </w:tc>
        <w:tc>
          <w:tcPr>
            <w:tcW w:w="1765" w:type="dxa"/>
            <w:shd w:val="clear" w:color="auto" w:fill="auto"/>
            <w:vAlign w:val="center"/>
          </w:tcPr>
          <w:p w14:paraId="210F5F37">
            <w:pPr>
              <w:jc w:val="center"/>
              <w:rPr>
                <w:rFonts w:hint="eastAsia" w:ascii="仿宋" w:hAnsi="仿宋" w:eastAsia="仿宋" w:cs="仿宋"/>
                <w:i w:val="0"/>
                <w:iCs w:val="0"/>
                <w:caps w:val="0"/>
                <w:color w:val="000000"/>
                <w:spacing w:val="0"/>
                <w:kern w:val="2"/>
                <w:sz w:val="21"/>
                <w:szCs w:val="21"/>
                <w:lang w:val="en-US" w:eastAsia="zh-CN" w:bidi="ar-SA"/>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7268E5C8">
            <w:pPr>
              <w:ind w:firstLine="420" w:firstLineChars="200"/>
              <w:jc w:val="left"/>
              <w:rPr>
                <w:rFonts w:hint="default" w:ascii="仿宋" w:hAnsi="仿宋" w:eastAsia="仿宋" w:cs="仿宋"/>
                <w:sz w:val="21"/>
                <w:szCs w:val="21"/>
                <w:vertAlign w:val="baseline"/>
                <w:lang w:val="en-US" w:eastAsia="zh-CN"/>
              </w:rPr>
            </w:pPr>
            <w:r>
              <w:rPr>
                <w:rFonts w:hint="eastAsia" w:ascii="仿宋" w:hAnsi="仿宋" w:eastAsia="仿宋" w:cs="仿宋"/>
                <w:i w:val="0"/>
                <w:iCs w:val="0"/>
                <w:caps w:val="0"/>
                <w:color w:val="000000"/>
                <w:spacing w:val="0"/>
                <w:kern w:val="0"/>
                <w:sz w:val="21"/>
                <w:szCs w:val="21"/>
                <w:lang w:val="en-US" w:eastAsia="zh-CN" w:bidi="ar"/>
              </w:rPr>
              <w:t>《互联网上网服务营业场所管理条例》第四条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14:paraId="676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652" w:type="dxa"/>
            <w:vAlign w:val="center"/>
          </w:tcPr>
          <w:p w14:paraId="655D2995">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9</w:t>
            </w:r>
          </w:p>
        </w:tc>
        <w:tc>
          <w:tcPr>
            <w:tcW w:w="2188" w:type="dxa"/>
            <w:vAlign w:val="center"/>
          </w:tcPr>
          <w:p w14:paraId="36450A5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互联网上网服务营业场所经营单位变更的审批</w:t>
            </w:r>
          </w:p>
        </w:tc>
        <w:tc>
          <w:tcPr>
            <w:tcW w:w="1092" w:type="dxa"/>
            <w:shd w:val="clear" w:color="auto" w:fill="auto"/>
            <w:vAlign w:val="center"/>
          </w:tcPr>
          <w:p w14:paraId="7643D5D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34B31E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0172CC1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3E106922">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《互联网上网服务营业场所管理条例》第十三条  互联网上网服务营业场所经营单位变更营业场所地址或者对营业场所进行改建、扩建，变更计算机数量或者其他重要事项的，应当经原审核机关同意。互联网上网服务营业场所经营单位奕更名称、住所、法定代表人或者主要负责人、注册资本、网络地址或者终止经营活动的，应当依法到工商行政管理部门办理奕更登记或者注销登记，并到文化行政部门、公安机关办理有关手续或者备案。</w:t>
            </w:r>
          </w:p>
        </w:tc>
      </w:tr>
      <w:tr w14:paraId="54CD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65987D49">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10</w:t>
            </w:r>
          </w:p>
        </w:tc>
        <w:tc>
          <w:tcPr>
            <w:tcW w:w="2188" w:type="dxa"/>
            <w:vAlign w:val="center"/>
          </w:tcPr>
          <w:p w14:paraId="1B673D2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从事艺术品经营活动备案</w:t>
            </w:r>
          </w:p>
        </w:tc>
        <w:tc>
          <w:tcPr>
            <w:tcW w:w="1092" w:type="dxa"/>
            <w:shd w:val="clear" w:color="auto" w:fill="auto"/>
            <w:vAlign w:val="center"/>
          </w:tcPr>
          <w:p w14:paraId="38139CB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31C48C4C">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91BD96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7EAB22FF">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r w14:paraId="5B9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C79CD9F">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11</w:t>
            </w:r>
          </w:p>
        </w:tc>
        <w:tc>
          <w:tcPr>
            <w:tcW w:w="2188" w:type="dxa"/>
            <w:vAlign w:val="center"/>
          </w:tcPr>
          <w:p w14:paraId="42C47FA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承办艺术考级活动备案</w:t>
            </w:r>
          </w:p>
        </w:tc>
        <w:tc>
          <w:tcPr>
            <w:tcW w:w="1092" w:type="dxa"/>
            <w:shd w:val="clear" w:color="auto" w:fill="auto"/>
            <w:vAlign w:val="center"/>
          </w:tcPr>
          <w:p w14:paraId="7D7AC37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2184F67">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4BF8A7D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6A8710BA">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《社会艺术水平考级管理办法》第十七条  艺术考级机构委托承办单位承办艺术考级活动的，应当自合作协议生效之日起20日内，将承办单位的基本情况和合作协议报审批机关及承办单位所在地县级以上文化行政部门备案，同时抄送文化市场综合执法机构。  第十八条  艺术考级机构应当在开展艺术考级活动5日前，将考级简章、考级时间、考级地点、考生数量、考场安排、考官名单等情况报审批机关和艺术考级活动所在地县级以上文化行政部门备案，同时抄送文化市场综合执法机构。</w:t>
            </w:r>
          </w:p>
        </w:tc>
      </w:tr>
      <w:tr w14:paraId="47F3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38756C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12</w:t>
            </w:r>
          </w:p>
        </w:tc>
        <w:tc>
          <w:tcPr>
            <w:tcW w:w="2188" w:type="dxa"/>
            <w:vAlign w:val="center"/>
          </w:tcPr>
          <w:p w14:paraId="20CC2863">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歌舞娱乐场所从事娱乐场所经营活动设立的审批</w:t>
            </w:r>
          </w:p>
        </w:tc>
        <w:tc>
          <w:tcPr>
            <w:tcW w:w="1092" w:type="dxa"/>
            <w:shd w:val="clear" w:color="auto" w:fill="auto"/>
            <w:vAlign w:val="center"/>
          </w:tcPr>
          <w:p w14:paraId="0225A7D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0DF8FC7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C9EF72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3F8E2EA2">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《娱乐场所管理条例》第九条  娱乐场所申请从事娱乐场所经营活动的，应当向所在地县级人民政府文化主管部门提出申请；外商投资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直实性负责。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数量者数量；不予批准的，应当书面通知申请人并说明理由。有关法律、行政法规规定需要办理消防、卫生、环境保护等审批手续的，从其规定。</w:t>
            </w:r>
          </w:p>
        </w:tc>
      </w:tr>
      <w:tr w14:paraId="5558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6D499A4">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13</w:t>
            </w:r>
          </w:p>
        </w:tc>
        <w:tc>
          <w:tcPr>
            <w:tcW w:w="2188" w:type="dxa"/>
            <w:vAlign w:val="center"/>
          </w:tcPr>
          <w:p w14:paraId="1ABF46BF">
            <w:pPr>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歌舞娱乐场所变更的审批</w:t>
            </w:r>
          </w:p>
        </w:tc>
        <w:tc>
          <w:tcPr>
            <w:tcW w:w="1092" w:type="dxa"/>
            <w:shd w:val="clear" w:color="auto" w:fill="auto"/>
            <w:vAlign w:val="center"/>
          </w:tcPr>
          <w:p w14:paraId="62597E04">
            <w:pPr>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3DD47A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57D312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741CF02">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《娱乐场所管理条例》第十二条  娱乐场所改建、扩建营业场所或者变更场地、主要设施设备、投资人员，或者变更娱乐场所经营许可证载明的事项的，应当向原发证机关申请重新核发娱乐经营许可证，并向公安部门备案；需要办理变更登记的，应当依法向工商行政管理部门办理变更登记。</w:t>
            </w:r>
          </w:p>
        </w:tc>
      </w:tr>
      <w:tr w14:paraId="2A59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F7BA12F">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14</w:t>
            </w:r>
          </w:p>
        </w:tc>
        <w:tc>
          <w:tcPr>
            <w:tcW w:w="2188" w:type="dxa"/>
            <w:vAlign w:val="center"/>
          </w:tcPr>
          <w:p w14:paraId="1DEBF5D8">
            <w:pPr>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游艺娱乐场所从事娱乐场所经营活动设立的审批</w:t>
            </w:r>
          </w:p>
        </w:tc>
        <w:tc>
          <w:tcPr>
            <w:tcW w:w="1092" w:type="dxa"/>
            <w:shd w:val="clear" w:color="auto" w:fill="auto"/>
            <w:vAlign w:val="center"/>
          </w:tcPr>
          <w:p w14:paraId="36364249">
            <w:pPr>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702BAFFC">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41EA5B6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C057DC0">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《娱乐场所管理条例》第九条  娱乐场所申请从事娱乐场所经营活动的，应当向所在地县级人民政府文化主管部门提出申请；外商投资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直实性负责。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数量者数量；不予批准的，应当书面通知申请人并说明理由。有关法律、行政法规规定需要办理消防、卫生、环境保护等审批手续的，从其规定。</w:t>
            </w:r>
          </w:p>
        </w:tc>
      </w:tr>
      <w:tr w14:paraId="42A3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2AC6DF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15</w:t>
            </w:r>
          </w:p>
        </w:tc>
        <w:tc>
          <w:tcPr>
            <w:tcW w:w="2188" w:type="dxa"/>
            <w:vAlign w:val="center"/>
          </w:tcPr>
          <w:p w14:paraId="7201DB9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剧本娱乐经营场所备案</w:t>
            </w:r>
          </w:p>
        </w:tc>
        <w:tc>
          <w:tcPr>
            <w:tcW w:w="1092" w:type="dxa"/>
            <w:shd w:val="clear" w:color="auto" w:fill="auto"/>
            <w:vAlign w:val="center"/>
          </w:tcPr>
          <w:p w14:paraId="4638402A">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3DDD8CC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46F3F1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55AAE91E">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《文旅部 公安部 住房和城乡建设部 应急管理部 市场监管总局关于加强剧本娱乐经营场所管理的通知》一、依法办理登记，履行备案手续。（一）明确经营范围。剧本娱乐经营场所应当依法向所在地县级以上市场监管部门办理登记并领取营业执照，经营范围登记为“剧本娱乐活动”。（二）实行告知性备案。剧本娱乐经营场所应当自经营之日起30个自然日内将经营场所地址以及场所使用的剧本脚本名称、作者、简介、适龄范围等信息，通过全国文化市场技术监管与服务平台，报经营场所所在地县级文化和旅游行政部门备案。新增剧本脚本，或者剧本脚本的故事背景、剧情等主要内容发生实质性变化的，应当自使用之日起30个自然日内将剧本脚本的上述信息报原备案部门备案。文化和旅游部负责制定剧本娱乐活动备案指南。</w:t>
            </w:r>
          </w:p>
        </w:tc>
      </w:tr>
      <w:tr w14:paraId="6E37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0BD5161">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16</w:t>
            </w:r>
          </w:p>
        </w:tc>
        <w:tc>
          <w:tcPr>
            <w:tcW w:w="2188" w:type="dxa"/>
            <w:vAlign w:val="center"/>
          </w:tcPr>
          <w:p w14:paraId="5C4187D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经营高危险性体育项目许可</w:t>
            </w:r>
          </w:p>
        </w:tc>
        <w:tc>
          <w:tcPr>
            <w:tcW w:w="1092" w:type="dxa"/>
            <w:shd w:val="clear" w:color="auto" w:fill="auto"/>
            <w:vAlign w:val="center"/>
          </w:tcPr>
          <w:p w14:paraId="13F1FA34">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08A1C691">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6BB85D8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071FA3FA">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《经营高危险性体育项目许可管理办法》第五条  国家体育总局指导全国范围内经营高危险性体育项目行政许可工作，会同有关部门制定、调整高危险性体育项目目录，并经国务院批准后予以公布。县级以上人民政府体育主管部门负责本行政区域的经营高危险性体育项目行政许可工作。                 </w:t>
            </w:r>
          </w:p>
          <w:p w14:paraId="643379E4">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第七条　企业、个体工商户经营高危险性体育项目的，应当在工商行政管理部门依法办理相关登记手续后，向县级以上地方人民政府体育主管部门申请行政许可。</w:t>
            </w:r>
          </w:p>
        </w:tc>
      </w:tr>
      <w:tr w14:paraId="7B45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E112C8E">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17</w:t>
            </w:r>
          </w:p>
        </w:tc>
        <w:tc>
          <w:tcPr>
            <w:tcW w:w="2188" w:type="dxa"/>
            <w:vAlign w:val="center"/>
          </w:tcPr>
          <w:p w14:paraId="25A0EA8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举办高危险性体育赛事活动许可</w:t>
            </w:r>
          </w:p>
        </w:tc>
        <w:tc>
          <w:tcPr>
            <w:tcW w:w="1092" w:type="dxa"/>
            <w:shd w:val="clear" w:color="auto" w:fill="auto"/>
            <w:vAlign w:val="center"/>
          </w:tcPr>
          <w:p w14:paraId="1183200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447ECBB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03D88AC">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1DE87F8A">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《体育赛事活动管理办法》第十三条 举办高危险性体育赛事活动实施行政许可。体育总局指导全国范围内的高危险性体育赛事活动行政许可工作，会同有关部门制定、调整高危险性体育赛事活动目录并予以公布。地方体育行政部门负责所辖区域内的高危险性体育赛事活动行政许可工作。跨行政区域的高危险性体育赛事活动由所在行政区域的地方体育行政部门协商确定许可方式，协商不一致的，须向相关行政区域的地方体育行政部门分别提出申请。</w:t>
            </w:r>
          </w:p>
        </w:tc>
      </w:tr>
      <w:tr w14:paraId="4D89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5C9F878">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18</w:t>
            </w:r>
          </w:p>
        </w:tc>
        <w:tc>
          <w:tcPr>
            <w:tcW w:w="2188" w:type="dxa"/>
            <w:vAlign w:val="center"/>
          </w:tcPr>
          <w:p w14:paraId="521CF2E3">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对公共文化体育设施的名称、地址、服务项目等内容的备案</w:t>
            </w:r>
          </w:p>
        </w:tc>
        <w:tc>
          <w:tcPr>
            <w:tcW w:w="1092" w:type="dxa"/>
            <w:shd w:val="clear" w:color="auto" w:fill="auto"/>
            <w:vAlign w:val="center"/>
          </w:tcPr>
          <w:p w14:paraId="4023EC1E">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3CBB444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629C2F5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01E57C38">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《公共文化体育设施条例》第二十四条 公共文化体育设施管理单位应当将公共文化体育设施的名称、地址、服务项目等内容报所在地县级人民政府文化行政主管部门、体育行政主管部门备案。县级人民政府文化行政主管部门、体育行政主管部门应当向公众公布公共文化体育设施名录。</w:t>
            </w:r>
          </w:p>
        </w:tc>
      </w:tr>
      <w:tr w14:paraId="2C72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D0B58BA">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19</w:t>
            </w:r>
          </w:p>
        </w:tc>
        <w:tc>
          <w:tcPr>
            <w:tcW w:w="2188" w:type="dxa"/>
            <w:vAlign w:val="center"/>
          </w:tcPr>
          <w:p w14:paraId="323BD43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珍贵文物等级的确定</w:t>
            </w:r>
          </w:p>
        </w:tc>
        <w:tc>
          <w:tcPr>
            <w:tcW w:w="1092" w:type="dxa"/>
            <w:shd w:val="clear" w:color="auto" w:fill="auto"/>
            <w:vAlign w:val="center"/>
          </w:tcPr>
          <w:p w14:paraId="22826CB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12776B2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9419C8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7C7696E4">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《文物认定管理暂行办法》第十条 各级文物行政部门应当根据《中华人民共和国文物保护法》第三条的规定，组织开展经常性的文物定级工作。</w:t>
            </w:r>
          </w:p>
          <w:p w14:paraId="42EA38B4">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第十一条 文物收藏单位收藏文物的定级，由主管的文物行政部门备案确认。文物行政部门应当建立民间收藏文物定级的工作机制，组织开展民间收藏文物的定级工作。定级的民间收藏文物，由主管的地方文物行政部门备案。</w:t>
            </w:r>
          </w:p>
        </w:tc>
      </w:tr>
      <w:tr w14:paraId="04DD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28A030C">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20</w:t>
            </w:r>
          </w:p>
        </w:tc>
        <w:tc>
          <w:tcPr>
            <w:tcW w:w="2188" w:type="dxa"/>
            <w:vAlign w:val="center"/>
          </w:tcPr>
          <w:p w14:paraId="3696D8CC">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国有文物收藏单位之间借出二级（含） 以下馆藏文物备案</w:t>
            </w:r>
          </w:p>
        </w:tc>
        <w:tc>
          <w:tcPr>
            <w:tcW w:w="1092" w:type="dxa"/>
            <w:shd w:val="clear" w:color="auto" w:fill="auto"/>
            <w:vAlign w:val="center"/>
          </w:tcPr>
          <w:p w14:paraId="7884C9C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6B32E1B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0E5FF5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3D0986DA">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文物保护法》第四十条 文物收藏单位应当充分发挥馆藏文物的作用，通过举办展览、科学研究等活动，加强对中华民族优秀的历史文化和革命传统的宣传教育。国有文物收藏单位之间因举办展览、科学研究等需借用馆藏文物的，应当报主管的文物行政部门备案；借用馆藏一级文物的，应当同时报国务院文物行政部门备案。非国有文物收藏单位和其他单位举办展览需借用国有馆藏文物的，应当报主管的文物行政部门批准，借用国有藏馆一级文物，应当经国务院文物行政部门批准。文物收藏单位之间借用文物的最长期限不得超过三年。</w:t>
            </w:r>
          </w:p>
        </w:tc>
      </w:tr>
      <w:tr w14:paraId="7568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76AC4AAF">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21</w:t>
            </w:r>
          </w:p>
        </w:tc>
        <w:tc>
          <w:tcPr>
            <w:tcW w:w="2188" w:type="dxa"/>
            <w:vAlign w:val="center"/>
          </w:tcPr>
          <w:p w14:paraId="2A6116D9">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博物馆陈列展览的备案</w:t>
            </w:r>
          </w:p>
        </w:tc>
        <w:tc>
          <w:tcPr>
            <w:tcW w:w="1092" w:type="dxa"/>
            <w:shd w:val="clear" w:color="auto" w:fill="auto"/>
            <w:vAlign w:val="center"/>
          </w:tcPr>
          <w:p w14:paraId="0361786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7FAF090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EBBFA6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0FD5A92D">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《博物馆条例》第三十一条  博物馆举办陈列展览的，应当在陈列展览开始之日10个工作日前，将陈列展览主题、展品说明、讲解词等向陈列展览举办地的文物主管部门或者其他有关备案部门。各级人民政府文物主管部门和博物馆行业组织应当将对博物馆陈列展览的指导和监督。</w:t>
            </w:r>
          </w:p>
        </w:tc>
      </w:tr>
      <w:tr w14:paraId="0A88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633634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22</w:t>
            </w:r>
          </w:p>
        </w:tc>
        <w:tc>
          <w:tcPr>
            <w:tcW w:w="2188" w:type="dxa"/>
            <w:vAlign w:val="center"/>
          </w:tcPr>
          <w:p w14:paraId="1A595D11">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非国有文物收藏单位和其他单位借用国有文物收藏单位馆藏文物审批</w:t>
            </w:r>
          </w:p>
        </w:tc>
        <w:tc>
          <w:tcPr>
            <w:tcW w:w="1092" w:type="dxa"/>
            <w:shd w:val="clear" w:color="auto" w:fill="auto"/>
            <w:vAlign w:val="center"/>
          </w:tcPr>
          <w:p w14:paraId="6DF08387">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7204713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442E1FC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6D802962">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《文物保护法》第四十条  文物收藏单位应当充分发挥馆藏文物的作用，通过举办展览、科学研究等活动，加强对中华民族优秀的历史文化和革命传统的宣传教育。国有文物收藏单位之间因举办展览、科学研究等需借用馆藏文物的，应当报主管的文物行政部门备案；借用馆藏一级文物的，应当同时报国务院文物行政部门备案。非国有文物收藏单位和其他单位举办展览借用国有馆藏文物的，应当报主管的文物行政部门批准；借用国有藏馆一级文物，应当经国务院文物行政部门批准。</w:t>
            </w:r>
          </w:p>
        </w:tc>
      </w:tr>
      <w:tr w14:paraId="4BBA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9974F46">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23</w:t>
            </w:r>
          </w:p>
        </w:tc>
        <w:tc>
          <w:tcPr>
            <w:tcW w:w="2188" w:type="dxa"/>
            <w:vAlign w:val="center"/>
          </w:tcPr>
          <w:p w14:paraId="3CA29D8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博物馆处理不够入藏标准、无保存价值的文物或标本审批</w:t>
            </w:r>
          </w:p>
        </w:tc>
        <w:tc>
          <w:tcPr>
            <w:tcW w:w="1092" w:type="dxa"/>
            <w:shd w:val="clear" w:color="auto" w:fill="auto"/>
            <w:vAlign w:val="center"/>
          </w:tcPr>
          <w:p w14:paraId="719AA47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2B1314C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14A9F5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792750D">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《博物馆管理办法》第二十二条 博物馆不够本馆收藏标准，或因腐蚀损毁等原因无法修复并无继续保存价值的藏品，经本馆或受委托的专家委员会评估认定后，可以向省级文物行政部门申请退出馆藏。退出馆藏申请材料的内容，应当包括拟不再收藏的藏品名称、数量和退出馆藏的原因，并附有关藏品档案复制件。</w:t>
            </w:r>
          </w:p>
        </w:tc>
      </w:tr>
      <w:tr w14:paraId="5184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507D380">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24</w:t>
            </w:r>
          </w:p>
        </w:tc>
        <w:tc>
          <w:tcPr>
            <w:tcW w:w="2188" w:type="dxa"/>
            <w:vAlign w:val="center"/>
          </w:tcPr>
          <w:p w14:paraId="013376B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国有文物收藏单位收藏、保管的文物藏品档案、管理制度备案</w:t>
            </w:r>
          </w:p>
        </w:tc>
        <w:tc>
          <w:tcPr>
            <w:tcW w:w="1092" w:type="dxa"/>
            <w:shd w:val="clear" w:color="auto" w:fill="auto"/>
            <w:vAlign w:val="center"/>
          </w:tcPr>
          <w:p w14:paraId="4DD39450">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68E84E4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0C26EAD">
            <w:pPr>
              <w:jc w:val="center"/>
              <w:rPr>
                <w:rFonts w:hint="eastAsia" w:ascii="仿宋" w:hAnsi="仿宋" w:eastAsia="仿宋" w:cs="仿宋"/>
                <w:i w:val="0"/>
                <w:iCs w:val="0"/>
                <w:caps w:val="0"/>
                <w:color w:val="000000"/>
                <w:spacing w:val="0"/>
                <w:kern w:val="0"/>
                <w:sz w:val="18"/>
                <w:szCs w:val="18"/>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154F40F5">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三十六条 博物馆、图书馆和其他文物收藏单位对收藏的文物，必须区分文物等级，设置藏品档案，建立严格的管理制度，并报主管的文物行政部门备案。县级以上地方人民政府文物行政部门应当分别建立本行政区域内的馆藏文物档案；国务院文物行政部门应当建立国家一级文物藏品档案和其主管的国有文物收藏单位馆藏文物档案。</w:t>
            </w:r>
          </w:p>
          <w:p w14:paraId="0D7B1C79">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第三十八条 文物收藏单位应当根据馆藏文物的保护需要，按照国家有关规定建立、健全管理制度，并报主管的文物行政部门备案。未经批准，任何单位或者个人不得调取馆藏文物。文物收藏单位的法定代表人对馆藏的文物的安全负责。国有文物收藏单位的法定代表人离任时，应当按照馆藏文物档案办理馆藏文物移交手续。</w:t>
            </w:r>
          </w:p>
        </w:tc>
      </w:tr>
      <w:tr w14:paraId="619E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6042230C">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25</w:t>
            </w:r>
          </w:p>
        </w:tc>
        <w:tc>
          <w:tcPr>
            <w:tcW w:w="2188" w:type="dxa"/>
            <w:vAlign w:val="center"/>
          </w:tcPr>
          <w:p w14:paraId="4CA386C1">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市、县级文物保护单位改变用途审批</w:t>
            </w:r>
          </w:p>
        </w:tc>
        <w:tc>
          <w:tcPr>
            <w:tcW w:w="1092" w:type="dxa"/>
            <w:shd w:val="clear" w:color="auto" w:fill="auto"/>
            <w:vAlign w:val="center"/>
          </w:tcPr>
          <w:p w14:paraId="3EE0B22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EFD54B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E9DCC2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3438AD3B">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《文物保护法》第二十三条  核定为文物保护单位的属于国家所有的纪念建筑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r>
      <w:tr w14:paraId="1DA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A6BEA8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26</w:t>
            </w:r>
          </w:p>
        </w:tc>
        <w:tc>
          <w:tcPr>
            <w:tcW w:w="2188" w:type="dxa"/>
            <w:vAlign w:val="center"/>
          </w:tcPr>
          <w:p w14:paraId="550B4D81">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县级文物保护单位实施原址保护措施审批</w:t>
            </w:r>
          </w:p>
        </w:tc>
        <w:tc>
          <w:tcPr>
            <w:tcW w:w="1092" w:type="dxa"/>
            <w:shd w:val="clear" w:color="auto" w:fill="auto"/>
            <w:vAlign w:val="center"/>
          </w:tcPr>
          <w:p w14:paraId="2A96A120">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25FE17F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2832F55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7345580F">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p>
        </w:tc>
      </w:tr>
      <w:tr w14:paraId="26E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6BBEEAC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27</w:t>
            </w:r>
          </w:p>
        </w:tc>
        <w:tc>
          <w:tcPr>
            <w:tcW w:w="2188" w:type="dxa"/>
            <w:vAlign w:val="center"/>
          </w:tcPr>
          <w:p w14:paraId="5380BD4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全国重点文物保护单位、省级及以下文物保护单位（含省级水下文物保护单位、水下文物保护区）的认定</w:t>
            </w:r>
          </w:p>
        </w:tc>
        <w:tc>
          <w:tcPr>
            <w:tcW w:w="1092" w:type="dxa"/>
            <w:shd w:val="clear" w:color="auto" w:fill="auto"/>
            <w:vAlign w:val="center"/>
          </w:tcPr>
          <w:p w14:paraId="7320F7C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49E1B461">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4CE3611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1120CD7D">
            <w:pPr>
              <w:ind w:firstLine="420" w:firstLineChars="200"/>
              <w:jc w:val="left"/>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十三条 国务院文物行政部门在省级、市、县级文物保护单位中，选择具有重大历史、艺术、科学价值的确定为全国重点文物保护单位，或者直接确定为全国重点文物保护单位，报国务院核定公布。省级文物保护单位，由省、自治区、直辖市人民政府核定公布，并报国务院备案。市级和县级文物保护单位，分别由设区的市、自治州和县级人民政府核定公布，并报省、自治区、直辖市人民政府备案。尚未核定公布为文物保护单位的不可移交文物，由县级人民政务文物行政部门予以登记并公布。</w:t>
            </w:r>
          </w:p>
        </w:tc>
      </w:tr>
      <w:tr w14:paraId="4B1D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5099BD15">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28</w:t>
            </w:r>
          </w:p>
        </w:tc>
        <w:tc>
          <w:tcPr>
            <w:tcW w:w="2188" w:type="dxa"/>
            <w:vAlign w:val="center"/>
          </w:tcPr>
          <w:p w14:paraId="2DCC2B6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县级文物保护单位和其他不可移动文物修缮审批</w:t>
            </w:r>
          </w:p>
        </w:tc>
        <w:tc>
          <w:tcPr>
            <w:tcW w:w="1092" w:type="dxa"/>
            <w:shd w:val="clear" w:color="auto" w:fill="auto"/>
            <w:vAlign w:val="center"/>
          </w:tcPr>
          <w:p w14:paraId="05E18C2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29456A0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4EE19D43">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64EBCE1B">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《中华人民共和国文物保护法》第二十一条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w:t>
            </w:r>
          </w:p>
        </w:tc>
      </w:tr>
      <w:tr w14:paraId="6932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4DA58434">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29</w:t>
            </w:r>
          </w:p>
        </w:tc>
        <w:tc>
          <w:tcPr>
            <w:tcW w:w="2188" w:type="dxa"/>
            <w:vAlign w:val="center"/>
          </w:tcPr>
          <w:p w14:paraId="4082C1F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建设工程文物保护和考古许可</w:t>
            </w:r>
          </w:p>
        </w:tc>
        <w:tc>
          <w:tcPr>
            <w:tcW w:w="1092" w:type="dxa"/>
            <w:shd w:val="clear" w:color="auto" w:fill="auto"/>
            <w:vAlign w:val="center"/>
          </w:tcPr>
          <w:p w14:paraId="0807029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1246" w:type="dxa"/>
            <w:shd w:val="clear" w:color="auto" w:fill="auto"/>
            <w:vAlign w:val="center"/>
          </w:tcPr>
          <w:p w14:paraId="1BE63AD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79DBC0C">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46C56109">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三十条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w:t>
            </w:r>
          </w:p>
        </w:tc>
      </w:tr>
      <w:tr w14:paraId="5C22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61257C11">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30</w:t>
            </w:r>
          </w:p>
        </w:tc>
        <w:tc>
          <w:tcPr>
            <w:tcW w:w="2188" w:type="dxa"/>
            <w:vAlign w:val="center"/>
          </w:tcPr>
          <w:p w14:paraId="5A08B58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文物保护工程验收</w:t>
            </w:r>
          </w:p>
        </w:tc>
        <w:tc>
          <w:tcPr>
            <w:tcW w:w="1092" w:type="dxa"/>
            <w:shd w:val="clear" w:color="auto" w:fill="auto"/>
            <w:vAlign w:val="center"/>
          </w:tcPr>
          <w:p w14:paraId="6A7C2250">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4EE3720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BF3B55A">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1987796">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《文物保护工程管理办法》第二十二条  文物保护工程应当按工序分阶段验收，重大工程告一段落时，项目的审批机关应当组织或者委托有关单位进行阶段验收。 </w:t>
            </w:r>
          </w:p>
          <w:p w14:paraId="62171523">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  第二十三条  工程竣工后，由业主单位会同设计单位、施工单位、监理单位对工程质量进行验评，并提交工程总结报告、竣工报告、竣工图纸、财务决算书及说明等资料，经原申报机关初验合格后报审批机关。项目的审批机关视工程项目的实际情况成立验收小组或者委托有关单位，组织竣工验收。</w:t>
            </w:r>
          </w:p>
        </w:tc>
      </w:tr>
      <w:tr w14:paraId="09D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3F0B1270">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31</w:t>
            </w:r>
          </w:p>
        </w:tc>
        <w:tc>
          <w:tcPr>
            <w:tcW w:w="2188" w:type="dxa"/>
            <w:vAlign w:val="center"/>
          </w:tcPr>
          <w:p w14:paraId="546D1D1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在文物埋藏区内进行大型工程建设考古调查、勘探</w:t>
            </w:r>
          </w:p>
        </w:tc>
        <w:tc>
          <w:tcPr>
            <w:tcW w:w="1092" w:type="dxa"/>
            <w:shd w:val="clear" w:color="auto" w:fill="auto"/>
            <w:vAlign w:val="center"/>
          </w:tcPr>
          <w:p w14:paraId="5C30DCF3">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2DB79E2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1C03AEE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7B43B6FD">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r>
      <w:tr w14:paraId="46C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7906881F">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32</w:t>
            </w:r>
          </w:p>
        </w:tc>
        <w:tc>
          <w:tcPr>
            <w:tcW w:w="2188" w:type="dxa"/>
            <w:vAlign w:val="center"/>
          </w:tcPr>
          <w:p w14:paraId="3AB2C68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县级文物保护单位保护范围及建设控制地带的划定并公布</w:t>
            </w:r>
          </w:p>
        </w:tc>
        <w:tc>
          <w:tcPr>
            <w:tcW w:w="1092" w:type="dxa"/>
            <w:shd w:val="clear" w:color="auto" w:fill="auto"/>
            <w:vAlign w:val="center"/>
          </w:tcPr>
          <w:p w14:paraId="77D0183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44F34775">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9BCFA96">
            <w:pPr>
              <w:jc w:val="center"/>
              <w:rPr>
                <w:rFonts w:hint="eastAsia" w:ascii="仿宋" w:hAnsi="仿宋" w:eastAsia="仿宋" w:cs="仿宋"/>
                <w:i w:val="0"/>
                <w:iCs w:val="0"/>
                <w:caps w:val="0"/>
                <w:color w:val="000000"/>
                <w:spacing w:val="0"/>
                <w:kern w:val="0"/>
                <w:sz w:val="18"/>
                <w:szCs w:val="18"/>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49B26086">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十五条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县级以上地方人民政府文物行政部门应当根据不同文物的保护需要，制定文物保护单位和未核定为文物保护单位的不可移动文物的具体保护措施，并公告施行。</w:t>
            </w:r>
          </w:p>
          <w:p w14:paraId="76D586B6">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第十八条  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tc>
      </w:tr>
      <w:tr w14:paraId="339D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75C4886">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33</w:t>
            </w:r>
          </w:p>
        </w:tc>
        <w:tc>
          <w:tcPr>
            <w:tcW w:w="2188" w:type="dxa"/>
            <w:vAlign w:val="center"/>
          </w:tcPr>
          <w:p w14:paraId="0441FFC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国有未核定为文物保护单位的不可移动文物改变用途审批</w:t>
            </w:r>
          </w:p>
        </w:tc>
        <w:tc>
          <w:tcPr>
            <w:tcW w:w="1092" w:type="dxa"/>
            <w:shd w:val="clear" w:color="auto" w:fill="auto"/>
            <w:vAlign w:val="center"/>
          </w:tcPr>
          <w:p w14:paraId="68C0ECEA">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54747ED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2692667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38FC9194">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《文物保护法》第二十三条  核定为文物保护单位的属于国家所有的纪念建筑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r>
      <w:tr w14:paraId="5E4C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891ECDA">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34</w:t>
            </w:r>
          </w:p>
        </w:tc>
        <w:tc>
          <w:tcPr>
            <w:tcW w:w="2188" w:type="dxa"/>
            <w:vAlign w:val="center"/>
          </w:tcPr>
          <w:p w14:paraId="53B864F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县级文物保护单位保护范围的划定、标志说明和记录档案</w:t>
            </w:r>
          </w:p>
        </w:tc>
        <w:tc>
          <w:tcPr>
            <w:tcW w:w="1092" w:type="dxa"/>
            <w:shd w:val="clear" w:color="auto" w:fill="auto"/>
            <w:vAlign w:val="center"/>
          </w:tcPr>
          <w:p w14:paraId="229FBB5B">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6CE4946A">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4837507">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56C1A46C">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十五条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县级以上地方人民政府文物行政部门应当根据不同文物的保护需要，制定文物保护单位和未核定为文物保护单位的不可移动文物的具体保护措施，并公告施行。</w:t>
            </w:r>
          </w:p>
        </w:tc>
      </w:tr>
      <w:tr w14:paraId="5B94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041BA01">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35</w:t>
            </w:r>
          </w:p>
        </w:tc>
        <w:tc>
          <w:tcPr>
            <w:tcW w:w="2188" w:type="dxa"/>
            <w:vAlign w:val="center"/>
          </w:tcPr>
          <w:p w14:paraId="3831C0A9">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在县级文物保护单位建设控制地带内的建设工程设计方案审核</w:t>
            </w:r>
          </w:p>
        </w:tc>
        <w:tc>
          <w:tcPr>
            <w:tcW w:w="1092" w:type="dxa"/>
            <w:shd w:val="clear" w:color="auto" w:fill="auto"/>
            <w:vAlign w:val="center"/>
          </w:tcPr>
          <w:p w14:paraId="1EEFE257">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86EDB1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484548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0E9F5BA3">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《文物保护法》第十八条  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tc>
      </w:tr>
      <w:tr w14:paraId="775F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737F05B">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36</w:t>
            </w:r>
          </w:p>
        </w:tc>
        <w:tc>
          <w:tcPr>
            <w:tcW w:w="2188" w:type="dxa"/>
            <w:vAlign w:val="center"/>
          </w:tcPr>
          <w:p w14:paraId="1F0EC9D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县级文物保护单位和其他不可移动文物安防工程、消防工程和防雷工程审批</w:t>
            </w:r>
          </w:p>
        </w:tc>
        <w:tc>
          <w:tcPr>
            <w:tcW w:w="1092" w:type="dxa"/>
            <w:shd w:val="clear" w:color="auto" w:fill="auto"/>
            <w:vAlign w:val="center"/>
          </w:tcPr>
          <w:p w14:paraId="4A85688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0F5B2B76">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A62923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vAlign w:val="center"/>
          </w:tcPr>
          <w:p w14:paraId="2DEF8684">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w:t>
            </w:r>
          </w:p>
        </w:tc>
      </w:tr>
      <w:tr w14:paraId="7616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360B3DB8">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43</w:t>
            </w:r>
          </w:p>
        </w:tc>
        <w:tc>
          <w:tcPr>
            <w:tcW w:w="2188" w:type="dxa"/>
            <w:vAlign w:val="center"/>
          </w:tcPr>
          <w:p w14:paraId="260421ED">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旅行社旅游服务质量保证金缴存、续存、增存备案及降存、取款备案</w:t>
            </w:r>
          </w:p>
        </w:tc>
        <w:tc>
          <w:tcPr>
            <w:tcW w:w="1092" w:type="dxa"/>
            <w:shd w:val="clear" w:color="auto" w:fill="auto"/>
            <w:vAlign w:val="center"/>
          </w:tcPr>
          <w:p w14:paraId="094003CA">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7395635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38222B3A">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文化旅游市场股</w:t>
            </w:r>
          </w:p>
        </w:tc>
        <w:tc>
          <w:tcPr>
            <w:tcW w:w="7324" w:type="dxa"/>
            <w:vAlign w:val="center"/>
          </w:tcPr>
          <w:p w14:paraId="41239DB0">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《旅游法》第三十一条  【旅游服务质量保证金】旅行社应当按照规定交纳旅游服务质量保证金，用于旅游者权益损害赔偿和垫付旅游者人身安全遇有危险时紧急救助的费用。  </w:t>
            </w:r>
          </w:p>
          <w:p w14:paraId="7DA4E98A">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《旅行社条例实施细则》第十五条  旅行社存入、续存、增存质量保证金后7个工作日内，应当向作出许可的旅游行政管理部门提交存入、续存、增存质量保证金的证明文件，以及旅行社与银行达成的使用质量保证金的协议。前款协议应当包含下列内容：（一）旅行社与银行双方同意依照《条例》规定使用质量保证金；（二）旅行社与银行双方承诺，除依照县级以上旅行行政管理部门出具的划拨质量保证金，或者省级以上旅游行政管理部门出具的降低、退还质量保证金的文件，以及人民法院作出的认定旅行社损害旅游者合法权益的生效法律文书外，任何单位和个人不得动用质量保证金。第十六条  旅行社符合《条例》第十七条降低质量保证金数额规定条件的，原许可的旅游行政管理部门应当根据旅行社的要求，在10个工作日内向其出具降低质量保证金数额的文件。第十七条  旅行社按照《条例》第十八条规定补足质量保证金后7个工作日内，应当向原许可的旅游行政管理部门提交补足的证明文件。</w:t>
            </w:r>
          </w:p>
        </w:tc>
      </w:tr>
      <w:tr w14:paraId="4567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67EA95F4">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44</w:t>
            </w:r>
          </w:p>
        </w:tc>
        <w:tc>
          <w:tcPr>
            <w:tcW w:w="2188" w:type="dxa"/>
            <w:vAlign w:val="center"/>
          </w:tcPr>
          <w:p w14:paraId="4E13C7B7">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旅行社省内设立分社备案</w:t>
            </w:r>
          </w:p>
        </w:tc>
        <w:tc>
          <w:tcPr>
            <w:tcW w:w="1092" w:type="dxa"/>
            <w:shd w:val="clear" w:color="auto" w:fill="auto"/>
            <w:vAlign w:val="center"/>
          </w:tcPr>
          <w:p w14:paraId="36FD544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行政确认</w:t>
            </w:r>
          </w:p>
        </w:tc>
        <w:tc>
          <w:tcPr>
            <w:tcW w:w="1246" w:type="dxa"/>
            <w:shd w:val="clear" w:color="auto" w:fill="auto"/>
            <w:vAlign w:val="center"/>
          </w:tcPr>
          <w:p w14:paraId="649CACE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1A79FF5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文化旅游市场股</w:t>
            </w:r>
          </w:p>
        </w:tc>
        <w:tc>
          <w:tcPr>
            <w:tcW w:w="7324" w:type="dxa"/>
            <w:vAlign w:val="center"/>
          </w:tcPr>
          <w:p w14:paraId="72D43827">
            <w:pPr>
              <w:ind w:firstLine="420" w:firstLineChars="20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行社条例》第十条，旅行社设立分社的，应当向分社所在地的工商行政管理部门办理设立登记，并自设立登记之日起3个工作日内向分社所在地的旅游行政管理部门备案。旅行社分社的设立不受地域限制。分社的经营范围不得超出设立分社的旅行社的经营范围。</w:t>
            </w:r>
          </w:p>
        </w:tc>
      </w:tr>
      <w:tr w14:paraId="4DE1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6A845DB">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45</w:t>
            </w:r>
          </w:p>
        </w:tc>
        <w:tc>
          <w:tcPr>
            <w:tcW w:w="2188" w:type="dxa"/>
            <w:shd w:val="clear" w:color="auto" w:fill="auto"/>
            <w:vAlign w:val="center"/>
          </w:tcPr>
          <w:p w14:paraId="63EB536A">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划拨旅行社质量保证金赔偿的决定</w:t>
            </w:r>
          </w:p>
        </w:tc>
        <w:tc>
          <w:tcPr>
            <w:tcW w:w="1092" w:type="dxa"/>
            <w:shd w:val="clear" w:color="auto" w:fill="auto"/>
            <w:vAlign w:val="center"/>
          </w:tcPr>
          <w:p w14:paraId="70CEF555">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行政强制</w:t>
            </w:r>
          </w:p>
        </w:tc>
        <w:tc>
          <w:tcPr>
            <w:tcW w:w="1246" w:type="dxa"/>
            <w:shd w:val="clear" w:color="auto" w:fill="auto"/>
            <w:vAlign w:val="center"/>
          </w:tcPr>
          <w:p w14:paraId="26CE08EE">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F91A3B4">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文化旅游市场股</w:t>
            </w:r>
          </w:p>
        </w:tc>
        <w:tc>
          <w:tcPr>
            <w:tcW w:w="7324" w:type="dxa"/>
            <w:shd w:val="clear" w:color="auto" w:fill="auto"/>
            <w:vAlign w:val="center"/>
          </w:tcPr>
          <w:p w14:paraId="4C9957C4">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《旅行社条例》第十五条  有下列情形之一的。旅游行政管理部门可以使用旅行社的质量保证金：（一）旅行社违反旅游合同约定，侵害旅游者合法权益，经旅游行政管理部门查证属实的；（二）旅行社因解散、破产或者其他原因造成旅游者预交旅游费用损失的。   《旅游投诉处理条例》第二十六条  在下列情形下，经旅游投诉处理机构调解，投诉人与旅行社不能达成调解协议的，旅游投诉处理机构应当做出划拨旅行社质量保证金赔偿的决定，或向旅游行政管理部门提出划拨旅行社质量保证金的建议：（一）旅行社因解散、破产或者其他原因造成旅游者预交旅游费用损失的；（二）因旅行社中止履行旅游合同义务、造成旅游者滞留，而实际发生了交通、食宿或返程等必要及合理费用的。</w:t>
            </w:r>
          </w:p>
        </w:tc>
      </w:tr>
      <w:tr w14:paraId="1C6D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C6AAA18">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46</w:t>
            </w:r>
          </w:p>
        </w:tc>
        <w:tc>
          <w:tcPr>
            <w:tcW w:w="2188" w:type="dxa"/>
            <w:shd w:val="clear" w:color="auto" w:fill="auto"/>
            <w:vAlign w:val="center"/>
          </w:tcPr>
          <w:p w14:paraId="03C1B450">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对娱乐场所监督检查</w:t>
            </w:r>
          </w:p>
        </w:tc>
        <w:tc>
          <w:tcPr>
            <w:tcW w:w="1092" w:type="dxa"/>
            <w:shd w:val="clear" w:color="auto" w:fill="auto"/>
            <w:vAlign w:val="center"/>
          </w:tcPr>
          <w:p w14:paraId="64D1AF77">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2C90FAA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2C14A89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0C2A793A">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《娱乐场所管理条例》第三十二条：文化主管部门、公安部门和其他有关部门的工作人员依法履行监督检查职责时，有权进入娱乐场所。娱乐场所应当予以配合，不得拒绝、阻挠。</w:t>
            </w:r>
          </w:p>
        </w:tc>
      </w:tr>
      <w:tr w14:paraId="6AE2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5EEDB5D0">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47</w:t>
            </w:r>
          </w:p>
        </w:tc>
        <w:tc>
          <w:tcPr>
            <w:tcW w:w="2188" w:type="dxa"/>
            <w:shd w:val="clear" w:color="auto" w:fill="auto"/>
            <w:vAlign w:val="center"/>
          </w:tcPr>
          <w:p w14:paraId="7D44959F">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对旅游市场监督检查</w:t>
            </w:r>
          </w:p>
        </w:tc>
        <w:tc>
          <w:tcPr>
            <w:tcW w:w="1092" w:type="dxa"/>
            <w:shd w:val="clear" w:color="auto" w:fill="auto"/>
            <w:vAlign w:val="center"/>
          </w:tcPr>
          <w:p w14:paraId="47E5884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2285791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4BF071C">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文化旅游市场股</w:t>
            </w:r>
          </w:p>
        </w:tc>
        <w:tc>
          <w:tcPr>
            <w:tcW w:w="7324" w:type="dxa"/>
            <w:shd w:val="clear" w:color="auto" w:fill="auto"/>
            <w:vAlign w:val="center"/>
          </w:tcPr>
          <w:p w14:paraId="325D5378">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旅游法》第八十三条：县级以上人民政府旅游主管部门和有关部门依照本法和有关法律、法规的规定，在各自职责范围内对旅游市场实施监督管理。县级以上人民政府应当组织旅游主管部门、有关主管部门和工商行政管理、产品质量监督、交通等执法部门对相关旅游经营行为实施监督检查。</w:t>
            </w:r>
          </w:p>
        </w:tc>
      </w:tr>
      <w:tr w14:paraId="74F2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55C9108C">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48</w:t>
            </w:r>
          </w:p>
        </w:tc>
        <w:tc>
          <w:tcPr>
            <w:tcW w:w="2188" w:type="dxa"/>
            <w:shd w:val="clear" w:color="auto" w:fill="auto"/>
            <w:vAlign w:val="center"/>
          </w:tcPr>
          <w:p w14:paraId="0F7C7BE9">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对互联网上网服务营运场所监督检查</w:t>
            </w:r>
          </w:p>
        </w:tc>
        <w:tc>
          <w:tcPr>
            <w:tcW w:w="1092" w:type="dxa"/>
            <w:shd w:val="clear" w:color="auto" w:fill="auto"/>
            <w:vAlign w:val="center"/>
          </w:tcPr>
          <w:p w14:paraId="05A4D040">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71130898">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18AF476">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085A4585">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14:paraId="2074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D362EBB">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49</w:t>
            </w:r>
          </w:p>
        </w:tc>
        <w:tc>
          <w:tcPr>
            <w:tcW w:w="2188" w:type="dxa"/>
            <w:shd w:val="clear" w:color="auto" w:fill="auto"/>
            <w:vAlign w:val="center"/>
          </w:tcPr>
          <w:p w14:paraId="4FBA2E2E">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对营业性演出的监督检查</w:t>
            </w:r>
          </w:p>
        </w:tc>
        <w:tc>
          <w:tcPr>
            <w:tcW w:w="1092" w:type="dxa"/>
            <w:shd w:val="clear" w:color="auto" w:fill="auto"/>
            <w:vAlign w:val="center"/>
          </w:tcPr>
          <w:p w14:paraId="2502B7F4">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5AE3C7F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686151A2">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175CE92A">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《营业性演出管理条例》第五条   国务院文化主管部门主管全国营业性演出的监督管理工作。国务院公安部门、工商行政管理部门在各自职责范围内主管营业性演出的监督管理工作。县级以上地方人民政府文化主管部门负责本行政区域内营业性演出的监督管理工作。</w:t>
            </w:r>
          </w:p>
        </w:tc>
      </w:tr>
      <w:tr w14:paraId="0398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0DBF0D6F">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50</w:t>
            </w:r>
          </w:p>
        </w:tc>
        <w:tc>
          <w:tcPr>
            <w:tcW w:w="2188" w:type="dxa"/>
            <w:shd w:val="clear" w:color="auto" w:fill="auto"/>
            <w:vAlign w:val="center"/>
          </w:tcPr>
          <w:p w14:paraId="254B01C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对文物保护的监督管理</w:t>
            </w:r>
          </w:p>
        </w:tc>
        <w:tc>
          <w:tcPr>
            <w:tcW w:w="1092" w:type="dxa"/>
            <w:shd w:val="clear" w:color="auto" w:fill="auto"/>
            <w:vAlign w:val="center"/>
          </w:tcPr>
          <w:p w14:paraId="5651501F">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48DA5D50">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5492C5C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49EA7AC4">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《文物保护法》第八条第二款：地方各级人民政府负责本行政区域内的文物保护工作。县级以上地方人民政府承担文物保护工作的部门对本行政区域内的文物保护实施监督管理。 </w:t>
            </w:r>
          </w:p>
        </w:tc>
      </w:tr>
      <w:tr w14:paraId="3EFC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75304276">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51</w:t>
            </w:r>
          </w:p>
        </w:tc>
        <w:tc>
          <w:tcPr>
            <w:tcW w:w="2188" w:type="dxa"/>
            <w:shd w:val="clear" w:color="auto" w:fill="auto"/>
            <w:vAlign w:val="center"/>
          </w:tcPr>
          <w:p w14:paraId="6BDAD0BC">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对体育赛事、体育市场的监督检查</w:t>
            </w:r>
          </w:p>
        </w:tc>
        <w:tc>
          <w:tcPr>
            <w:tcW w:w="1092" w:type="dxa"/>
            <w:shd w:val="clear" w:color="auto" w:fill="auto"/>
            <w:vAlign w:val="center"/>
          </w:tcPr>
          <w:p w14:paraId="02BDE264">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7BB7B104">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2A0122BC">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26A929F1">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《体育法》第一百零一条  县级以上人民政府体育行政部门和有关部门应当积极履行监管检查职责，发现违反本法规定行为的，应当及时做出处理。对不属于本部门主管事项的，应当及时书面通知并移交相关部门查处。  第一百零二条第一款   县级以上人民政府体育行政部门对体育赛事活动依法进行监管，对赛事活动场地实施现场检查，查阅、复制有关合同、票据、账簿，检查赛事活动组织方案、安全应急预案等材料。</w:t>
            </w:r>
          </w:p>
        </w:tc>
      </w:tr>
      <w:tr w14:paraId="7C2F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133F3E93">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52</w:t>
            </w:r>
          </w:p>
        </w:tc>
        <w:tc>
          <w:tcPr>
            <w:tcW w:w="2188" w:type="dxa"/>
            <w:shd w:val="clear" w:color="auto" w:fill="auto"/>
            <w:vAlign w:val="center"/>
          </w:tcPr>
          <w:p w14:paraId="0A4712B5">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对艺术考级活动的监督检查</w:t>
            </w:r>
          </w:p>
        </w:tc>
        <w:tc>
          <w:tcPr>
            <w:tcW w:w="1092" w:type="dxa"/>
            <w:shd w:val="clear" w:color="auto" w:fill="auto"/>
            <w:vAlign w:val="center"/>
          </w:tcPr>
          <w:p w14:paraId="75E6A35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60EEDB92">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0B9A82FA">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497A32C9">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《社会艺术水平考级管理办法》第五条第一款： 县级以上地方人民政府文化行政部门负责在本行政区域内贯彻执行国家关于艺术考级的政策、法规，监督检查艺术考级活动。</w:t>
            </w:r>
          </w:p>
        </w:tc>
      </w:tr>
      <w:tr w14:paraId="690B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480CBAB4">
            <w:pPr>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53</w:t>
            </w:r>
          </w:p>
        </w:tc>
        <w:tc>
          <w:tcPr>
            <w:tcW w:w="2188" w:type="dxa"/>
            <w:shd w:val="clear" w:color="auto" w:fill="auto"/>
            <w:vAlign w:val="center"/>
          </w:tcPr>
          <w:p w14:paraId="04C28797">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对艺术品经营市场的监督检查</w:t>
            </w:r>
          </w:p>
        </w:tc>
        <w:tc>
          <w:tcPr>
            <w:tcW w:w="1092" w:type="dxa"/>
            <w:shd w:val="clear" w:color="auto" w:fill="auto"/>
            <w:vAlign w:val="center"/>
          </w:tcPr>
          <w:p w14:paraId="12998528">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行政检查</w:t>
            </w:r>
          </w:p>
        </w:tc>
        <w:tc>
          <w:tcPr>
            <w:tcW w:w="1246" w:type="dxa"/>
            <w:shd w:val="clear" w:color="auto" w:fill="auto"/>
            <w:vAlign w:val="center"/>
          </w:tcPr>
          <w:p w14:paraId="6668127F">
            <w:pPr>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区文旅广体局</w:t>
            </w:r>
          </w:p>
        </w:tc>
        <w:tc>
          <w:tcPr>
            <w:tcW w:w="1765" w:type="dxa"/>
            <w:shd w:val="clear" w:color="auto" w:fill="auto"/>
            <w:vAlign w:val="center"/>
          </w:tcPr>
          <w:p w14:paraId="725DBD72">
            <w:pPr>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vertAlign w:val="baseline"/>
                <w:lang w:val="en-US" w:eastAsia="zh-CN"/>
              </w:rPr>
              <w:t>局</w:t>
            </w:r>
            <w:r>
              <w:rPr>
                <w:rFonts w:hint="eastAsia" w:ascii="仿宋" w:hAnsi="仿宋" w:eastAsia="仿宋" w:cs="仿宋"/>
                <w:sz w:val="21"/>
                <w:szCs w:val="21"/>
                <w:vertAlign w:val="baseline"/>
                <w:lang w:val="en-US" w:eastAsia="zh-CN"/>
              </w:rPr>
              <w:t>文化文艺体育股</w:t>
            </w:r>
          </w:p>
        </w:tc>
        <w:tc>
          <w:tcPr>
            <w:tcW w:w="7324" w:type="dxa"/>
            <w:shd w:val="clear" w:color="auto" w:fill="auto"/>
            <w:vAlign w:val="center"/>
          </w:tcPr>
          <w:p w14:paraId="735F6D0E">
            <w:pPr>
              <w:ind w:firstLine="420" w:firstLineChars="200"/>
              <w:jc w:val="both"/>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《艺术品经营管理办法》第三条第三款： 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r>
    </w:tbl>
    <w:p w14:paraId="014B31F9">
      <w:pPr>
        <w:rPr>
          <w:rFonts w:hint="default"/>
          <w:lang w:val="en-US" w:eastAsia="zh-CN"/>
        </w:rPr>
      </w:pPr>
      <w:bookmarkStart w:id="0" w:name="_GoBack"/>
      <w:bookmarkEnd w:id="0"/>
    </w:p>
    <w:sectPr>
      <w:pgSz w:w="16838" w:h="11906" w:orient="landscape"/>
      <w:pgMar w:top="1293" w:right="1327" w:bottom="1406"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2EyYTI4ZTc2NWZiMjk1MmJiMjQxZTBlNWQ1ZmUifQ=="/>
  </w:docVars>
  <w:rsids>
    <w:rsidRoot w:val="13AD5F37"/>
    <w:rsid w:val="02F3655A"/>
    <w:rsid w:val="138D7D05"/>
    <w:rsid w:val="13AD5F37"/>
    <w:rsid w:val="164F2C20"/>
    <w:rsid w:val="1D303C39"/>
    <w:rsid w:val="1EA96E5E"/>
    <w:rsid w:val="1ECA4E0E"/>
    <w:rsid w:val="255D3DDF"/>
    <w:rsid w:val="2B95320E"/>
    <w:rsid w:val="2CF27CFD"/>
    <w:rsid w:val="32254B7C"/>
    <w:rsid w:val="32CE2FBA"/>
    <w:rsid w:val="34934DE5"/>
    <w:rsid w:val="3EAC2829"/>
    <w:rsid w:val="489A021B"/>
    <w:rsid w:val="528F2E45"/>
    <w:rsid w:val="55AF2020"/>
    <w:rsid w:val="5A4675AB"/>
    <w:rsid w:val="5D1E0236"/>
    <w:rsid w:val="5DCA5FA9"/>
    <w:rsid w:val="5DD20F77"/>
    <w:rsid w:val="60E45FDD"/>
    <w:rsid w:val="64686337"/>
    <w:rsid w:val="660915C2"/>
    <w:rsid w:val="663174FA"/>
    <w:rsid w:val="684A72C9"/>
    <w:rsid w:val="711C5B32"/>
    <w:rsid w:val="77690189"/>
    <w:rsid w:val="7967396B"/>
    <w:rsid w:val="7FB0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44383</Words>
  <Characters>44866</Characters>
  <Lines>0</Lines>
  <Paragraphs>0</Paragraphs>
  <TotalTime>2</TotalTime>
  <ScaleCrop>false</ScaleCrop>
  <LinksUpToDate>false</LinksUpToDate>
  <CharactersWithSpaces>45278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2024-11-26T00:52:00Z</dcterms:created>
  <dc:creator>薄荷糖</dc:creator>
  <cp:lastModifiedBy>Administrator</cp:lastModifiedBy>
  <dcterms:modified xsi:type="dcterms:W3CDTF">2025-04-01T08:55:45Z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5691DDE08B3F48C896708689087AED79_13</vt:lpwstr>
  </property>
  <property fmtid="{D5CDD505-2E9C-101B-9397-08002B2CF9AE}" pid="4" name="KSOTemplateDocerSaveRecord">
    <vt:lpwstr>eyJoZGlkIjoiZjU2M2EyYTI4ZTc2NWZiMjk1MmJiMjQxZTBlNWQ1ZmUiLCJ1c2VySWQiOiIxNTg5ODQyNDQ1In0=</vt:lpwstr>
  </property>
</Properties>
</file>