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val="0"/>
        <w:spacing w:before="0" w:beforeAutospacing="0"/>
        <w:ind w:left="0" w:firstLine="0" w:firstLineChars="0"/>
        <w:textAlignment w:val="auto"/>
        <w:rPr>
          <w:rFonts w:hint="eastAsia" w:ascii="黑体" w:eastAsia="黑体" w:cs="黑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jc w:val="center"/>
        <w:textAlignment w:val="auto"/>
        <w:rPr>
          <w:rFonts w:hint="eastAsia" w:ascii="方正小标宋简体" w:eastAsia="方正小标宋简体" w:cs="方正小标宋简体"/>
          <w:color w:val="000000"/>
          <w:kern w:val="0"/>
          <w:sz w:val="44"/>
          <w:szCs w:val="44"/>
          <w:lang w:val="en-US" w:eastAsia="zh-CN" w:bidi="ar"/>
        </w:rPr>
      </w:pPr>
      <w:r>
        <w:rPr>
          <w:rFonts w:hint="eastAsia" w:ascii="方正小标宋简体" w:eastAsia="方正小标宋简体" w:cs="方正小标宋简体"/>
          <w:color w:val="000000"/>
          <w:kern w:val="0"/>
          <w:sz w:val="44"/>
          <w:szCs w:val="44"/>
          <w:lang w:val="en-US" w:eastAsia="zh-CN" w:bidi="ar"/>
        </w:rPr>
        <w:t>邵阳市北塔区</w:t>
      </w:r>
      <w:r>
        <w:rPr>
          <w:rFonts w:hint="eastAsia" w:ascii="方正小标宋简体" w:eastAsia="方正小标宋简体" w:cs="方正小标宋简体"/>
          <w:color w:val="000000"/>
          <w:kern w:val="0"/>
          <w:sz w:val="44"/>
          <w:szCs w:val="44"/>
          <w:lang w:val="en-US" w:eastAsia="zh-CN" w:bidi="ar"/>
        </w:rPr>
        <w:t>教育局</w:t>
      </w:r>
      <w:bookmarkStart w:id="0" w:name="_GoBack"/>
      <w:bookmarkEnd w:id="0"/>
      <w:r>
        <w:rPr>
          <w:rFonts w:hint="eastAsia" w:ascii="方正小标宋简体" w:eastAsia="方正小标宋简体" w:cs="方正小标宋简体"/>
          <w:color w:val="000000"/>
          <w:kern w:val="0"/>
          <w:sz w:val="44"/>
          <w:szCs w:val="44"/>
          <w:lang w:val="en-US" w:eastAsia="zh-CN" w:bidi="ar"/>
        </w:rPr>
        <w:t>免罚轻罚事项清单</w:t>
      </w:r>
    </w:p>
    <w:tbl>
      <w:tblPr>
        <w:tblStyle w:val="7"/>
        <w:tblW w:w="14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4175"/>
        <w:gridCol w:w="7189"/>
        <w:gridCol w:w="1274"/>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46" w:type="dxa"/>
            <w:noWrap w:val="0"/>
            <w:vAlign w:val="center"/>
          </w:tcPr>
          <w:p>
            <w:pPr>
              <w:jc w:val="center"/>
              <w:rPr>
                <w:rFonts w:hint="eastAsia" w:ascii="黑体" w:hAnsi="黑体" w:eastAsia="黑体" w:cs="黑体"/>
                <w:b w:val="0"/>
                <w:bCs w:val="0"/>
                <w:color w:val="auto"/>
                <w:sz w:val="21"/>
                <w:szCs w:val="21"/>
                <w:vertAlign w:val="baseline"/>
                <w:lang w:val="en-US" w:eastAsia="zh-CN" w:bidi="ar-SA"/>
              </w:rPr>
            </w:pPr>
            <w:r>
              <w:rPr>
                <w:rFonts w:hint="eastAsia" w:ascii="黑体" w:hAnsi="黑体" w:eastAsia="黑体" w:cs="黑体"/>
                <w:b w:val="0"/>
                <w:bCs w:val="0"/>
                <w:color w:val="auto"/>
                <w:sz w:val="21"/>
                <w:szCs w:val="21"/>
                <w:vertAlign w:val="baseline"/>
                <w:lang w:val="en-US" w:eastAsia="zh-CN" w:bidi="ar-SA"/>
              </w:rPr>
              <w:t>序号</w:t>
            </w:r>
          </w:p>
        </w:tc>
        <w:tc>
          <w:tcPr>
            <w:tcW w:w="4175" w:type="dxa"/>
            <w:noWrap w:val="0"/>
            <w:vAlign w:val="center"/>
          </w:tcPr>
          <w:p>
            <w:pPr>
              <w:jc w:val="center"/>
              <w:rPr>
                <w:rFonts w:hint="eastAsia" w:ascii="黑体" w:hAnsi="黑体" w:eastAsia="黑体" w:cs="黑体"/>
                <w:b w:val="0"/>
                <w:bCs w:val="0"/>
                <w:color w:val="auto"/>
                <w:sz w:val="21"/>
                <w:szCs w:val="21"/>
                <w:vertAlign w:val="baseline"/>
                <w:lang w:val="en-US" w:eastAsia="zh-CN" w:bidi="ar-SA"/>
              </w:rPr>
            </w:pPr>
            <w:r>
              <w:rPr>
                <w:rFonts w:hint="eastAsia" w:ascii="黑体" w:hAnsi="黑体" w:eastAsia="黑体" w:cs="黑体"/>
                <w:b w:val="0"/>
                <w:bCs w:val="0"/>
                <w:color w:val="auto"/>
                <w:sz w:val="21"/>
                <w:szCs w:val="21"/>
                <w:vertAlign w:val="baseline"/>
                <w:lang w:val="en-US" w:eastAsia="zh-CN" w:bidi="ar-SA"/>
              </w:rPr>
              <w:t>违法行为</w:t>
            </w:r>
          </w:p>
        </w:tc>
        <w:tc>
          <w:tcPr>
            <w:tcW w:w="7189" w:type="dxa"/>
            <w:noWrap w:val="0"/>
            <w:vAlign w:val="center"/>
          </w:tcPr>
          <w:p>
            <w:pPr>
              <w:jc w:val="center"/>
              <w:rPr>
                <w:rFonts w:hint="eastAsia" w:ascii="黑体" w:hAnsi="黑体" w:eastAsia="黑体" w:cs="黑体"/>
                <w:b w:val="0"/>
                <w:bCs w:val="0"/>
                <w:color w:val="auto"/>
                <w:sz w:val="21"/>
                <w:szCs w:val="21"/>
                <w:vertAlign w:val="baseline"/>
                <w:lang w:val="en-US" w:eastAsia="zh-CN" w:bidi="ar-SA"/>
              </w:rPr>
            </w:pPr>
            <w:r>
              <w:rPr>
                <w:rFonts w:hint="eastAsia" w:ascii="黑体" w:hAnsi="黑体" w:eastAsia="黑体" w:cs="黑体"/>
                <w:b w:val="0"/>
                <w:bCs w:val="0"/>
                <w:color w:val="auto"/>
                <w:sz w:val="21"/>
                <w:szCs w:val="21"/>
                <w:vertAlign w:val="baseline"/>
                <w:lang w:val="en-US" w:eastAsia="zh-CN" w:bidi="ar-SA"/>
              </w:rPr>
              <w:t>处罚依据</w:t>
            </w:r>
          </w:p>
        </w:tc>
        <w:tc>
          <w:tcPr>
            <w:tcW w:w="1274" w:type="dxa"/>
            <w:noWrap w:val="0"/>
            <w:vAlign w:val="center"/>
          </w:tcPr>
          <w:p>
            <w:pPr>
              <w:jc w:val="center"/>
              <w:rPr>
                <w:rFonts w:hint="eastAsia" w:ascii="黑体" w:hAnsi="黑体" w:eastAsia="黑体" w:cs="黑体"/>
                <w:b w:val="0"/>
                <w:bCs w:val="0"/>
                <w:color w:val="auto"/>
                <w:sz w:val="21"/>
                <w:szCs w:val="21"/>
                <w:vertAlign w:val="baseline"/>
                <w:lang w:val="en-US" w:eastAsia="zh-CN" w:bidi="ar-SA"/>
              </w:rPr>
            </w:pPr>
            <w:r>
              <w:rPr>
                <w:rFonts w:hint="eastAsia" w:ascii="黑体" w:hAnsi="黑体" w:eastAsia="黑体" w:cs="黑体"/>
                <w:b w:val="0"/>
                <w:bCs w:val="0"/>
                <w:color w:val="auto"/>
                <w:sz w:val="21"/>
                <w:szCs w:val="21"/>
                <w:vertAlign w:val="baseline"/>
                <w:lang w:val="en-US" w:eastAsia="zh-CN" w:bidi="ar-SA"/>
              </w:rPr>
              <w:t>适用条件</w:t>
            </w:r>
          </w:p>
        </w:tc>
        <w:tc>
          <w:tcPr>
            <w:tcW w:w="1785" w:type="dxa"/>
            <w:noWrap w:val="0"/>
            <w:vAlign w:val="center"/>
          </w:tcPr>
          <w:p>
            <w:pPr>
              <w:jc w:val="center"/>
              <w:rPr>
                <w:rFonts w:hint="eastAsia" w:ascii="黑体" w:hAnsi="黑体" w:eastAsia="黑体" w:cs="黑体"/>
                <w:b w:val="0"/>
                <w:bCs w:val="0"/>
                <w:color w:val="auto"/>
                <w:sz w:val="21"/>
                <w:szCs w:val="21"/>
                <w:vertAlign w:val="baseline"/>
                <w:lang w:val="en-US" w:eastAsia="zh-CN" w:bidi="ar-SA"/>
              </w:rPr>
            </w:pPr>
            <w:r>
              <w:rPr>
                <w:rFonts w:hint="eastAsia" w:ascii="黑体" w:hAnsi="黑体" w:eastAsia="黑体" w:cs="黑体"/>
                <w:b w:val="0"/>
                <w:bCs w:val="0"/>
                <w:color w:val="auto"/>
                <w:sz w:val="21"/>
                <w:szCs w:val="21"/>
                <w:vertAlign w:val="baseline"/>
                <w:lang w:val="en-US" w:eastAsia="zh-CN" w:bidi="ar-SA"/>
              </w:rPr>
              <w:t>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pPr>
              <w:jc w:val="center"/>
              <w:rPr>
                <w:rFonts w:hint="eastAsia" w:ascii="仿宋" w:eastAsia="仿宋" w:cs="仿宋"/>
                <w:color w:val="auto"/>
                <w:sz w:val="21"/>
                <w:szCs w:val="21"/>
                <w:vertAlign w:val="baseline"/>
                <w:lang w:val="en-US" w:eastAsia="zh-CN" w:bidi="ar-SA"/>
              </w:rPr>
            </w:pPr>
          </w:p>
        </w:tc>
        <w:tc>
          <w:tcPr>
            <w:tcW w:w="4175" w:type="dxa"/>
            <w:noWrap w:val="0"/>
            <w:vAlign w:val="center"/>
          </w:tcPr>
          <w:p>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SA"/>
              </w:rPr>
              <w:t>民办学校举办者及实际控制人、决策机构或者监督机构组成人员利用办学非法集资等违法行为</w:t>
            </w:r>
          </w:p>
        </w:tc>
        <w:tc>
          <w:tcPr>
            <w:tcW w:w="7189" w:type="dxa"/>
            <w:noWrap w:val="0"/>
            <w:vAlign w:val="center"/>
          </w:tcPr>
          <w:p>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SA"/>
              </w:rPr>
              <w:t>《中华人民共和国民办教育促进法实施条例》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一）利用办学非法集资，或者收取与入学关联的费用的；（二）未按时、足额履行出资义务，或者抽逃出资、挪用办学经费的；（三）侵占学校法人财产或者非法从学校获取利益的；（四）与实施义务教育的民办学校进行关联交易，或者与其他民办学校进行关联交易损害国家利益、学校利益和师生权益的；（五）伪造、变造、买卖、出租、出借办学许可证的；（六）干扰学校办学秩序或者非法干预学校决策、管理的；（七）擅自变更学校名称、层次、类型和举办者的；（八）有其他危害学校稳定和安全、侵犯学校法人权利或者损害教职工、受教育者权益的行为的。</w:t>
            </w:r>
          </w:p>
        </w:tc>
        <w:tc>
          <w:tcPr>
            <w:tcW w:w="1274" w:type="dxa"/>
            <w:noWrap w:val="0"/>
            <w:vAlign w:val="center"/>
          </w:tcPr>
          <w:p>
            <w:pPr>
              <w:jc w:val="both"/>
              <w:rPr>
                <w:rFonts w:hint="eastAsia" w:ascii="仿宋" w:eastAsia="仿宋" w:cs="仿宋"/>
                <w:color w:val="auto"/>
                <w:kern w:val="0"/>
                <w:sz w:val="21"/>
                <w:szCs w:val="21"/>
                <w:lang w:bidi="ar-SA"/>
              </w:rPr>
            </w:pPr>
            <w:r>
              <w:rPr>
                <w:rFonts w:hint="eastAsia" w:ascii="仿宋" w:eastAsia="仿宋" w:cs="仿宋"/>
                <w:color w:val="auto"/>
                <w:kern w:val="0"/>
                <w:sz w:val="21"/>
                <w:szCs w:val="21"/>
                <w:lang w:bidi="ar-SA"/>
              </w:rPr>
              <w:t>初次违法，没有违法所得且危害后果轻微，配合行政机关查处,主动改正违法行为,消除或减轻违法行为危害后果。</w:t>
            </w:r>
          </w:p>
        </w:tc>
        <w:tc>
          <w:tcPr>
            <w:tcW w:w="1785" w:type="dxa"/>
            <w:noWrap w:val="0"/>
            <w:vAlign w:val="center"/>
          </w:tcPr>
          <w:p>
            <w:pPr>
              <w:jc w:val="center"/>
              <w:rPr>
                <w:rFonts w:hint="eastAsia"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pPr>
              <w:jc w:val="center"/>
              <w:rPr>
                <w:rFonts w:hint="eastAsia" w:ascii="仿宋" w:eastAsia="仿宋" w:cs="仿宋"/>
                <w:color w:val="auto"/>
                <w:sz w:val="21"/>
                <w:szCs w:val="21"/>
                <w:vertAlign w:val="baseline"/>
                <w:lang w:val="en-US" w:eastAsia="zh-CN" w:bidi="ar-SA"/>
              </w:rPr>
            </w:pPr>
          </w:p>
        </w:tc>
        <w:tc>
          <w:tcPr>
            <w:tcW w:w="4175" w:type="dxa"/>
            <w:noWrap w:val="0"/>
            <w:vAlign w:val="center"/>
          </w:tcPr>
          <w:p>
            <w:pPr>
              <w:jc w:val="both"/>
              <w:rPr>
                <w:rFonts w:hint="default" w:ascii="仿宋" w:hAnsi="Times New Roman" w:eastAsia="仿宋" w:cs="仿宋"/>
                <w:color w:val="auto"/>
                <w:kern w:val="0"/>
                <w:sz w:val="21"/>
                <w:szCs w:val="21"/>
                <w:lang w:val="en-US" w:bidi="ar-SA"/>
              </w:rPr>
            </w:pPr>
            <w:r>
              <w:rPr>
                <w:rFonts w:hint="eastAsia" w:ascii="仿宋" w:hAnsi="Times New Roman" w:eastAsia="仿宋" w:cs="仿宋"/>
                <w:color w:val="auto"/>
                <w:kern w:val="0"/>
                <w:sz w:val="21"/>
                <w:szCs w:val="21"/>
                <w:lang w:bidi="ar-SA"/>
              </w:rPr>
              <w:t>民办学校举办者及实际控制人、决策机构或者监督机构组成人员干扰学校办学秩序或者非法干预学校决策、管理</w:t>
            </w:r>
            <w:r>
              <w:rPr>
                <w:rFonts w:hint="eastAsia" w:ascii="仿宋" w:hAnsi="Times New Roman" w:eastAsia="仿宋" w:cs="仿宋"/>
                <w:color w:val="auto"/>
                <w:kern w:val="0"/>
                <w:sz w:val="21"/>
                <w:szCs w:val="21"/>
                <w:lang w:val="en-US" w:eastAsia="zh-CN" w:bidi="ar-SA"/>
              </w:rPr>
              <w:t>等违法行为</w:t>
            </w:r>
          </w:p>
        </w:tc>
        <w:tc>
          <w:tcPr>
            <w:tcW w:w="7189" w:type="dxa"/>
            <w:noWrap w:val="0"/>
            <w:vAlign w:val="center"/>
          </w:tcPr>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中华人民共和国行政处罚法》第三十二条：</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当事人有下列情形之一，应当从轻或者减轻行政处罚：</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（一）主动消除或者减轻违法行为危害后果的；</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（二）受他人胁迫或者诱骗实施违法行为的；</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（三）主动供述行政机关尚未掌握的违法行为的；</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（四）配合行政机关查处违法行为有立功表现的；</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（五）法律、法规、规章规定其他应当从轻或者减轻行政处罚的。</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《中华人民共和国行政处罚法》第三十三条：</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违法行为轻微并及时改正，没有造成危害后果的，不予行政处罚。初次违法且危害后果轻微并及时改正的，可以不予行政处罚。</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当事人有证据足以证明没有主观过错的，不予行政处罚。法律、行政法规另有规定的，从其规定。</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对当事人的违法行为依法不予行政处罚的，行政机关应当对当事人进行教育。</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中华人民共和国民办教育促进法实施条例》第六十二条：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　　（一）利用办学非法集资，或者收取与入学关联的费用的；</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　　（二）未按时、足额履行出资义务，或者抽逃出资、挪用办学经费的；</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　　（三）侵占学校法人财产或者非法从学校获取利益的；</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　　（四）与实施义务教育的民办学校进行关联交易，或者与其他民办学校进行关联交易损害国家利益、学校利益和师生权益的；</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　　（五）伪造、变造、买卖、出租、出借办学许可证的；</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　　（六）干扰学校办学秩序或者非法干预学校决策、管理的;</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　　（七）擅自变更学校名称、层次、类型和举办者的；</w:t>
            </w:r>
          </w:p>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val="en-US" w:eastAsia="zh-CN" w:bidi="ar-SA"/>
              </w:rPr>
              <w:t>　　（八）有其他危害学校稳定和安全、侵犯学校法人权利或者损害教职工、受教育者权益的行为的。</w:t>
            </w:r>
          </w:p>
          <w:p>
            <w:pPr>
              <w:jc w:val="both"/>
              <w:rPr>
                <w:rFonts w:hint="eastAsia" w:ascii="仿宋" w:hAnsi="Times New Roman" w:eastAsia="仿宋" w:cs="仿宋"/>
                <w:color w:val="auto"/>
                <w:kern w:val="0"/>
                <w:sz w:val="21"/>
                <w:szCs w:val="21"/>
                <w:lang w:bidi="ar-SA"/>
              </w:rPr>
            </w:pPr>
          </w:p>
        </w:tc>
        <w:tc>
          <w:tcPr>
            <w:tcW w:w="1274" w:type="dxa"/>
            <w:noWrap w:val="0"/>
            <w:vAlign w:val="center"/>
          </w:tcPr>
          <w:p>
            <w:pPr>
              <w:jc w:val="both"/>
              <w:rPr>
                <w:rFonts w:hint="eastAsia" w:ascii="仿宋" w:hAnsi="Times New Roman" w:eastAsia="仿宋" w:cs="仿宋"/>
                <w:color w:val="auto"/>
                <w:kern w:val="0"/>
                <w:sz w:val="21"/>
                <w:szCs w:val="21"/>
                <w:lang w:bidi="ar-SA"/>
              </w:rPr>
            </w:pPr>
            <w:r>
              <w:rPr>
                <w:rFonts w:hint="eastAsia" w:ascii="仿宋" w:hAnsi="Times New Roman" w:eastAsia="仿宋" w:cs="仿宋"/>
                <w:color w:val="auto"/>
                <w:kern w:val="0"/>
                <w:sz w:val="21"/>
                <w:szCs w:val="21"/>
                <w:lang w:bidi="ar-SA"/>
              </w:rPr>
              <w:t>违法行为轻微并及时改正，没有造成危害后果的。</w:t>
            </w:r>
          </w:p>
        </w:tc>
        <w:tc>
          <w:tcPr>
            <w:tcW w:w="1785" w:type="dxa"/>
            <w:noWrap w:val="0"/>
            <w:vAlign w:val="center"/>
          </w:tcPr>
          <w:p>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免予处罚或减轻处罚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noWrap w:val="0"/>
            <w:vAlign w:val="center"/>
          </w:tcPr>
          <w:p>
            <w:pPr>
              <w:jc w:val="center"/>
              <w:rPr>
                <w:rFonts w:hint="eastAsia" w:ascii="仿宋" w:eastAsia="仿宋" w:cs="仿宋"/>
                <w:color w:val="auto"/>
                <w:sz w:val="21"/>
                <w:szCs w:val="21"/>
                <w:vertAlign w:val="baseline"/>
                <w:lang w:val="en-US" w:eastAsia="zh-CN" w:bidi="ar-SA"/>
              </w:rPr>
            </w:pPr>
          </w:p>
        </w:tc>
        <w:tc>
          <w:tcPr>
            <w:tcW w:w="4175"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auto"/>
                <w:spacing w:val="0"/>
                <w:sz w:val="24"/>
                <w:szCs w:val="24"/>
              </w:rPr>
            </w:pPr>
            <w:r>
              <w:rPr>
                <w:rFonts w:ascii="仿宋" w:hAnsi="仿宋" w:eastAsia="仿宋" w:cs="仿宋"/>
                <w:b w:val="0"/>
                <w:bCs w:val="0"/>
                <w:i w:val="0"/>
                <w:iCs w:val="0"/>
                <w:caps w:val="0"/>
                <w:color w:val="auto"/>
                <w:spacing w:val="0"/>
                <w:kern w:val="0"/>
                <w:sz w:val="21"/>
                <w:szCs w:val="21"/>
                <w:shd w:val="clear" w:fill="FFFFFF"/>
                <w:lang w:val="en-US" w:eastAsia="zh-CN" w:bidi="ar"/>
              </w:rPr>
              <w:t>民办学校有下列情形之一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（一）理事会、董事会或者其他形式决策机构未依法履行职责的；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（二）未依法履行公示办学条件和教育质量有关材料、财务状况等信息披露义务，或者公示的材料不真实的。</w:t>
            </w:r>
          </w:p>
          <w:p>
            <w:pPr>
              <w:jc w:val="both"/>
              <w:rPr>
                <w:rFonts w:hint="eastAsia" w:ascii="仿宋" w:eastAsia="仿宋" w:cs="仿宋"/>
                <w:color w:val="auto"/>
                <w:sz w:val="21"/>
                <w:szCs w:val="21"/>
                <w:vertAlign w:val="baseline"/>
                <w:lang w:val="en-US" w:eastAsia="zh-CN" w:bidi="ar-SA"/>
              </w:rPr>
            </w:pPr>
          </w:p>
        </w:tc>
        <w:tc>
          <w:tcPr>
            <w:tcW w:w="7189" w:type="dxa"/>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auto"/>
                <w:spacing w:val="0"/>
                <w:sz w:val="24"/>
                <w:szCs w:val="24"/>
              </w:rPr>
            </w:pPr>
            <w:r>
              <w:rPr>
                <w:rFonts w:ascii="仿宋" w:hAnsi="仿宋" w:eastAsia="仿宋" w:cs="仿宋"/>
                <w:b w:val="0"/>
                <w:bCs w:val="0"/>
                <w:i w:val="0"/>
                <w:iCs w:val="0"/>
                <w:caps w:val="0"/>
                <w:color w:val="auto"/>
                <w:spacing w:val="0"/>
                <w:kern w:val="0"/>
                <w:sz w:val="21"/>
                <w:szCs w:val="21"/>
                <w:shd w:val="clear" w:fill="FFFFFF"/>
                <w:lang w:val="en-US" w:eastAsia="zh-CN" w:bidi="ar"/>
              </w:rPr>
              <w:t>《中华人民共和国行政处罚法》第三十二条：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当事人有下列情形之一，应当从轻或者减轻行政处罚：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（一）主动消除或者减轻违法行为危害后果的；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（二）受他人胁迫或者诱骗实施违法行为的；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（三）主动供述行政机关尚未掌握的违法行为的；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（四）配合行政机关查处违法行为有立功表现的；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（五）法律、法规、规章规定其他应当从轻或者减轻行政处罚的。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《中华人民共和国行政处罚法》第三十三条：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违法行为轻微并及时改正，没有造成危害后果的，不予行政处罚。初次违法且危害后果轻微并及时改正的，可以不予行政处罚。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当事人有证据足以证明没有主观过错的，不予行政处罚。法律、行政法规另有规定的，从其规定。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对当事人的违法行为依法不予行政处罚的，行政机关应当对当事人进行教育。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《中华人民共和国民办教育促进法实施条例》第六十三条：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民办学校有下列情形之一的，依照民办教育促进法第六十二条规定给予处罚：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（一）违背国家教育方针，偏离社会主义办学方向，或者未保障学校党组织履行职责的；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（二）违反法律、行政法规和国家有关规定开展教育教学活动的；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（三）理事会、董事会或者其他形式决策机构未依法履行职责的；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（四）教学条件明显不能满足教学要求、教育教学质量低下，未及时采取措施的；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（五）校舍、其他教育教学设施设备存在重大安全隐患，未及时采取措施的；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（六）侵犯受教育者的合法权益，产生恶劣社会影响的；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（七）违反国家规定聘任、解聘教师，或者未依法保障教职工待遇的；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（八）违反规定招生，或者在招生过程中弄虚作假的；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（九）超出办学许可范围，擅自改变办学地址或者设立分校的；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（十）未依法履行公示办学条件和教育质量有关材料、财务状况等信息披露义务，或者公示的材料不真实的；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（十一）未按照国家统一的会计制度进行会计核算、编制财务会计报告，财务、资产管理混乱，或者违反法律、法规增加收费项目、提高收费标准的；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（十二）有其他管理混乱严重影响教育教学的行为的。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b w:val="0"/>
                <w:bCs w:val="0"/>
                <w:i w:val="0"/>
                <w:iCs w:val="0"/>
                <w:caps w:val="0"/>
                <w:color w:val="auto"/>
                <w:spacing w:val="0"/>
                <w:kern w:val="0"/>
                <w:sz w:val="21"/>
                <w:szCs w:val="21"/>
                <w:shd w:val="clear" w:fill="FFFFFF"/>
                <w:lang w:val="en-US" w:eastAsia="zh-CN" w:bidi="ar"/>
              </w:rPr>
              <w:t>　　法律、行政法规对前款规定情形的处罚另有规定的，从其规定。</w:t>
            </w:r>
          </w:p>
          <w:p>
            <w:pPr>
              <w:jc w:val="both"/>
              <w:rPr>
                <w:rFonts w:hint="eastAsia" w:ascii="仿宋" w:eastAsia="仿宋" w:cs="仿宋"/>
                <w:color w:val="auto"/>
                <w:sz w:val="21"/>
                <w:szCs w:val="21"/>
                <w:vertAlign w:val="baseline"/>
                <w:lang w:val="en-US" w:eastAsia="zh-CN" w:bidi="ar-SA"/>
              </w:rPr>
            </w:pPr>
          </w:p>
        </w:tc>
        <w:tc>
          <w:tcPr>
            <w:tcW w:w="1274" w:type="dxa"/>
            <w:noWrap w:val="0"/>
            <w:vAlign w:val="center"/>
          </w:tcPr>
          <w:p>
            <w:pPr>
              <w:jc w:val="both"/>
              <w:rPr>
                <w:rFonts w:hint="eastAsia" w:ascii="仿宋" w:eastAsia="仿宋" w:cs="仿宋"/>
                <w:color w:val="auto"/>
                <w:sz w:val="21"/>
                <w:szCs w:val="21"/>
                <w:vertAlign w:val="baseline"/>
                <w:lang w:val="en-US" w:eastAsia="zh-CN" w:bidi="ar-SA"/>
              </w:rPr>
            </w:pPr>
            <w:r>
              <w:rPr>
                <w:rFonts w:ascii="仿宋" w:hAnsi="仿宋" w:eastAsia="仿宋" w:cs="仿宋"/>
                <w:b w:val="0"/>
                <w:bCs w:val="0"/>
                <w:i w:val="0"/>
                <w:iCs w:val="0"/>
                <w:caps w:val="0"/>
                <w:color w:val="auto"/>
                <w:spacing w:val="0"/>
                <w:kern w:val="0"/>
                <w:sz w:val="21"/>
                <w:szCs w:val="21"/>
                <w:shd w:val="clear" w:fill="FFFFFF"/>
                <w:lang w:val="en-US" w:eastAsia="zh-CN" w:bidi="ar"/>
              </w:rPr>
              <w:t>违法行为轻微并及时改正，没有造成危害后果的</w:t>
            </w:r>
          </w:p>
        </w:tc>
        <w:tc>
          <w:tcPr>
            <w:tcW w:w="1785" w:type="dxa"/>
            <w:noWrap w:val="0"/>
            <w:vAlign w:val="center"/>
          </w:tcPr>
          <w:p>
            <w:pPr>
              <w:jc w:val="center"/>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免予处罚或减轻处罚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4969" w:type="dxa"/>
            <w:gridSpan w:val="5"/>
            <w:noWrap w:val="0"/>
            <w:vAlign w:val="center"/>
          </w:tcPr>
          <w:p>
            <w:pPr>
              <w:jc w:val="both"/>
              <w:rPr>
                <w:rFonts w:hint="default" w:ascii="仿宋" w:eastAsia="仿宋" w:cs="仿宋"/>
                <w:color w:val="auto"/>
                <w:sz w:val="21"/>
                <w:szCs w:val="21"/>
                <w:vertAlign w:val="baseline"/>
                <w:lang w:val="en-US" w:eastAsia="zh-CN" w:bidi="ar-SA"/>
              </w:rPr>
            </w:pPr>
            <w:r>
              <w:rPr>
                <w:rFonts w:hint="eastAsia" w:ascii="仿宋" w:eastAsia="仿宋" w:cs="仿宋"/>
                <w:color w:val="auto"/>
                <w:sz w:val="21"/>
                <w:szCs w:val="21"/>
                <w:vertAlign w:val="baseline"/>
                <w:lang w:val="en-US" w:eastAsia="zh-CN" w:bidi="ar-SA"/>
              </w:rPr>
              <w:t>注：免罚清单事项包括不予处罚和可以不予处罚事项。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4969" w:type="dxa"/>
            <w:gridSpan w:val="5"/>
            <w:noWrap w:val="0"/>
            <w:vAlign w:val="center"/>
          </w:tcPr>
          <w:p>
            <w:pPr>
              <w:jc w:val="both"/>
              <w:rPr>
                <w:rFonts w:hint="eastAsia" w:ascii="仿宋" w:eastAsia="仿宋" w:cs="仿宋"/>
                <w:color w:val="auto"/>
                <w:sz w:val="21"/>
                <w:szCs w:val="21"/>
                <w:vertAlign w:val="baseline"/>
                <w:lang w:val="en-US" w:eastAsia="zh-CN" w:bidi="ar-SA"/>
              </w:rPr>
            </w:pPr>
          </w:p>
        </w:tc>
      </w:tr>
    </w:tbl>
    <w:p>
      <w:pPr>
        <w:pStyle w:val="6"/>
        <w:ind w:left="0" w:leftChars="0" w:firstLine="0" w:firstLineChars="0"/>
        <w:rPr>
          <w:rFonts w:hint="eastAsia"/>
          <w:lang w:val="en-US" w:eastAsia="zh-CN"/>
        </w:rPr>
      </w:pPr>
    </w:p>
    <w:sectPr>
      <w:footerReference r:id="rId3" w:type="default"/>
      <w:pgSz w:w="16838" w:h="11906" w:orient="landscape"/>
      <w:pgMar w:top="1434" w:right="1701" w:bottom="1134" w:left="170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Droid Sans Fallback"/>
    <w:panose1 w:val="02010600030101010101"/>
    <w:charset w:val="5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仿宋">
    <w:altName w:val="Droid Sans Fallback"/>
    <w:panose1 w:val="02010609060101010101"/>
    <w:charset w:val="86"/>
    <w:family w:val="modern"/>
    <w:pitch w:val="default"/>
    <w:sig w:usb0="00000000" w:usb1="00000000" w:usb2="00000016" w:usb3="00000000" w:csb0="00040001" w:csb1="00000000"/>
  </w:font>
  <w:font w:name="方正小标宋简体">
    <w:altName w:val="方正小标宋_GBK"/>
    <w:panose1 w:val="02010601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altName w:val="Droid Sans Fallback"/>
    <w:panose1 w:val="020B0503020204020204"/>
    <w:charset w:val="86"/>
    <w:family w:val="auto"/>
    <w:pitch w:val="default"/>
    <w:sig w:usb0="00000000" w:usb1="0000000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- 3 -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JIJGtD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- 3 -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OTllMTE0NTU4OTFlNzhhZTQyYWEyYjQzOWQyMGQifQ=="/>
  </w:docVars>
  <w:rsids>
    <w:rsidRoot w:val="32C344EC"/>
    <w:rsid w:val="07ED7A6C"/>
    <w:rsid w:val="137E5002"/>
    <w:rsid w:val="1F6628A2"/>
    <w:rsid w:val="32C344EC"/>
    <w:rsid w:val="367F6027"/>
    <w:rsid w:val="71A958B8"/>
    <w:rsid w:val="7D6310FB"/>
    <w:rsid w:val="7F7D5D37"/>
    <w:rsid w:val="DFB306DC"/>
    <w:rsid w:val="EDD48CB0"/>
    <w:rsid w:val="FCBFE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4"/>
    <w:qFormat/>
    <w:uiPriority w:val="0"/>
    <w:pPr>
      <w:widowControl/>
      <w:spacing w:before="100" w:beforeAutospacing="1" w:after="100" w:afterAutospacing="1"/>
      <w:jc w:val="left"/>
    </w:pPr>
    <w:rPr>
      <w:rFonts w:ascii="宋体" w:cs="宋体"/>
      <w:color w:val="000000"/>
      <w:kern w:val="0"/>
      <w:sz w:val="24"/>
      <w:szCs w:val="20"/>
      <w:lang w:bidi="ar-SA"/>
    </w:rPr>
  </w:style>
  <w:style w:type="paragraph" w:styleId="6">
    <w:name w:val="Body Text First Indent 2"/>
    <w:basedOn w:val="1"/>
    <w:qFormat/>
    <w:uiPriority w:val="0"/>
    <w:pPr>
      <w:spacing w:before="100" w:beforeAutospacing="1" w:after="0"/>
      <w:ind w:firstLine="200" w:firstLineChars="200"/>
    </w:pPr>
    <w:rPr>
      <w:rFonts w:ascii="Times New Roman" w:hAnsi="Times New Roman" w:eastAsia="宋体" w:cs="Times New Roman"/>
      <w:lang w:bidi="ar-SA"/>
    </w:rPr>
  </w:style>
  <w:style w:type="paragraph" w:customStyle="1" w:styleId="9">
    <w:name w:val="Table Paragraph"/>
    <w:basedOn w:val="1"/>
    <w:qFormat/>
    <w:uiPriority w:val="0"/>
    <w:rPr>
      <w:rFonts w:ascii="仿宋" w:eastAsia="仿宋" w:cs="仿宋"/>
      <w:szCs w:val="20"/>
      <w:lang w:val="zh-CN" w:eastAsia="zh-CN" w:bidi="zh-CN"/>
    </w:rPr>
  </w:style>
  <w:style w:type="paragraph" w:customStyle="1" w:styleId="10">
    <w:name w:val="Normal (Web)"/>
    <w:basedOn w:val="1"/>
    <w:qFormat/>
    <w:uiPriority w:val="0"/>
    <w:pPr>
      <w:spacing w:before="100" w:beforeAutospacing="1" w:after="100" w:afterAutospacing="1"/>
      <w:ind w:left="0" w:right="0"/>
      <w:jc w:val="left"/>
    </w:pPr>
    <w:rPr>
      <w:rFonts w:ascii="Times New Roman" w:hAnsi="Times New Roman" w:cs="Times New Roman"/>
      <w:kern w:val="0"/>
      <w:sz w:val="24"/>
      <w:szCs w:val="20"/>
      <w:lang w:val="en-US" w:eastAsia="zh-CN" w:bidi="ar-SA"/>
    </w:rPr>
  </w:style>
  <w:style w:type="paragraph" w:customStyle="1" w:styleId="11">
    <w:name w:val="Other|1"/>
    <w:basedOn w:val="1"/>
    <w:qFormat/>
    <w:uiPriority w:val="0"/>
    <w:pPr>
      <w:spacing w:line="200" w:lineRule="exact"/>
      <w:jc w:val="left"/>
    </w:pPr>
    <w:rPr>
      <w:rFonts w:ascii="宋体" w:cs="宋体"/>
      <w:kern w:val="0"/>
      <w:sz w:val="14"/>
      <w:szCs w:val="14"/>
      <w:lang w:val="zh-TW" w:eastAsia="zh-TW" w:bidi="zh-TW"/>
    </w:rPr>
  </w:style>
  <w:style w:type="paragraph" w:customStyle="1" w:styleId="12">
    <w:name w:val="Other|2"/>
    <w:basedOn w:val="1"/>
    <w:qFormat/>
    <w:uiPriority w:val="0"/>
    <w:pPr>
      <w:jc w:val="center"/>
    </w:pPr>
    <w:rPr>
      <w:rFonts w:ascii="宋体" w:cs="宋体"/>
      <w:kern w:val="0"/>
      <w:sz w:val="16"/>
      <w:szCs w:val="16"/>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2755</Words>
  <Characters>2755</Characters>
  <Lines>0</Lines>
  <Paragraphs>0</Paragraphs>
  <TotalTime>1</TotalTime>
  <ScaleCrop>false</ScaleCrop>
  <LinksUpToDate>false</LinksUpToDate>
  <CharactersWithSpaces>2801</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2024-10-19T04:06:00Z</dcterms:created>
  <dc:creator>Administrator</dc:creator>
  <cp:lastModifiedBy>syjy521</cp:lastModifiedBy>
  <dcterms:modified xsi:type="dcterms:W3CDTF">2025-04-30T15:43:29Z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A4E255A8212E4781B4EB633424A35F1C_13</vt:lpwstr>
  </property>
  <property fmtid="{D5CDD505-2E9C-101B-9397-08002B2CF9AE}" pid="4" name="KSOTemplateDocerSaveRecord">
    <vt:lpwstr>eyJoZGlkIjoiNDY2OThkNTdhNDM4NjQ0NWI1NWU1ZGExY2QzOTZhYmIifQ==</vt:lpwstr>
  </property>
</Properties>
</file>