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68472">
      <w:pPr>
        <w:rPr>
          <w:rFonts w:hint="eastAsia" w:ascii="黑体" w:hAnsi="黑体" w:eastAsia="黑体" w:cs="仿宋"/>
          <w:sz w:val="32"/>
          <w:szCs w:val="32"/>
          <w:lang w:val="en-US" w:eastAsia="zh-CN"/>
        </w:rPr>
      </w:pPr>
    </w:p>
    <w:p w14:paraId="1D066B8B">
      <w:pPr>
        <w:rPr>
          <w:rFonts w:hint="eastAsia" w:ascii="黑体" w:hAnsi="黑体" w:eastAsia="黑体" w:cs="仿宋"/>
          <w:sz w:val="32"/>
          <w:szCs w:val="32"/>
          <w:lang w:val="en-US" w:eastAsia="zh-CN"/>
        </w:rPr>
      </w:pPr>
    </w:p>
    <w:p w14:paraId="57BB3764">
      <w:pPr>
        <w:rPr>
          <w:rFonts w:hint="eastAsia" w:ascii="黑体" w:hAnsi="黑体" w:eastAsia="黑体" w:cs="仿宋"/>
          <w:sz w:val="32"/>
          <w:szCs w:val="32"/>
          <w:lang w:val="en-US" w:eastAsia="zh-CN"/>
        </w:rPr>
      </w:pPr>
    </w:p>
    <w:p w14:paraId="1F62AAFF">
      <w:pPr>
        <w:rPr>
          <w:rFonts w:hint="eastAsia" w:ascii="黑体" w:hAnsi="黑体" w:eastAsia="黑体" w:cs="仿宋"/>
          <w:sz w:val="32"/>
          <w:szCs w:val="32"/>
          <w:lang w:val="en-US" w:eastAsia="zh-CN"/>
        </w:rPr>
      </w:pPr>
    </w:p>
    <w:p w14:paraId="1BB9B55C">
      <w:pPr>
        <w:keepNext w:val="0"/>
        <w:keepLines w:val="0"/>
        <w:pageBreakBefore w:val="0"/>
        <w:widowControl/>
        <w:kinsoku/>
        <w:wordWrap/>
        <w:overflowPunct/>
        <w:topLinePunct w:val="0"/>
        <w:autoSpaceDE/>
        <w:autoSpaceDN/>
        <w:bidi w:val="0"/>
        <w:adjustRightInd/>
        <w:snapToGrid/>
        <w:spacing w:line="700" w:lineRule="exact"/>
        <w:jc w:val="center"/>
        <w:textAlignment w:val="auto"/>
        <w:rPr>
          <w:rFonts w:hint="eastAsia" w:ascii="微软雅黑" w:hAnsi="微软雅黑" w:eastAsia="微软雅黑" w:cs="微软雅黑"/>
          <w:sz w:val="52"/>
          <w:szCs w:val="52"/>
          <w:lang w:eastAsia="zh-CN"/>
        </w:rPr>
      </w:pPr>
      <w:r>
        <w:rPr>
          <w:rFonts w:hint="eastAsia" w:ascii="微软雅黑" w:hAnsi="微软雅黑" w:eastAsia="微软雅黑" w:cs="微软雅黑"/>
          <w:sz w:val="52"/>
          <w:szCs w:val="52"/>
          <w:lang w:val="en-US" w:eastAsia="zh-CN"/>
        </w:rPr>
        <w:t>2023年度</w:t>
      </w:r>
      <w:bookmarkStart w:id="0" w:name="_GoBack"/>
      <w:r>
        <w:rPr>
          <w:rFonts w:hint="eastAsia" w:ascii="微软雅黑" w:hAnsi="微软雅黑" w:eastAsia="微软雅黑" w:cs="微软雅黑"/>
          <w:sz w:val="52"/>
          <w:szCs w:val="52"/>
          <w:lang w:val="en-US" w:eastAsia="zh-CN"/>
        </w:rPr>
        <w:t>邵阳市北塔区新滩镇街道办事处</w:t>
      </w:r>
      <w:bookmarkEnd w:id="0"/>
      <w:r>
        <w:rPr>
          <w:rFonts w:hint="eastAsia" w:ascii="微软雅黑" w:hAnsi="微软雅黑" w:eastAsia="微软雅黑" w:cs="微软雅黑"/>
          <w:sz w:val="52"/>
          <w:szCs w:val="52"/>
        </w:rPr>
        <w:t>整体支出</w:t>
      </w:r>
      <w:r>
        <w:rPr>
          <w:rFonts w:hint="eastAsia" w:ascii="微软雅黑" w:hAnsi="微软雅黑" w:eastAsia="微软雅黑" w:cs="微软雅黑"/>
          <w:sz w:val="52"/>
          <w:szCs w:val="52"/>
          <w:lang w:eastAsia="zh-CN"/>
        </w:rPr>
        <w:t>绩效自评报告</w:t>
      </w:r>
    </w:p>
    <w:p w14:paraId="259CC34B">
      <w:pPr>
        <w:widowControl/>
        <w:ind w:firstLine="361" w:firstLineChars="100"/>
        <w:rPr>
          <w:rFonts w:ascii="楷体" w:hAnsi="楷体" w:eastAsia="楷体" w:cs="楷体"/>
          <w:b/>
          <w:bCs/>
          <w:kern w:val="0"/>
          <w:sz w:val="36"/>
          <w:szCs w:val="36"/>
        </w:rPr>
      </w:pPr>
    </w:p>
    <w:p w14:paraId="40A63115"/>
    <w:p w14:paraId="23DC1C5C">
      <w:pPr>
        <w:rPr>
          <w:rFonts w:ascii="楷体" w:hAnsi="楷体" w:eastAsia="楷体" w:cs="楷体"/>
          <w:b/>
          <w:bCs/>
          <w:kern w:val="0"/>
          <w:sz w:val="36"/>
          <w:szCs w:val="36"/>
        </w:rPr>
      </w:pPr>
    </w:p>
    <w:p w14:paraId="1FCF5A19">
      <w:pPr>
        <w:rPr>
          <w:rFonts w:ascii="楷体" w:hAnsi="楷体" w:eastAsia="楷体" w:cs="楷体"/>
          <w:b/>
          <w:bCs/>
          <w:kern w:val="0"/>
          <w:sz w:val="36"/>
          <w:szCs w:val="36"/>
        </w:rPr>
      </w:pPr>
    </w:p>
    <w:p w14:paraId="4BA370F2">
      <w:pPr>
        <w:rPr>
          <w:rFonts w:ascii="楷体" w:hAnsi="楷体" w:eastAsia="楷体" w:cs="楷体"/>
          <w:b/>
          <w:bCs/>
          <w:kern w:val="0"/>
          <w:sz w:val="36"/>
          <w:szCs w:val="36"/>
        </w:rPr>
      </w:pPr>
    </w:p>
    <w:p w14:paraId="23F8E7A8">
      <w:pPr>
        <w:rPr>
          <w:rFonts w:ascii="楷体" w:hAnsi="楷体" w:eastAsia="楷体" w:cs="楷体"/>
          <w:b/>
          <w:bCs/>
          <w:kern w:val="0"/>
          <w:sz w:val="36"/>
          <w:szCs w:val="36"/>
        </w:rPr>
      </w:pPr>
    </w:p>
    <w:p w14:paraId="3427B930">
      <w:pPr>
        <w:pStyle w:val="6"/>
      </w:pPr>
    </w:p>
    <w:p w14:paraId="311F1E4D">
      <w:pPr>
        <w:widowControl/>
        <w:ind w:firstLine="361" w:firstLineChars="100"/>
        <w:rPr>
          <w:rFonts w:hint="eastAsia" w:ascii="楷体" w:hAnsi="楷体" w:eastAsia="楷体" w:cs="楷体"/>
          <w:b/>
          <w:bCs/>
          <w:kern w:val="0"/>
          <w:sz w:val="36"/>
          <w:szCs w:val="36"/>
        </w:rPr>
      </w:pPr>
    </w:p>
    <w:p w14:paraId="6CE761DF">
      <w:pPr>
        <w:jc w:val="center"/>
        <w:rPr>
          <w:rFonts w:hint="eastAsia" w:ascii="黑体" w:hAnsi="黑体" w:eastAsia="黑体" w:cs="黑体"/>
          <w:b w:val="0"/>
          <w:bCs w:val="0"/>
          <w:kern w:val="0"/>
          <w:sz w:val="36"/>
          <w:szCs w:val="36"/>
          <w:lang w:eastAsia="zh-CN"/>
        </w:rPr>
      </w:pPr>
      <w:r>
        <w:rPr>
          <w:rFonts w:hint="eastAsia" w:ascii="黑体" w:hAnsi="黑体" w:eastAsia="黑体" w:cs="黑体"/>
          <w:b w:val="0"/>
          <w:bCs w:val="0"/>
          <w:kern w:val="0"/>
          <w:sz w:val="36"/>
          <w:szCs w:val="36"/>
          <w:lang w:eastAsia="zh-CN"/>
        </w:rPr>
        <w:t>邵阳市北塔区新滩镇街道办事处</w:t>
      </w:r>
    </w:p>
    <w:p w14:paraId="364D5A88">
      <w:pPr>
        <w:jc w:val="center"/>
        <w:rPr>
          <w:rFonts w:hint="eastAsia" w:ascii="黑体" w:hAnsi="黑体" w:eastAsia="黑体" w:cs="黑体"/>
          <w:b w:val="0"/>
          <w:bCs w:val="0"/>
          <w:kern w:val="0"/>
          <w:sz w:val="36"/>
          <w:szCs w:val="36"/>
        </w:rPr>
      </w:pPr>
      <w:r>
        <w:rPr>
          <w:rFonts w:hint="eastAsia" w:ascii="黑体" w:hAnsi="黑体" w:eastAsia="黑体" w:cs="黑体"/>
          <w:b w:val="0"/>
          <w:bCs w:val="0"/>
          <w:kern w:val="0"/>
          <w:sz w:val="36"/>
          <w:szCs w:val="36"/>
          <w:lang w:val="en-US" w:eastAsia="zh-CN"/>
        </w:rPr>
        <w:t>2024</w:t>
      </w:r>
      <w:r>
        <w:rPr>
          <w:rFonts w:hint="eastAsia" w:ascii="黑体" w:hAnsi="黑体" w:eastAsia="黑体" w:cs="黑体"/>
          <w:b w:val="0"/>
          <w:bCs w:val="0"/>
          <w:kern w:val="0"/>
          <w:sz w:val="36"/>
          <w:szCs w:val="36"/>
        </w:rPr>
        <w:t xml:space="preserve">年 </w:t>
      </w:r>
      <w:r>
        <w:rPr>
          <w:rFonts w:hint="eastAsia" w:ascii="黑体" w:hAnsi="黑体" w:eastAsia="黑体" w:cs="黑体"/>
          <w:b w:val="0"/>
          <w:bCs w:val="0"/>
          <w:kern w:val="0"/>
          <w:sz w:val="36"/>
          <w:szCs w:val="36"/>
          <w:lang w:val="en-US" w:eastAsia="zh-CN"/>
        </w:rPr>
        <w:t>07</w:t>
      </w:r>
      <w:r>
        <w:rPr>
          <w:rFonts w:hint="eastAsia" w:ascii="黑体" w:hAnsi="黑体" w:eastAsia="黑体" w:cs="黑体"/>
          <w:b w:val="0"/>
          <w:bCs w:val="0"/>
          <w:kern w:val="0"/>
          <w:sz w:val="36"/>
          <w:szCs w:val="36"/>
        </w:rPr>
        <w:t xml:space="preserve"> 月 </w:t>
      </w:r>
      <w:r>
        <w:rPr>
          <w:rFonts w:hint="eastAsia" w:ascii="黑体" w:hAnsi="黑体" w:eastAsia="黑体" w:cs="黑体"/>
          <w:b w:val="0"/>
          <w:bCs w:val="0"/>
          <w:kern w:val="0"/>
          <w:sz w:val="36"/>
          <w:szCs w:val="36"/>
          <w:lang w:val="en-US" w:eastAsia="zh-CN"/>
        </w:rPr>
        <w:t>24</w:t>
      </w:r>
      <w:r>
        <w:rPr>
          <w:rFonts w:hint="eastAsia" w:ascii="黑体" w:hAnsi="黑体" w:eastAsia="黑体" w:cs="黑体"/>
          <w:b w:val="0"/>
          <w:bCs w:val="0"/>
          <w:kern w:val="0"/>
          <w:sz w:val="36"/>
          <w:szCs w:val="36"/>
        </w:rPr>
        <w:t xml:space="preserve"> 日</w:t>
      </w:r>
    </w:p>
    <w:p w14:paraId="050869BD">
      <w:pPr>
        <w:keepNext w:val="0"/>
        <w:keepLines w:val="0"/>
        <w:pageBreakBefore w:val="0"/>
        <w:widowControl/>
        <w:kinsoku/>
        <w:wordWrap/>
        <w:overflowPunct/>
        <w:topLinePunct w:val="0"/>
        <w:autoSpaceDE/>
        <w:autoSpaceDN w:val="0"/>
        <w:bidi w:val="0"/>
        <w:adjustRightInd/>
        <w:snapToGrid/>
        <w:spacing w:line="576" w:lineRule="exact"/>
        <w:jc w:val="center"/>
        <w:textAlignment w:val="auto"/>
        <w:rPr>
          <w:rFonts w:hint="eastAsia" w:ascii="微软雅黑" w:hAnsi="仿宋" w:eastAsia="微软雅黑" w:cs="宋体"/>
          <w:b w:val="0"/>
          <w:bCs/>
          <w:kern w:val="0"/>
          <w:sz w:val="44"/>
          <w:szCs w:val="44"/>
          <w:lang w:val="en-US" w:eastAsia="zh-CN"/>
        </w:rPr>
      </w:pPr>
    </w:p>
    <w:p w14:paraId="202CF7F7">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126F26D1">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3E0AF0C3">
      <w:pP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6E581990">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jc w:val="center"/>
        <w:textAlignment w:val="auto"/>
        <w:rPr>
          <w:rFonts w:hint="eastAsia" w:ascii="黑体" w:hAnsi="黑体" w:eastAsia="黑体" w:cs="黑体"/>
          <w:i w:val="0"/>
          <w:iCs w:val="0"/>
          <w:caps w:val="0"/>
          <w:color w:val="000000"/>
          <w:spacing w:val="0"/>
          <w:sz w:val="24"/>
          <w:szCs w:val="24"/>
        </w:rPr>
      </w:pPr>
      <w:r>
        <w:rPr>
          <w:rFonts w:hint="eastAsia" w:ascii="黑体" w:hAnsi="黑体" w:eastAsia="黑体" w:cs="黑体"/>
          <w:i w:val="0"/>
          <w:iCs w:val="0"/>
          <w:caps w:val="0"/>
          <w:color w:val="000000"/>
          <w:spacing w:val="0"/>
          <w:sz w:val="44"/>
          <w:szCs w:val="44"/>
          <w:shd w:val="clear" w:fill="FFFFFF"/>
        </w:rPr>
        <w:t>邵阳市北塔区新滩镇街道办事处2023年度部门整体支出绩效自评报告</w:t>
      </w:r>
    </w:p>
    <w:p w14:paraId="787983E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一、部门、单位基本情况</w:t>
      </w:r>
    </w:p>
    <w:p w14:paraId="6E5C5FD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（一）机构设置情况</w:t>
      </w:r>
    </w:p>
    <w:p w14:paraId="0361EE4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邵阳市北塔区新滩镇街道办事处单位独立编制机构数1个，独立核算机构数1个。</w:t>
      </w:r>
    </w:p>
    <w:p w14:paraId="4ADD634C">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人员编制情况</w:t>
      </w:r>
    </w:p>
    <w:p w14:paraId="0D19E28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邵阳市北塔区新滩镇街道办事处单位编制人数为57人，年末实际人数57人。</w:t>
      </w:r>
    </w:p>
    <w:p w14:paraId="1836643A">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主要职能职责</w:t>
      </w:r>
    </w:p>
    <w:p w14:paraId="0EBFE96C">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宣传国家法律、法规和政策，对居民群众进行思想政治教育和社会主义法制教育。管理街道经济，制定经济发展规划，对经济工作中的重要问题做出决定，监督、指导、协调街道经济的运作。做好计划生育工作，加强对流动人口的计生管理，落实区政府下达的各项计划生育指标。协调和参与辖区内城市管理、旧村改造与开发、重点项目征地拆迁腾地、制止违法建设，搞好市容环境卫生，开展爱国卫生和“红十字”工作。开展社区群众文化、科技普及和体育工作。加强社区居民委员会建设，合理设置、组建新社区居民委员会，指导其开展工作，提高其自治能力。开展社会保障、拥军优属、社区服务工作，协助做好义务教育。做好侨、台工作，开展联谊活动，维护侨、台合法权益，为经济建设牵线搭桥。协助政法部门搞好社会治安综合治理，加强流动人口管理，开展人民调解，维护老人、妇女、未成年人、残疾人的合法权益。做好征兵和民兵、预备役工作，开展安全生产、抢险救灾工作。向区人民政府反映社情民意，办理人民群众信访事项。承办上级政府交办的其它事项。</w:t>
      </w:r>
    </w:p>
    <w:p w14:paraId="1183DFED">
      <w:pPr>
        <w:pStyle w:val="7"/>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绩效目标设定情况</w:t>
      </w:r>
    </w:p>
    <w:p w14:paraId="28B719B3">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楷体_GB2312" w:eastAsia="楷体_GB2312" w:cs="楷体_GB2312"/>
          <w:i w:val="0"/>
          <w:iCs w:val="0"/>
          <w:caps w:val="0"/>
          <w:color w:val="000000"/>
          <w:spacing w:val="0"/>
          <w:sz w:val="32"/>
          <w:szCs w:val="32"/>
          <w:shd w:val="clear" w:fill="FFFFFF"/>
        </w:rPr>
      </w:pPr>
      <w:r>
        <w:rPr>
          <w:rFonts w:hint="default" w:ascii="仿宋" w:hAnsi="仿宋" w:eastAsia="仿宋" w:cs="仿宋"/>
          <w:kern w:val="2"/>
          <w:sz w:val="32"/>
          <w:szCs w:val="32"/>
          <w:lang w:val="en-US" w:eastAsia="zh-CN" w:bidi="ar-SA"/>
        </w:rPr>
        <w:t>采取项目预期绩效目标申报制度，强化评价结果在部门预算编制和执行中的应用，实现绩效评价结果在部门预算编制和执行中的应用，促进财政资金的合理分配与有效使用。</w:t>
      </w:r>
    </w:p>
    <w:p w14:paraId="1FAB3023">
      <w:pPr>
        <w:keepNext w:val="0"/>
        <w:keepLines w:val="0"/>
        <w:pageBreakBefore w:val="0"/>
        <w:numPr>
          <w:ilvl w:val="0"/>
          <w:numId w:val="0"/>
        </w:numPr>
        <w:kinsoku/>
        <w:wordWrap/>
        <w:overflowPunct/>
        <w:topLinePunct w:val="0"/>
        <w:autoSpaceDE/>
        <w:autoSpaceDN/>
        <w:bidi w:val="0"/>
        <w:adjustRightInd/>
        <w:snapToGrid w:val="0"/>
        <w:spacing w:line="520" w:lineRule="exact"/>
        <w:ind w:firstLine="0"/>
        <w:textAlignment w:val="auto"/>
        <w:rPr>
          <w:rFonts w:hint="eastAsia" w:ascii="黑体" w:hAnsi="黑体" w:eastAsia="黑体" w:cs="黑体"/>
          <w:i w:val="0"/>
          <w:iCs w:val="0"/>
          <w:caps w:val="0"/>
          <w:color w:val="000000"/>
          <w:spacing w:val="0"/>
          <w:kern w:val="0"/>
          <w:sz w:val="32"/>
          <w:szCs w:val="32"/>
          <w:shd w:val="clear" w:fill="FFFFFF"/>
          <w:lang w:val="en-US" w:eastAsia="zh-CN" w:bidi="ar"/>
        </w:rPr>
      </w:pPr>
      <w:r>
        <w:rPr>
          <w:rFonts w:hint="eastAsia" w:ascii="黑体" w:hAnsi="黑体" w:eastAsia="黑体" w:cs="黑体"/>
          <w:i w:val="0"/>
          <w:iCs w:val="0"/>
          <w:caps w:val="0"/>
          <w:color w:val="000000"/>
          <w:spacing w:val="0"/>
          <w:kern w:val="0"/>
          <w:sz w:val="32"/>
          <w:szCs w:val="32"/>
          <w:shd w:val="clear" w:fill="FFFFFF"/>
          <w:lang w:val="en-US" w:eastAsia="zh-CN" w:bidi="ar"/>
        </w:rPr>
        <w:t>二、部门整体支出管理及使用情况</w:t>
      </w:r>
    </w:p>
    <w:p w14:paraId="25DA247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（一）</w:t>
      </w:r>
      <w:r>
        <w:rPr>
          <w:rFonts w:hint="eastAsia" w:ascii="楷体_GB2312" w:eastAsia="楷体_GB2312" w:cs="楷体_GB2312"/>
          <w:i w:val="0"/>
          <w:iCs w:val="0"/>
          <w:caps w:val="0"/>
          <w:color w:val="000000"/>
          <w:spacing w:val="0"/>
          <w:sz w:val="32"/>
          <w:szCs w:val="32"/>
          <w:shd w:val="clear" w:fill="FFFFFF"/>
        </w:rPr>
        <w:t>预算执行、使用、管理总体情况。</w:t>
      </w:r>
    </w:p>
    <w:p w14:paraId="18E22EB5">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我单位2023年预算总支出为</w:t>
      </w:r>
      <w:r>
        <w:rPr>
          <w:rFonts w:hint="eastAsia" w:ascii="仿宋" w:hAnsi="仿宋" w:eastAsia="仿宋" w:cs="仿宋"/>
          <w:kern w:val="2"/>
          <w:sz w:val="32"/>
          <w:szCs w:val="32"/>
          <w:lang w:val="en-US" w:eastAsia="zh-CN" w:bidi="ar-SA"/>
        </w:rPr>
        <w:t>3160.82</w:t>
      </w:r>
      <w:r>
        <w:rPr>
          <w:rFonts w:hint="default" w:ascii="仿宋" w:hAnsi="仿宋" w:eastAsia="仿宋" w:cs="仿宋"/>
          <w:kern w:val="2"/>
          <w:sz w:val="32"/>
          <w:szCs w:val="32"/>
          <w:lang w:val="en-US" w:eastAsia="zh-CN" w:bidi="ar-SA"/>
        </w:rPr>
        <w:t>万元，其中基本支出</w:t>
      </w:r>
      <w:r>
        <w:rPr>
          <w:rFonts w:hint="eastAsia" w:ascii="仿宋" w:hAnsi="仿宋" w:eastAsia="仿宋" w:cs="仿宋"/>
          <w:kern w:val="2"/>
          <w:sz w:val="32"/>
          <w:szCs w:val="32"/>
          <w:lang w:val="en-US" w:eastAsia="zh-CN" w:bidi="ar-SA"/>
        </w:rPr>
        <w:t>984.22</w:t>
      </w:r>
      <w:r>
        <w:rPr>
          <w:rFonts w:hint="default" w:ascii="仿宋" w:hAnsi="仿宋" w:eastAsia="仿宋" w:cs="仿宋"/>
          <w:kern w:val="2"/>
          <w:sz w:val="32"/>
          <w:szCs w:val="32"/>
          <w:lang w:val="en-US" w:eastAsia="zh-CN" w:bidi="ar-SA"/>
        </w:rPr>
        <w:t>万元，具体是工资福利支出</w:t>
      </w:r>
      <w:r>
        <w:rPr>
          <w:rFonts w:hint="eastAsia" w:ascii="仿宋" w:hAnsi="仿宋" w:eastAsia="仿宋" w:cs="仿宋"/>
          <w:kern w:val="2"/>
          <w:sz w:val="32"/>
          <w:szCs w:val="32"/>
          <w:lang w:val="en-US" w:eastAsia="zh-CN" w:bidi="ar-SA"/>
        </w:rPr>
        <w:t>727.74</w:t>
      </w:r>
      <w:r>
        <w:rPr>
          <w:rFonts w:hint="default" w:ascii="仿宋" w:hAnsi="仿宋" w:eastAsia="仿宋" w:cs="仿宋"/>
          <w:kern w:val="2"/>
          <w:sz w:val="32"/>
          <w:szCs w:val="32"/>
          <w:lang w:val="en-US" w:eastAsia="zh-CN" w:bidi="ar-SA"/>
        </w:rPr>
        <w:t>万元、商品和服务支出</w:t>
      </w:r>
      <w:r>
        <w:rPr>
          <w:rFonts w:hint="eastAsia" w:ascii="仿宋" w:hAnsi="仿宋" w:eastAsia="仿宋" w:cs="仿宋"/>
          <w:kern w:val="2"/>
          <w:sz w:val="32"/>
          <w:szCs w:val="32"/>
          <w:lang w:val="en-US" w:eastAsia="zh-CN" w:bidi="ar-SA"/>
        </w:rPr>
        <w:t>224.93</w:t>
      </w:r>
      <w:r>
        <w:rPr>
          <w:rFonts w:hint="default" w:ascii="仿宋" w:hAnsi="仿宋" w:eastAsia="仿宋" w:cs="仿宋"/>
          <w:kern w:val="2"/>
          <w:sz w:val="32"/>
          <w:szCs w:val="32"/>
          <w:lang w:val="en-US" w:eastAsia="zh-CN" w:bidi="ar-SA"/>
        </w:rPr>
        <w:t>万元、对个人和家庭的补助</w:t>
      </w:r>
      <w:r>
        <w:rPr>
          <w:rFonts w:hint="eastAsia" w:ascii="仿宋" w:hAnsi="仿宋" w:eastAsia="仿宋" w:cs="仿宋"/>
          <w:kern w:val="2"/>
          <w:sz w:val="32"/>
          <w:szCs w:val="32"/>
          <w:lang w:val="en-US" w:eastAsia="zh-CN" w:bidi="ar-SA"/>
        </w:rPr>
        <w:t>31.54</w:t>
      </w:r>
      <w:r>
        <w:rPr>
          <w:rFonts w:hint="default" w:ascii="仿宋" w:hAnsi="仿宋" w:eastAsia="仿宋" w:cs="仿宋"/>
          <w:kern w:val="2"/>
          <w:sz w:val="32"/>
          <w:szCs w:val="32"/>
          <w:lang w:val="en-US" w:eastAsia="zh-CN" w:bidi="ar-SA"/>
        </w:rPr>
        <w:t>万元。</w:t>
      </w:r>
    </w:p>
    <w:p w14:paraId="7A7799DF">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（二）部门预算执行情况</w:t>
      </w:r>
    </w:p>
    <w:p w14:paraId="06AAEF2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right="0" w:firstLine="0"/>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1.基本支出情况</w:t>
      </w:r>
    </w:p>
    <w:p w14:paraId="25746AE1">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Chars="0" w:right="0" w:rightChars="0" w:firstLine="640" w:firstLineChars="200"/>
        <w:textAlignment w:val="auto"/>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2023年度</w:t>
      </w:r>
      <w:r>
        <w:rPr>
          <w:rFonts w:hint="eastAsia" w:ascii="仿宋" w:hAnsi="仿宋" w:eastAsia="仿宋" w:cs="仿宋"/>
          <w:kern w:val="2"/>
          <w:sz w:val="32"/>
          <w:szCs w:val="32"/>
          <w:lang w:val="en-US" w:eastAsia="zh-CN" w:bidi="ar-SA"/>
        </w:rPr>
        <w:t>我单位基本支出</w:t>
      </w:r>
      <w:r>
        <w:rPr>
          <w:rFonts w:hint="default" w:ascii="仿宋" w:hAnsi="仿宋" w:eastAsia="仿宋" w:cs="仿宋"/>
          <w:kern w:val="2"/>
          <w:sz w:val="32"/>
          <w:szCs w:val="32"/>
          <w:lang w:val="en-US" w:eastAsia="zh-CN" w:bidi="ar-SA"/>
        </w:rPr>
        <w:t>为</w:t>
      </w:r>
      <w:r>
        <w:rPr>
          <w:rFonts w:hint="eastAsia" w:ascii="仿宋" w:hAnsi="仿宋" w:eastAsia="仿宋" w:cs="仿宋"/>
          <w:kern w:val="2"/>
          <w:sz w:val="32"/>
          <w:szCs w:val="32"/>
          <w:lang w:val="en-US" w:eastAsia="zh-CN" w:bidi="ar-SA"/>
        </w:rPr>
        <w:t>984.22</w:t>
      </w:r>
      <w:r>
        <w:rPr>
          <w:rFonts w:hint="default" w:ascii="仿宋" w:hAnsi="仿宋" w:eastAsia="仿宋" w:cs="仿宋"/>
          <w:kern w:val="2"/>
          <w:sz w:val="32"/>
          <w:szCs w:val="32"/>
          <w:lang w:val="en-US" w:eastAsia="zh-CN" w:bidi="ar-SA"/>
        </w:rPr>
        <w:t>万元，具体是工资福利支出</w:t>
      </w:r>
      <w:r>
        <w:rPr>
          <w:rFonts w:hint="eastAsia" w:ascii="仿宋" w:hAnsi="仿宋" w:eastAsia="仿宋" w:cs="仿宋"/>
          <w:kern w:val="2"/>
          <w:sz w:val="32"/>
          <w:szCs w:val="32"/>
          <w:lang w:val="en-US" w:eastAsia="zh-CN" w:bidi="ar-SA"/>
        </w:rPr>
        <w:t>727.74</w:t>
      </w:r>
      <w:r>
        <w:rPr>
          <w:rFonts w:hint="default" w:ascii="仿宋" w:hAnsi="仿宋" w:eastAsia="仿宋" w:cs="仿宋"/>
          <w:kern w:val="2"/>
          <w:sz w:val="32"/>
          <w:szCs w:val="32"/>
          <w:lang w:val="en-US" w:eastAsia="zh-CN" w:bidi="ar-SA"/>
        </w:rPr>
        <w:t>万元、商品和服务支出</w:t>
      </w:r>
      <w:r>
        <w:rPr>
          <w:rFonts w:hint="eastAsia" w:ascii="仿宋" w:hAnsi="仿宋" w:eastAsia="仿宋" w:cs="仿宋"/>
          <w:kern w:val="2"/>
          <w:sz w:val="32"/>
          <w:szCs w:val="32"/>
          <w:lang w:val="en-US" w:eastAsia="zh-CN" w:bidi="ar-SA"/>
        </w:rPr>
        <w:t>224.93</w:t>
      </w:r>
      <w:r>
        <w:rPr>
          <w:rFonts w:hint="default" w:ascii="仿宋" w:hAnsi="仿宋" w:eastAsia="仿宋" w:cs="仿宋"/>
          <w:kern w:val="2"/>
          <w:sz w:val="32"/>
          <w:szCs w:val="32"/>
          <w:lang w:val="en-US" w:eastAsia="zh-CN" w:bidi="ar-SA"/>
        </w:rPr>
        <w:t>万元、对个人和家庭的补助</w:t>
      </w:r>
      <w:r>
        <w:rPr>
          <w:rFonts w:hint="eastAsia" w:ascii="仿宋" w:hAnsi="仿宋" w:eastAsia="仿宋" w:cs="仿宋"/>
          <w:kern w:val="2"/>
          <w:sz w:val="32"/>
          <w:szCs w:val="32"/>
          <w:lang w:val="en-US" w:eastAsia="zh-CN" w:bidi="ar-SA"/>
        </w:rPr>
        <w:t>31.54</w:t>
      </w:r>
      <w:r>
        <w:rPr>
          <w:rFonts w:hint="default" w:ascii="仿宋" w:hAnsi="仿宋" w:eastAsia="仿宋" w:cs="仿宋"/>
          <w:kern w:val="2"/>
          <w:sz w:val="32"/>
          <w:szCs w:val="32"/>
          <w:lang w:val="en-US" w:eastAsia="zh-CN" w:bidi="ar-SA"/>
        </w:rPr>
        <w:t>万元。是指为保障单位机构正常运转、完成日常工作任务而发生的各项支出，包括用于基本工资、津贴补贴等人员经费以及办公费、印刷费、水电费及办公设备购置等日常公用经费。</w:t>
      </w:r>
    </w:p>
    <w:p w14:paraId="04506BD2">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640" w:leftChars="0" w:right="0" w:rightChars="0"/>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项目支出情况</w:t>
      </w:r>
    </w:p>
    <w:p w14:paraId="48FF4B26">
      <w:pPr>
        <w:pStyle w:val="8"/>
        <w:ind w:firstLine="560"/>
        <w:rPr>
          <w:rFonts w:hint="default" w:ascii="仿宋_GB2312" w:eastAsia="仿宋_GB2312" w:cs="仿宋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2023年年度我单位项目支出为2176.61万元，是指单位为完成选定行政工作或事业发展目标而发生的支出，包括有关事业发展专项、专项业务费、基本建设支出等。</w:t>
      </w:r>
    </w:p>
    <w:p w14:paraId="2DF57180">
      <w:pPr>
        <w:pStyle w:val="7"/>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"三公"经费使用和管理情况</w:t>
      </w:r>
    </w:p>
    <w:p w14:paraId="0AD6344B">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2023年我单位“三公”经费0万元。</w:t>
      </w:r>
    </w:p>
    <w:p w14:paraId="3217D49C">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1、因公出国(境)费0元；</w:t>
      </w:r>
    </w:p>
    <w:p w14:paraId="366793CE">
      <w:pPr>
        <w:pStyle w:val="8"/>
        <w:ind w:firstLine="56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2、公务接待费0万元；</w:t>
      </w:r>
    </w:p>
    <w:p w14:paraId="43F22635">
      <w:pPr>
        <w:pStyle w:val="8"/>
        <w:ind w:firstLine="560"/>
        <w:rPr>
          <w:rFonts w:hint="default" w:ascii="楷体_GB2312" w:eastAsia="楷体_GB2312" w:cs="楷体_GB2312"/>
          <w:i w:val="0"/>
          <w:iCs w:val="0"/>
          <w:caps w:val="0"/>
          <w:color w:val="000000"/>
          <w:spacing w:val="0"/>
          <w:sz w:val="32"/>
          <w:szCs w:val="32"/>
          <w:shd w:val="clear" w:fill="FFFFFF"/>
        </w:rPr>
      </w:pPr>
      <w:r>
        <w:rPr>
          <w:rFonts w:hint="eastAsia" w:ascii="仿宋" w:hAnsi="仿宋" w:eastAsia="仿宋" w:cs="仿宋"/>
          <w:kern w:val="2"/>
          <w:sz w:val="32"/>
          <w:szCs w:val="32"/>
          <w:lang w:val="en-US" w:eastAsia="zh-CN" w:bidi="ar-SA"/>
        </w:rPr>
        <w:t>3、公务用车费0万元（公务用车运行维护费0万元，公务用车购置费 0 元）。</w:t>
      </w:r>
    </w:p>
    <w:p w14:paraId="6E8B177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三、政府性基金预算支出情况</w:t>
      </w:r>
    </w:p>
    <w:p w14:paraId="37EB5200">
      <w:pPr>
        <w:numPr>
          <w:ilvl w:val="0"/>
          <w:numId w:val="0"/>
        </w:numPr>
        <w:ind w:firstLine="640" w:firstLineChars="200"/>
        <w:rPr>
          <w:rFonts w:hint="eastAsia" w:ascii="黑体" w:hAnsi="黑体" w:eastAsia="黑体" w:cs="黑体"/>
          <w:i w:val="0"/>
          <w:iCs w:val="0"/>
          <w:caps w:val="0"/>
          <w:color w:val="000000"/>
          <w:spacing w:val="0"/>
          <w:sz w:val="32"/>
          <w:szCs w:val="32"/>
          <w:shd w:val="clear" w:fill="FFFFFF"/>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年本部门政府性基金支出预算</w:t>
      </w:r>
      <w:r>
        <w:rPr>
          <w:rFonts w:hint="eastAsia" w:ascii="Times New Roman" w:hAnsi="Times New Roman" w:eastAsia="仿宋_GB2312" w:cs="Times New Roman"/>
          <w:i w:val="0"/>
          <w:iCs w:val="0"/>
          <w:caps w:val="0"/>
          <w:color w:val="232323"/>
          <w:spacing w:val="0"/>
          <w:sz w:val="32"/>
          <w:szCs w:val="32"/>
          <w:shd w:val="clear" w:fill="FFFFFF"/>
          <w:lang w:val="en-US" w:eastAsia="zh-CN"/>
        </w:rPr>
        <w:t>24.21</w:t>
      </w:r>
      <w:r>
        <w:rPr>
          <w:rFonts w:hint="default" w:ascii="仿宋_GB2312" w:hAnsi="Times New Roman" w:eastAsia="仿宋_GB2312" w:cs="仿宋_GB2312"/>
          <w:i w:val="0"/>
          <w:iCs w:val="0"/>
          <w:caps w:val="0"/>
          <w:color w:val="232323"/>
          <w:spacing w:val="0"/>
          <w:sz w:val="32"/>
          <w:szCs w:val="32"/>
          <w:shd w:val="clear" w:fill="FFFFFF"/>
        </w:rPr>
        <w:t>万元</w:t>
      </w:r>
      <w:r>
        <w:rPr>
          <w:rFonts w:hint="default" w:ascii="仿宋_GB2312" w:hAnsi="宋体" w:eastAsia="仿宋_GB2312" w:cs="仿宋_GB2312"/>
          <w:i w:val="0"/>
          <w:iCs w:val="0"/>
          <w:caps w:val="0"/>
          <w:color w:val="232323"/>
          <w:spacing w:val="0"/>
          <w:sz w:val="32"/>
          <w:szCs w:val="32"/>
          <w:shd w:val="clear" w:fill="FFFFFF"/>
        </w:rPr>
        <w:t>。</w:t>
      </w:r>
    </w:p>
    <w:p w14:paraId="6ED9F72B">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国有资本经营预算支出情况</w:t>
      </w:r>
    </w:p>
    <w:p w14:paraId="34B4BD77">
      <w:pPr>
        <w:pStyle w:val="8"/>
        <w:numPr>
          <w:ilvl w:val="0"/>
          <w:numId w:val="0"/>
        </w:numPr>
        <w:ind w:leftChars="200"/>
        <w:rPr>
          <w:rFonts w:hint="eastAsia" w:ascii="黑体" w:hAnsi="黑体" w:eastAsia="黑体" w:cs="黑体"/>
          <w:i w:val="0"/>
          <w:iCs w:val="0"/>
          <w:caps w:val="0"/>
          <w:color w:val="000000"/>
          <w:spacing w:val="0"/>
          <w:sz w:val="32"/>
          <w:szCs w:val="32"/>
          <w:shd w:val="clear" w:fill="FFFFFF"/>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w:t>
      </w:r>
      <w:r>
        <w:rPr>
          <w:rFonts w:hint="default" w:ascii="仿宋_GB2312" w:hAnsi="宋体" w:eastAsia="仿宋_GB2312" w:cs="仿宋_GB2312"/>
          <w:i w:val="0"/>
          <w:iCs w:val="0"/>
          <w:caps w:val="0"/>
          <w:color w:val="232323"/>
          <w:spacing w:val="0"/>
          <w:sz w:val="32"/>
          <w:szCs w:val="32"/>
          <w:shd w:val="clear" w:fill="FFFFFF"/>
        </w:rPr>
        <w:t>本部门</w:t>
      </w:r>
      <w:r>
        <w:rPr>
          <w:rFonts w:hint="eastAsia" w:ascii="仿宋_GB2312" w:hAnsi="宋体" w:eastAsia="仿宋_GB2312" w:cs="仿宋_GB2312"/>
          <w:i w:val="0"/>
          <w:iCs w:val="0"/>
          <w:caps w:val="0"/>
          <w:color w:val="232323"/>
          <w:spacing w:val="0"/>
          <w:sz w:val="32"/>
          <w:szCs w:val="32"/>
          <w:shd w:val="clear" w:fill="FFFFFF"/>
          <w:lang w:eastAsia="zh-CN"/>
        </w:rPr>
        <w:t>国有资本经营预算</w:t>
      </w:r>
      <w:r>
        <w:rPr>
          <w:rFonts w:hint="default" w:ascii="仿宋_GB2312" w:hAnsi="宋体" w:eastAsia="仿宋_GB2312" w:cs="仿宋_GB2312"/>
          <w:i w:val="0"/>
          <w:iCs w:val="0"/>
          <w:caps w:val="0"/>
          <w:color w:val="232323"/>
          <w:spacing w:val="0"/>
          <w:sz w:val="32"/>
          <w:szCs w:val="32"/>
          <w:shd w:val="clear" w:fill="FFFFFF"/>
        </w:rPr>
        <w:t>的支出</w:t>
      </w:r>
      <w:r>
        <w:rPr>
          <w:rFonts w:hint="eastAsia" w:ascii="仿宋_GB2312" w:hAnsi="宋体" w:eastAsia="仿宋_GB2312" w:cs="仿宋_GB2312"/>
          <w:i w:val="0"/>
          <w:iCs w:val="0"/>
          <w:caps w:val="0"/>
          <w:color w:val="232323"/>
          <w:spacing w:val="0"/>
          <w:sz w:val="32"/>
          <w:szCs w:val="32"/>
          <w:shd w:val="clear" w:fill="FFFFFF"/>
          <w:lang w:val="en-US" w:eastAsia="zh-CN"/>
        </w:rPr>
        <w:t>0.57万元</w:t>
      </w:r>
      <w:r>
        <w:rPr>
          <w:rFonts w:hint="eastAsia" w:ascii="仿宋_GB2312" w:hAnsi="宋体" w:eastAsia="仿宋_GB2312" w:cs="仿宋_GB2312"/>
          <w:i w:val="0"/>
          <w:iCs w:val="0"/>
          <w:caps w:val="0"/>
          <w:color w:val="232323"/>
          <w:spacing w:val="0"/>
          <w:sz w:val="32"/>
          <w:szCs w:val="32"/>
          <w:shd w:val="clear" w:fill="FFFFFF"/>
          <w:lang w:eastAsia="zh-CN"/>
        </w:rPr>
        <w:t>。</w:t>
      </w:r>
    </w:p>
    <w:p w14:paraId="368DFF1F">
      <w:pPr>
        <w:pStyle w:val="7"/>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leftChars="0" w:right="0" w:firstLine="0" w:firstLineChars="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社会保险基金预算支出情况</w:t>
      </w:r>
    </w:p>
    <w:p w14:paraId="5D454C70">
      <w:pPr>
        <w:pStyle w:val="8"/>
        <w:numPr>
          <w:ilvl w:val="0"/>
          <w:numId w:val="0"/>
        </w:numPr>
        <w:ind w:leftChars="200"/>
        <w:rPr>
          <w:rFonts w:hint="eastAsia" w:ascii="黑体" w:hAnsi="黑体" w:eastAsia="黑体" w:cs="黑体"/>
          <w:i w:val="0"/>
          <w:iCs w:val="0"/>
          <w:caps w:val="0"/>
          <w:color w:val="000000"/>
          <w:spacing w:val="0"/>
          <w:sz w:val="32"/>
          <w:szCs w:val="32"/>
          <w:shd w:val="clear" w:fill="FFFFFF"/>
        </w:rPr>
      </w:pPr>
      <w:r>
        <w:rPr>
          <w:rFonts w:hint="default" w:ascii="Times New Roman" w:hAnsi="Times New Roman" w:eastAsia="宋体" w:cs="Times New Roman"/>
          <w:i w:val="0"/>
          <w:iCs w:val="0"/>
          <w:caps w:val="0"/>
          <w:color w:val="232323"/>
          <w:spacing w:val="0"/>
          <w:sz w:val="32"/>
          <w:szCs w:val="32"/>
          <w:shd w:val="clear" w:fill="FFFFFF"/>
        </w:rPr>
        <w:t>202</w:t>
      </w:r>
      <w:r>
        <w:rPr>
          <w:rFonts w:hint="eastAsia" w:ascii="Times New Roman" w:hAnsi="Times New Roman" w:cs="Times New Roman"/>
          <w:i w:val="0"/>
          <w:iCs w:val="0"/>
          <w:caps w:val="0"/>
          <w:color w:val="232323"/>
          <w:spacing w:val="0"/>
          <w:sz w:val="32"/>
          <w:szCs w:val="32"/>
          <w:shd w:val="clear" w:fill="FFFFFF"/>
          <w:lang w:val="en-US" w:eastAsia="zh-CN"/>
        </w:rPr>
        <w:t>3</w:t>
      </w:r>
      <w:r>
        <w:rPr>
          <w:rFonts w:hint="default" w:ascii="仿宋_GB2312" w:hAnsi="Times New Roman" w:eastAsia="仿宋_GB2312" w:cs="仿宋_GB2312"/>
          <w:i w:val="0"/>
          <w:iCs w:val="0"/>
          <w:caps w:val="0"/>
          <w:color w:val="232323"/>
          <w:spacing w:val="0"/>
          <w:sz w:val="32"/>
          <w:szCs w:val="32"/>
          <w:shd w:val="clear" w:fill="FFFFFF"/>
        </w:rPr>
        <w:t>年</w:t>
      </w:r>
      <w:r>
        <w:rPr>
          <w:rFonts w:hint="default" w:ascii="仿宋_GB2312" w:hAnsi="宋体" w:eastAsia="仿宋_GB2312" w:cs="仿宋_GB2312"/>
          <w:i w:val="0"/>
          <w:iCs w:val="0"/>
          <w:caps w:val="0"/>
          <w:color w:val="232323"/>
          <w:spacing w:val="0"/>
          <w:sz w:val="32"/>
          <w:szCs w:val="32"/>
          <w:shd w:val="clear" w:fill="FFFFFF"/>
        </w:rPr>
        <w:t>本部门无</w:t>
      </w:r>
      <w:r>
        <w:rPr>
          <w:rFonts w:hint="eastAsia" w:ascii="仿宋_GB2312" w:hAnsi="宋体" w:eastAsia="仿宋_GB2312" w:cs="仿宋_GB2312"/>
          <w:i w:val="0"/>
          <w:iCs w:val="0"/>
          <w:caps w:val="0"/>
          <w:color w:val="232323"/>
          <w:spacing w:val="0"/>
          <w:sz w:val="32"/>
          <w:szCs w:val="32"/>
          <w:shd w:val="clear" w:fill="FFFFFF"/>
          <w:lang w:eastAsia="zh-CN"/>
        </w:rPr>
        <w:t>社会保险基金预算</w:t>
      </w:r>
      <w:r>
        <w:rPr>
          <w:rFonts w:hint="default" w:ascii="仿宋_GB2312" w:hAnsi="宋体" w:eastAsia="仿宋_GB2312" w:cs="仿宋_GB2312"/>
          <w:i w:val="0"/>
          <w:iCs w:val="0"/>
          <w:caps w:val="0"/>
          <w:color w:val="232323"/>
          <w:spacing w:val="0"/>
          <w:sz w:val="32"/>
          <w:szCs w:val="32"/>
          <w:shd w:val="clear" w:fill="FFFFFF"/>
        </w:rPr>
        <w:t>的支出</w:t>
      </w:r>
      <w:r>
        <w:rPr>
          <w:rFonts w:hint="eastAsia" w:ascii="仿宋_GB2312" w:hAnsi="宋体" w:eastAsia="仿宋_GB2312" w:cs="仿宋_GB2312"/>
          <w:i w:val="0"/>
          <w:iCs w:val="0"/>
          <w:caps w:val="0"/>
          <w:color w:val="232323"/>
          <w:spacing w:val="0"/>
          <w:sz w:val="32"/>
          <w:szCs w:val="32"/>
          <w:shd w:val="clear" w:fill="FFFFFF"/>
          <w:lang w:eastAsia="zh-CN"/>
        </w:rPr>
        <w:t>。</w:t>
      </w:r>
    </w:p>
    <w:p w14:paraId="1BB8655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六、部门整体支出绩效情况</w:t>
      </w:r>
    </w:p>
    <w:p w14:paraId="64E5E51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default" w:ascii="楷体_GB2312" w:eastAsia="楷体_GB2312" w:cs="楷体_GB2312"/>
          <w:i w:val="0"/>
          <w:iCs w:val="0"/>
          <w:caps w:val="0"/>
          <w:color w:val="000000"/>
          <w:spacing w:val="0"/>
          <w:sz w:val="32"/>
          <w:szCs w:val="32"/>
        </w:rPr>
      </w:pPr>
      <w:r>
        <w:rPr>
          <w:rFonts w:hint="default" w:ascii="楷体_GB2312" w:eastAsia="楷体_GB2312" w:cs="楷体_GB2312"/>
          <w:i w:val="0"/>
          <w:iCs w:val="0"/>
          <w:caps w:val="0"/>
          <w:color w:val="000000"/>
          <w:spacing w:val="0"/>
          <w:sz w:val="32"/>
          <w:szCs w:val="32"/>
          <w:shd w:val="clear" w:fill="FFFFFF"/>
        </w:rPr>
        <w:t>（一）综合评价结论</w:t>
      </w:r>
    </w:p>
    <w:p w14:paraId="43CA7C35">
      <w:pPr>
        <w:pStyle w:val="8"/>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结合我街道财政资金的使用情况，认真组织开展整体支出绩效自评，</w:t>
      </w:r>
      <w:r>
        <w:rPr>
          <w:rFonts w:hint="default" w:ascii="仿宋_GB2312" w:eastAsia="仿宋_GB2312" w:cs="仿宋_GB2312"/>
          <w:i w:val="0"/>
          <w:iCs w:val="0"/>
          <w:caps w:val="0"/>
          <w:color w:val="000000"/>
          <w:spacing w:val="0"/>
          <w:sz w:val="32"/>
          <w:szCs w:val="32"/>
          <w:shd w:val="clear" w:fill="FFFFFF"/>
        </w:rPr>
        <w:t>自评得分</w:t>
      </w:r>
      <w:r>
        <w:rPr>
          <w:rFonts w:hint="eastAsia" w:ascii="仿宋_GB2312" w:eastAsia="仿宋_GB2312" w:cs="仿宋_GB2312"/>
          <w:i w:val="0"/>
          <w:iCs w:val="0"/>
          <w:caps w:val="0"/>
          <w:color w:val="000000"/>
          <w:spacing w:val="0"/>
          <w:sz w:val="32"/>
          <w:szCs w:val="32"/>
          <w:shd w:val="clear" w:fill="FFFFFF"/>
          <w:lang w:eastAsia="zh-CN"/>
        </w:rPr>
        <w:t>为</w:t>
      </w:r>
      <w:r>
        <w:rPr>
          <w:rFonts w:hint="eastAsia" w:ascii="仿宋_GB2312" w:eastAsia="仿宋_GB2312" w:cs="仿宋_GB2312"/>
          <w:i w:val="0"/>
          <w:iCs w:val="0"/>
          <w:caps w:val="0"/>
          <w:color w:val="000000"/>
          <w:spacing w:val="0"/>
          <w:sz w:val="32"/>
          <w:szCs w:val="32"/>
          <w:shd w:val="clear" w:fill="FFFFFF"/>
          <w:lang w:val="en-US" w:eastAsia="zh-CN"/>
        </w:rPr>
        <w:t>93分，</w:t>
      </w:r>
      <w:r>
        <w:rPr>
          <w:rFonts w:hint="default" w:ascii="仿宋" w:hAnsi="仿宋" w:eastAsia="仿宋" w:cs="仿宋"/>
          <w:kern w:val="2"/>
          <w:sz w:val="32"/>
          <w:szCs w:val="32"/>
          <w:lang w:val="en-US" w:eastAsia="zh-CN" w:bidi="ar-SA"/>
        </w:rPr>
        <w:t>自评等级“良好”。</w:t>
      </w:r>
    </w:p>
    <w:p w14:paraId="4F2CB68A">
      <w:pPr>
        <w:pStyle w:val="8"/>
        <w:numPr>
          <w:ilvl w:val="0"/>
          <w:numId w:val="4"/>
        </w:numPr>
        <w:ind w:left="0" w:leftChars="0" w:firstLine="0" w:firstLineChars="0"/>
        <w:rPr>
          <w:rFonts w:hint="default" w:ascii="楷体_GB2312" w:eastAsia="楷体_GB2312" w:cs="楷体_GB2312"/>
          <w:i w:val="0"/>
          <w:iCs w:val="0"/>
          <w:caps w:val="0"/>
          <w:color w:val="000000"/>
          <w:spacing w:val="0"/>
          <w:sz w:val="32"/>
          <w:szCs w:val="32"/>
          <w:shd w:val="clear" w:fill="FFFFFF"/>
        </w:rPr>
      </w:pPr>
      <w:r>
        <w:rPr>
          <w:rFonts w:hint="default" w:ascii="楷体_GB2312" w:eastAsia="楷体_GB2312" w:cs="楷体_GB2312"/>
          <w:i w:val="0"/>
          <w:iCs w:val="0"/>
          <w:caps w:val="0"/>
          <w:color w:val="000000"/>
          <w:spacing w:val="0"/>
          <w:sz w:val="32"/>
          <w:szCs w:val="32"/>
          <w:shd w:val="clear" w:fill="FFFFFF"/>
        </w:rPr>
        <w:t>评价指标分析</w:t>
      </w:r>
    </w:p>
    <w:p w14:paraId="4D8607C8">
      <w:pPr>
        <w:pStyle w:val="8"/>
        <w:numPr>
          <w:ilvl w:val="0"/>
          <w:numId w:val="0"/>
        </w:numPr>
        <w:ind w:leftChars="0" w:firstLine="640" w:firstLineChars="20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建立预算执行责任制。将年度预算收入责任及预算支出额度逐一分解落实到各股室，形成领导重视、衔接紧密、齐抓共管的体制机制，建立预算指标额度台账，将预算执行情况作为年度目标考核的内容。建立预算执行信息化管理制度。在政务公开网公布部门财政预算批复及执行情况，及时公布“三公经费”支出情况，接受监督。三是建立健全项目资金管理制度。对于财政性专项资金，在县财政局的督导下，严格按专项资金项目实施方案执行，督促项目承担单位加快项目实施进度，及时办理报账、验收、结算等相关手续，做到不集中使用、不滥用资金，最大限度提高专项资金利用效率。为规范机关财务管理，建立健全财务管理制度，我街道制订了《新滩镇街道财务管理办法》、《新滩镇街道财务内控制度（试行）》、《新滩镇街道财务集中会审实施办法》等一系列合法合规、较为完整的、具有很强的可操作性财务管理制度。坚持经费预算科学化、精细化，执行控制规范化、责任化，监督检查常态化、同步化。</w:t>
      </w:r>
    </w:p>
    <w:p w14:paraId="5E4E82FF">
      <w:pPr>
        <w:pStyle w:val="8"/>
        <w:numPr>
          <w:ilvl w:val="0"/>
          <w:numId w:val="0"/>
        </w:numPr>
        <w:rPr>
          <w:rFonts w:hint="eastAsia" w:ascii="楷体_GB2312" w:eastAsia="楷体_GB2312" w:cs="楷体_GB2312"/>
          <w:i w:val="0"/>
          <w:iCs w:val="0"/>
          <w:caps w:val="0"/>
          <w:color w:val="000000"/>
          <w:spacing w:val="0"/>
          <w:sz w:val="32"/>
          <w:szCs w:val="32"/>
          <w:shd w:val="clear" w:fill="FFFFFF"/>
          <w:lang w:val="en-US" w:eastAsia="zh-CN"/>
        </w:rPr>
      </w:pPr>
      <w:r>
        <w:rPr>
          <w:rFonts w:hint="default" w:ascii="仿宋" w:hAnsi="仿宋" w:eastAsia="仿宋" w:cs="仿宋"/>
          <w:kern w:val="2"/>
          <w:sz w:val="32"/>
          <w:szCs w:val="32"/>
          <w:lang w:val="en-US" w:eastAsia="zh-CN" w:bidi="ar-SA"/>
        </w:rPr>
        <w:t>资金的支付符合国家财经法规和财务管理制度规定，以及有关专项资金管理办法的规定；资金拨付有完整的审批程序和手续；支出符合部门预算批复的用途；资金使用没有截留、挪用、虚列支出、随意借用等情况；重大财务事项经由集体研究决策；专项资金做到专款专用；原始凭证的取得真实有效。部门预决算信息按规定内容，在规定的时限内予以公开。基础数据信息和会计信息资料真实、完整、准确。我办全面落实省委、省政府、市委、市政府和区委、区政府的工作部署，坚持以建立全过程预算绩效管理运行机制为目标，积极开展绩效运行监控和支出绩效评价，各项工作任务全面完成，财务管理规范，单位行政运行稳定有序。</w:t>
      </w:r>
    </w:p>
    <w:p w14:paraId="7398CD5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i w:val="0"/>
          <w:iCs w:val="0"/>
          <w:caps w:val="0"/>
          <w:color w:val="000000"/>
          <w:spacing w:val="0"/>
          <w:sz w:val="32"/>
          <w:szCs w:val="32"/>
          <w:shd w:val="clear" w:fill="FFFFFF"/>
        </w:rPr>
        <w:t>七、存在的问题及原因分析</w:t>
      </w:r>
    </w:p>
    <w:p w14:paraId="1D5AE999">
      <w:pPr>
        <w:pStyle w:val="8"/>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1、预算编制工作有待细化。预算编制不够明确和细化，预算编制的合理性需要提高，预算执行力度还要进一步加强。</w:t>
      </w:r>
    </w:p>
    <w:p w14:paraId="05363AFE">
      <w:pPr>
        <w:pStyle w:val="8"/>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2、公用经费的支出数大于预算数。</w:t>
      </w:r>
    </w:p>
    <w:p w14:paraId="0899DA2D">
      <w:pPr>
        <w:pStyle w:val="8"/>
        <w:ind w:firstLine="560"/>
        <w:rPr>
          <w:rFonts w:hint="default" w:ascii="仿宋" w:hAnsi="仿宋" w:eastAsia="仿宋" w:cs="仿宋"/>
          <w:kern w:val="2"/>
          <w:sz w:val="32"/>
          <w:szCs w:val="32"/>
          <w:lang w:val="en-US" w:eastAsia="zh-CN" w:bidi="ar-SA"/>
        </w:rPr>
      </w:pPr>
      <w:r>
        <w:rPr>
          <w:rFonts w:hint="default" w:ascii="仿宋" w:hAnsi="仿宋" w:eastAsia="仿宋" w:cs="仿宋"/>
          <w:kern w:val="2"/>
          <w:sz w:val="32"/>
          <w:szCs w:val="32"/>
          <w:lang w:val="en-US" w:eastAsia="zh-CN" w:bidi="ar-SA"/>
        </w:rPr>
        <w:t>3、工会经费等人头经费严重不足。</w:t>
      </w:r>
    </w:p>
    <w:p w14:paraId="5D5137A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八、下一步改进措施</w:t>
      </w:r>
    </w:p>
    <w:p w14:paraId="00362C7B">
      <w:pPr>
        <w:pStyle w:val="7"/>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1、</w:t>
      </w:r>
      <w:r>
        <w:rPr>
          <w:rFonts w:hint="eastAsia" w:ascii="仿宋_GB2312" w:eastAsia="仿宋_GB2312"/>
          <w:color w:val="auto"/>
          <w:sz w:val="32"/>
          <w:szCs w:val="32"/>
          <w:lang w:val="en-US" w:eastAsia="zh-CN"/>
        </w:rPr>
        <w:t>加强</w:t>
      </w:r>
      <w:r>
        <w:rPr>
          <w:rFonts w:hint="default" w:ascii="仿宋_GB2312" w:eastAsia="仿宋_GB2312"/>
          <w:color w:val="auto"/>
          <w:sz w:val="32"/>
          <w:szCs w:val="32"/>
          <w:lang w:val="zh-CN"/>
        </w:rPr>
        <w:t>学习。加强财务管理和预算绩效的学习，把二者相结合，按照业务工作需要和制度要求，做到花钱必有效。</w:t>
      </w:r>
    </w:p>
    <w:p w14:paraId="556C7EED">
      <w:pPr>
        <w:pStyle w:val="7"/>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2、加强财务管理，严格财务审核。加强单位财务管理，在费用报账支付时，按照预算规定的费用项目和用途进行资金使用审核、列报支付、财务核算，杜绝超支现象的发生。</w:t>
      </w:r>
    </w:p>
    <w:p w14:paraId="1109A093">
      <w:pPr>
        <w:pStyle w:val="7"/>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3、</w:t>
      </w:r>
      <w:r>
        <w:rPr>
          <w:rFonts w:hint="default" w:ascii="仿宋_GB2312" w:eastAsia="仿宋_GB2312"/>
          <w:color w:val="auto"/>
          <w:sz w:val="32"/>
          <w:szCs w:val="32"/>
          <w:lang w:val="zh-CN"/>
        </w:rPr>
        <w:t>严控开支。坚持无预算不开支的原则，落实中央过紧日子的要求，精简一般性支出，把有限的资金花在最需要的地方、最有效的地方，以保障重点统计工作的经费需求。</w:t>
      </w:r>
    </w:p>
    <w:p w14:paraId="1D100D60">
      <w:pPr>
        <w:pStyle w:val="7"/>
        <w:shd w:val="clear" w:color="auto" w:fill="FFFFFF"/>
        <w:spacing w:before="0" w:beforeAutospacing="0" w:after="0" w:afterAutospacing="0" w:line="480" w:lineRule="exact"/>
        <w:ind w:firstLine="640" w:firstLineChars="200"/>
        <w:rPr>
          <w:rFonts w:hint="eastAsia" w:ascii="黑体" w:hAnsi="黑体" w:eastAsia="黑体" w:cs="黑体"/>
          <w:i w:val="0"/>
          <w:iCs w:val="0"/>
          <w:caps w:val="0"/>
          <w:color w:val="000000"/>
          <w:spacing w:val="0"/>
          <w:sz w:val="32"/>
          <w:szCs w:val="32"/>
          <w:shd w:val="clear" w:fill="FFFFFF"/>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4、希望财政管理部门能落实好单位的奖励绩效缺口经费及工会缺口经费。</w:t>
      </w:r>
    </w:p>
    <w:p w14:paraId="35F2CFF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textAlignment w:val="auto"/>
        <w:rPr>
          <w:rFonts w:hint="eastAsia" w:ascii="黑体" w:hAnsi="黑体" w:eastAsia="黑体" w:cs="黑体"/>
          <w:i w:val="0"/>
          <w:iCs w:val="0"/>
          <w:caps w:val="0"/>
          <w:color w:val="000000"/>
          <w:spacing w:val="0"/>
          <w:sz w:val="32"/>
          <w:szCs w:val="32"/>
          <w:shd w:val="clear" w:fill="FFFFFF"/>
        </w:rPr>
      </w:pPr>
      <w:r>
        <w:rPr>
          <w:rFonts w:hint="eastAsia" w:ascii="黑体" w:hAnsi="黑体" w:eastAsia="黑体" w:cs="黑体"/>
          <w:i w:val="0"/>
          <w:iCs w:val="0"/>
          <w:caps w:val="0"/>
          <w:color w:val="000000"/>
          <w:spacing w:val="0"/>
          <w:sz w:val="32"/>
          <w:szCs w:val="32"/>
          <w:shd w:val="clear" w:fill="FFFFFF"/>
        </w:rPr>
        <w:t>九、其他需要说明的情况</w:t>
      </w:r>
    </w:p>
    <w:p w14:paraId="6DF01418">
      <w:pPr>
        <w:pStyle w:val="7"/>
        <w:shd w:val="clear" w:color="auto" w:fill="FFFFFF"/>
        <w:spacing w:before="0" w:beforeAutospacing="0" w:after="0" w:afterAutospacing="0" w:line="480" w:lineRule="exact"/>
        <w:ind w:firstLine="640" w:firstLineChars="200"/>
        <w:rPr>
          <w:rFonts w:hint="eastAsia" w:ascii="仿宋_GB2312" w:hAnsi="宋体" w:eastAsia="仿宋_GB2312" w:cs="仿宋_GB2312"/>
          <w:i w:val="0"/>
          <w:iCs w:val="0"/>
          <w:caps w:val="0"/>
          <w:color w:val="232323"/>
          <w:spacing w:val="0"/>
          <w:kern w:val="2"/>
          <w:sz w:val="32"/>
          <w:szCs w:val="32"/>
          <w:shd w:val="clear" w:fill="FFFFFF"/>
          <w:lang w:val="en-US" w:eastAsia="zh-CN" w:bidi="ar-SA"/>
        </w:rPr>
      </w:pPr>
      <w:r>
        <w:rPr>
          <w:rFonts w:hint="eastAsia" w:ascii="仿宋_GB2312" w:hAnsi="宋体" w:eastAsia="仿宋_GB2312" w:cs="仿宋_GB2312"/>
          <w:i w:val="0"/>
          <w:iCs w:val="0"/>
          <w:caps w:val="0"/>
          <w:color w:val="232323"/>
          <w:spacing w:val="0"/>
          <w:kern w:val="2"/>
          <w:sz w:val="32"/>
          <w:szCs w:val="32"/>
          <w:shd w:val="clear" w:fill="FFFFFF"/>
          <w:lang w:val="en-US" w:eastAsia="zh-CN" w:bidi="ar-SA"/>
        </w:rPr>
        <w:t>无。</w:t>
      </w:r>
    </w:p>
    <w:p w14:paraId="7CD2794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left="0" w:right="0" w:firstLine="0"/>
        <w:textAlignment w:val="auto"/>
        <w:rPr>
          <w:rFonts w:hint="default" w:ascii="Times New Roman" w:hAnsi="Times New Roman" w:cs="Times New Roman"/>
          <w:i w:val="0"/>
          <w:iCs w:val="0"/>
          <w:caps w:val="0"/>
          <w:color w:val="000000"/>
          <w:spacing w:val="0"/>
          <w:sz w:val="24"/>
          <w:szCs w:val="24"/>
        </w:rPr>
      </w:pPr>
    </w:p>
    <w:p w14:paraId="772BC07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default" w:ascii="仿宋_GB2312" w:eastAsia="仿宋_GB2312" w:cs="仿宋_GB2312"/>
          <w:i w:val="0"/>
          <w:iCs w:val="0"/>
          <w:caps w:val="0"/>
          <w:color w:val="000000"/>
          <w:spacing w:val="0"/>
          <w:sz w:val="32"/>
          <w:szCs w:val="32"/>
          <w:shd w:val="clear" w:fill="FFFFFF"/>
        </w:rPr>
        <w:t>报告应包括以下附件：</w:t>
      </w:r>
    </w:p>
    <w:p w14:paraId="07AD3725">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1.</w:t>
      </w:r>
      <w:r>
        <w:rPr>
          <w:rFonts w:hint="default" w:ascii="仿宋_GB2312" w:eastAsia="仿宋_GB2312" w:cs="仿宋_GB2312"/>
          <w:i w:val="0"/>
          <w:iCs w:val="0"/>
          <w:caps w:val="0"/>
          <w:color w:val="000000"/>
          <w:spacing w:val="0"/>
          <w:sz w:val="32"/>
          <w:szCs w:val="32"/>
          <w:shd w:val="clear" w:fill="FFFFFF"/>
        </w:rPr>
        <w:t>部门整体支出绩效评价基础数据表</w:t>
      </w:r>
      <w:r>
        <w:rPr>
          <w:rFonts w:hint="eastAsia" w:ascii="仿宋_GB2312" w:eastAsia="仿宋_GB2312" w:cs="仿宋_GB2312"/>
          <w:i w:val="0"/>
          <w:iCs w:val="0"/>
          <w:caps w:val="0"/>
          <w:color w:val="000000"/>
          <w:spacing w:val="0"/>
          <w:sz w:val="32"/>
          <w:szCs w:val="32"/>
          <w:shd w:val="clear" w:fill="FFFFFF"/>
          <w:lang w:val="en-US" w:eastAsia="zh-CN"/>
        </w:rPr>
        <w:t xml:space="preserve">  </w:t>
      </w:r>
    </w:p>
    <w:p w14:paraId="35CE07F4">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20" w:lineRule="exact"/>
        <w:ind w:right="0" w:firstLine="0"/>
        <w:jc w:val="left"/>
        <w:textAlignment w:val="auto"/>
        <w:rPr>
          <w:rFonts w:hint="default" w:ascii="仿宋_GB2312" w:eastAsia="仿宋_GB2312" w:cs="仿宋_GB2312"/>
          <w:i w:val="0"/>
          <w:iCs w:val="0"/>
          <w:caps w:val="0"/>
          <w:color w:val="000000"/>
          <w:spacing w:val="0"/>
          <w:sz w:val="32"/>
          <w:szCs w:val="32"/>
          <w:shd w:val="clear" w:fill="FFFFFF"/>
        </w:rPr>
      </w:pPr>
      <w:r>
        <w:rPr>
          <w:rFonts w:hint="eastAsia" w:ascii="仿宋_GB2312" w:eastAsia="仿宋_GB2312" w:cs="仿宋_GB2312"/>
          <w:i w:val="0"/>
          <w:iCs w:val="0"/>
          <w:caps w:val="0"/>
          <w:color w:val="000000"/>
          <w:spacing w:val="0"/>
          <w:sz w:val="32"/>
          <w:szCs w:val="32"/>
          <w:shd w:val="clear" w:fill="FFFFFF"/>
          <w:lang w:val="en-US" w:eastAsia="zh-CN"/>
        </w:rPr>
        <w:t>2.</w:t>
      </w:r>
      <w:r>
        <w:rPr>
          <w:rFonts w:hint="default" w:ascii="仿宋_GB2312" w:eastAsia="仿宋_GB2312" w:cs="仿宋_GB2312"/>
          <w:i w:val="0"/>
          <w:iCs w:val="0"/>
          <w:caps w:val="0"/>
          <w:color w:val="000000"/>
          <w:spacing w:val="0"/>
          <w:sz w:val="32"/>
          <w:szCs w:val="32"/>
          <w:shd w:val="clear" w:fill="FFFFFF"/>
        </w:rPr>
        <w:t>部门整体支出绩效自评表</w:t>
      </w:r>
    </w:p>
    <w:p w14:paraId="322D459D">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xml:space="preserve">附件1-1 </w:t>
      </w:r>
    </w:p>
    <w:p w14:paraId="1B555F8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t> </w:t>
      </w:r>
      <w:r>
        <w:rPr>
          <w:rFonts w:hint="eastAsia" w:ascii="微软雅黑" w:hAnsi="微软雅黑" w:eastAsia="微软雅黑" w:cs="微软雅黑"/>
          <w:i w:val="0"/>
          <w:iCs w:val="0"/>
          <w:caps w:val="0"/>
          <w:color w:val="000000"/>
          <w:spacing w:val="0"/>
          <w:sz w:val="24"/>
          <w:szCs w:val="24"/>
          <w:shd w:val="clear" w:fill="FFFFFF"/>
        </w:rPr>
        <w:t xml:space="preserve">    </w:t>
      </w:r>
      <w:r>
        <w:rPr>
          <w:rFonts w:hint="eastAsia" w:ascii="方正小标宋简体" w:hAnsi="方正小标宋简体" w:eastAsia="方正小标宋简体" w:cs="方正小标宋简体"/>
          <w:color w:val="000000"/>
          <w:kern w:val="0"/>
          <w:sz w:val="44"/>
          <w:szCs w:val="44"/>
          <w:lang w:val="en-US" w:eastAsia="zh-CN"/>
        </w:rPr>
        <w:t>部门整体支出绩效评价基础数据表</w:t>
      </w:r>
    </w:p>
    <w:p w14:paraId="53BDDFE8">
      <w:pPr>
        <w:widowControl/>
        <w:tabs>
          <w:tab w:val="left" w:pos="3611"/>
          <w:tab w:val="left" w:pos="4791"/>
          <w:tab w:val="left" w:pos="5951"/>
          <w:tab w:val="left" w:pos="7071"/>
          <w:tab w:val="left" w:pos="8191"/>
          <w:tab w:val="left" w:pos="9311"/>
        </w:tabs>
        <w:ind w:left="91"/>
        <w:jc w:val="left"/>
        <w:rPr>
          <w:rFonts w:hint="default" w:eastAsia="仿宋_GB2312"/>
          <w:kern w:val="0"/>
          <w:sz w:val="24"/>
          <w:lang w:val="en-US" w:eastAsia="zh-CN"/>
        </w:rPr>
      </w:pPr>
      <w:r>
        <w:rPr>
          <w:rFonts w:hint="eastAsia" w:eastAsia="仿宋_GB2312"/>
          <w:kern w:val="0"/>
          <w:sz w:val="24"/>
          <w:lang w:val="en-US" w:eastAsia="zh-CN"/>
        </w:rPr>
        <w:t xml:space="preserve">填报单位：邵阳市北塔区新滩镇街道办事处                                        </w:t>
      </w:r>
    </w:p>
    <w:tbl>
      <w:tblPr>
        <w:tblStyle w:val="9"/>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14:paraId="3D2E2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vAlign w:val="center"/>
          </w:tcPr>
          <w:p w14:paraId="4E124DA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财政供养人员情况</w:t>
            </w:r>
          </w:p>
        </w:tc>
        <w:tc>
          <w:tcPr>
            <w:tcW w:w="2038" w:type="dxa"/>
            <w:gridSpan w:val="2"/>
            <w:vAlign w:val="center"/>
          </w:tcPr>
          <w:p w14:paraId="403CC7D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编制数</w:t>
            </w:r>
          </w:p>
        </w:tc>
        <w:tc>
          <w:tcPr>
            <w:tcW w:w="2240" w:type="dxa"/>
            <w:gridSpan w:val="2"/>
            <w:vAlign w:val="center"/>
          </w:tcPr>
          <w:p w14:paraId="2B5E3EA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年实际在职人数</w:t>
            </w:r>
          </w:p>
        </w:tc>
        <w:tc>
          <w:tcPr>
            <w:tcW w:w="1832" w:type="dxa"/>
            <w:gridSpan w:val="2"/>
            <w:vAlign w:val="center"/>
          </w:tcPr>
          <w:p w14:paraId="6A8A6EB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控制率</w:t>
            </w:r>
          </w:p>
        </w:tc>
      </w:tr>
      <w:tr w14:paraId="61CB9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4" w:type="dxa"/>
            <w:vMerge w:val="continue"/>
            <w:vAlign w:val="center"/>
          </w:tcPr>
          <w:p w14:paraId="2D9F80BF">
            <w:pPr>
              <w:widowControl/>
              <w:jc w:val="left"/>
              <w:rPr>
                <w:rFonts w:hint="eastAsia" w:ascii="仿宋" w:hAnsi="仿宋" w:eastAsia="仿宋" w:cs="仿宋"/>
                <w:b w:val="0"/>
                <w:bCs w:val="0"/>
                <w:kern w:val="0"/>
                <w:sz w:val="20"/>
                <w:szCs w:val="20"/>
              </w:rPr>
            </w:pPr>
          </w:p>
        </w:tc>
        <w:tc>
          <w:tcPr>
            <w:tcW w:w="2038" w:type="dxa"/>
            <w:gridSpan w:val="2"/>
            <w:vAlign w:val="center"/>
          </w:tcPr>
          <w:p w14:paraId="13E5799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2240" w:type="dxa"/>
            <w:gridSpan w:val="2"/>
            <w:vAlign w:val="center"/>
          </w:tcPr>
          <w:p w14:paraId="589042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57</w:t>
            </w:r>
          </w:p>
        </w:tc>
        <w:tc>
          <w:tcPr>
            <w:tcW w:w="1832" w:type="dxa"/>
            <w:gridSpan w:val="2"/>
            <w:vAlign w:val="center"/>
          </w:tcPr>
          <w:p w14:paraId="1D9AC9F2">
            <w:pPr>
              <w:widowControl/>
              <w:jc w:val="center"/>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rPr>
              <w:t>　</w:t>
            </w:r>
            <w:r>
              <w:rPr>
                <w:rFonts w:hint="eastAsia" w:ascii="仿宋" w:hAnsi="仿宋" w:eastAsia="仿宋" w:cs="仿宋"/>
                <w:b w:val="0"/>
                <w:bCs w:val="0"/>
                <w:kern w:val="0"/>
                <w:sz w:val="20"/>
                <w:szCs w:val="20"/>
                <w:lang w:val="en-US" w:eastAsia="zh-CN"/>
              </w:rPr>
              <w:t>100%</w:t>
            </w:r>
          </w:p>
        </w:tc>
      </w:tr>
      <w:tr w14:paraId="57EE2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EA5752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经费控制情况</w:t>
            </w:r>
          </w:p>
        </w:tc>
        <w:tc>
          <w:tcPr>
            <w:tcW w:w="2038" w:type="dxa"/>
            <w:gridSpan w:val="2"/>
            <w:vAlign w:val="center"/>
          </w:tcPr>
          <w:p w14:paraId="346D0CCD">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年决算数</w:t>
            </w:r>
          </w:p>
        </w:tc>
        <w:tc>
          <w:tcPr>
            <w:tcW w:w="2240" w:type="dxa"/>
            <w:gridSpan w:val="2"/>
            <w:vAlign w:val="center"/>
          </w:tcPr>
          <w:p w14:paraId="2849A76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年预算数</w:t>
            </w:r>
          </w:p>
        </w:tc>
        <w:tc>
          <w:tcPr>
            <w:tcW w:w="1832" w:type="dxa"/>
            <w:gridSpan w:val="2"/>
            <w:vAlign w:val="center"/>
          </w:tcPr>
          <w:p w14:paraId="02D415E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23</w:t>
            </w:r>
            <w:r>
              <w:rPr>
                <w:rFonts w:hint="eastAsia" w:ascii="仿宋" w:hAnsi="仿宋" w:eastAsia="仿宋" w:cs="仿宋"/>
                <w:b w:val="0"/>
                <w:bCs w:val="0"/>
                <w:kern w:val="0"/>
                <w:sz w:val="20"/>
                <w:szCs w:val="20"/>
              </w:rPr>
              <w:t>年决算数</w:t>
            </w:r>
          </w:p>
        </w:tc>
      </w:tr>
      <w:tr w14:paraId="14F0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64465C7">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三公经费</w:t>
            </w:r>
          </w:p>
        </w:tc>
        <w:tc>
          <w:tcPr>
            <w:tcW w:w="2038" w:type="dxa"/>
            <w:gridSpan w:val="2"/>
            <w:vAlign w:val="center"/>
          </w:tcPr>
          <w:p w14:paraId="40E2CA4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2521CFD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206151A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33EE7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00FF29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1、公务用车购置和维护经费</w:t>
            </w:r>
          </w:p>
        </w:tc>
        <w:tc>
          <w:tcPr>
            <w:tcW w:w="2038" w:type="dxa"/>
            <w:gridSpan w:val="2"/>
            <w:vAlign w:val="center"/>
          </w:tcPr>
          <w:p w14:paraId="7E506E5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19966BF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7EA73DF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E614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7B44B95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其中：公车购置</w:t>
            </w:r>
          </w:p>
        </w:tc>
        <w:tc>
          <w:tcPr>
            <w:tcW w:w="2038" w:type="dxa"/>
            <w:gridSpan w:val="2"/>
            <w:vAlign w:val="center"/>
          </w:tcPr>
          <w:p w14:paraId="01945B89">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50FE32A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1ED9FC2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42E3A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259EB803">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公车运行维护</w:t>
            </w:r>
          </w:p>
        </w:tc>
        <w:tc>
          <w:tcPr>
            <w:tcW w:w="2038" w:type="dxa"/>
            <w:gridSpan w:val="2"/>
            <w:vAlign w:val="center"/>
          </w:tcPr>
          <w:p w14:paraId="256544B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4B3BB4E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6DC9B4F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9733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1AB793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2、出国经费</w:t>
            </w:r>
          </w:p>
        </w:tc>
        <w:tc>
          <w:tcPr>
            <w:tcW w:w="2038" w:type="dxa"/>
            <w:gridSpan w:val="2"/>
            <w:vAlign w:val="center"/>
          </w:tcPr>
          <w:p w14:paraId="2E7B723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07A38E10">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3CA2302A">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C45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1C9A17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3、公务接待</w:t>
            </w:r>
          </w:p>
        </w:tc>
        <w:tc>
          <w:tcPr>
            <w:tcW w:w="2038" w:type="dxa"/>
            <w:gridSpan w:val="2"/>
            <w:vAlign w:val="center"/>
          </w:tcPr>
          <w:p w14:paraId="01788ED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6F8A69D3">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043E2534">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5945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C92B004">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项目支出：</w:t>
            </w:r>
          </w:p>
        </w:tc>
        <w:tc>
          <w:tcPr>
            <w:tcW w:w="2038" w:type="dxa"/>
            <w:gridSpan w:val="2"/>
            <w:vAlign w:val="center"/>
          </w:tcPr>
          <w:p w14:paraId="7F4B119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431.83</w:t>
            </w:r>
          </w:p>
        </w:tc>
        <w:tc>
          <w:tcPr>
            <w:tcW w:w="2240" w:type="dxa"/>
            <w:gridSpan w:val="2"/>
            <w:vAlign w:val="center"/>
          </w:tcPr>
          <w:p w14:paraId="4A702F5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293259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2176.6</w:t>
            </w:r>
          </w:p>
        </w:tc>
      </w:tr>
      <w:tr w14:paraId="04A5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0302BEB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1、业务工作经费</w:t>
            </w:r>
          </w:p>
        </w:tc>
        <w:tc>
          <w:tcPr>
            <w:tcW w:w="2038" w:type="dxa"/>
            <w:gridSpan w:val="2"/>
            <w:vAlign w:val="center"/>
          </w:tcPr>
          <w:p w14:paraId="28C416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431.83</w:t>
            </w:r>
          </w:p>
        </w:tc>
        <w:tc>
          <w:tcPr>
            <w:tcW w:w="2240" w:type="dxa"/>
            <w:gridSpan w:val="2"/>
            <w:vAlign w:val="center"/>
          </w:tcPr>
          <w:p w14:paraId="7D264DC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359A6C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2176.6</w:t>
            </w:r>
          </w:p>
        </w:tc>
      </w:tr>
      <w:tr w14:paraId="798C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F9034F6">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2、运行维护经费</w:t>
            </w:r>
          </w:p>
        </w:tc>
        <w:tc>
          <w:tcPr>
            <w:tcW w:w="2038" w:type="dxa"/>
            <w:gridSpan w:val="2"/>
            <w:vAlign w:val="center"/>
          </w:tcPr>
          <w:p w14:paraId="038AB5E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5B659FA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62FDF84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0502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vAlign w:val="center"/>
          </w:tcPr>
          <w:p w14:paraId="2C2AEBFE">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3、</w:t>
            </w:r>
            <w:r>
              <w:rPr>
                <w:rFonts w:hint="eastAsia" w:ascii="仿宋" w:hAnsi="仿宋" w:eastAsia="仿宋" w:cs="仿宋"/>
                <w:b w:val="0"/>
                <w:bCs w:val="0"/>
                <w:kern w:val="0"/>
                <w:sz w:val="20"/>
                <w:szCs w:val="20"/>
                <w:lang w:val="en-US" w:eastAsia="zh-CN"/>
              </w:rPr>
              <w:t>市级</w:t>
            </w:r>
            <w:r>
              <w:rPr>
                <w:rFonts w:hint="eastAsia" w:ascii="仿宋" w:hAnsi="仿宋" w:eastAsia="仿宋" w:cs="仿宋"/>
                <w:b w:val="0"/>
                <w:bCs w:val="0"/>
                <w:kern w:val="0"/>
                <w:sz w:val="20"/>
                <w:szCs w:val="20"/>
              </w:rPr>
              <w:t>专项资金</w:t>
            </w:r>
          </w:p>
          <w:p w14:paraId="720B47A5">
            <w:pPr>
              <w:widowControl/>
              <w:ind w:firstLine="600" w:firstLineChars="3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（一个专项一行）</w:t>
            </w:r>
          </w:p>
        </w:tc>
        <w:tc>
          <w:tcPr>
            <w:tcW w:w="2038" w:type="dxa"/>
            <w:gridSpan w:val="2"/>
            <w:vAlign w:val="center"/>
          </w:tcPr>
          <w:p w14:paraId="58100AB0">
            <w:pPr>
              <w:widowControl/>
              <w:jc w:val="center"/>
              <w:rPr>
                <w:rFonts w:hint="eastAsia" w:ascii="仿宋" w:hAnsi="仿宋" w:eastAsia="仿宋" w:cs="仿宋"/>
                <w:b w:val="0"/>
                <w:bCs w:val="0"/>
                <w:kern w:val="0"/>
                <w:sz w:val="20"/>
                <w:szCs w:val="20"/>
              </w:rPr>
            </w:pPr>
          </w:p>
        </w:tc>
        <w:tc>
          <w:tcPr>
            <w:tcW w:w="2240" w:type="dxa"/>
            <w:gridSpan w:val="2"/>
            <w:vAlign w:val="center"/>
          </w:tcPr>
          <w:p w14:paraId="5EAB44C9">
            <w:pPr>
              <w:widowControl/>
              <w:jc w:val="center"/>
              <w:rPr>
                <w:rFonts w:hint="eastAsia" w:ascii="仿宋" w:hAnsi="仿宋" w:eastAsia="仿宋" w:cs="仿宋"/>
                <w:b w:val="0"/>
                <w:bCs w:val="0"/>
                <w:kern w:val="0"/>
                <w:sz w:val="20"/>
                <w:szCs w:val="20"/>
              </w:rPr>
            </w:pPr>
          </w:p>
        </w:tc>
        <w:tc>
          <w:tcPr>
            <w:tcW w:w="1832" w:type="dxa"/>
            <w:gridSpan w:val="2"/>
            <w:vAlign w:val="center"/>
          </w:tcPr>
          <w:p w14:paraId="0F7FECC3">
            <w:pPr>
              <w:widowControl/>
              <w:jc w:val="center"/>
              <w:rPr>
                <w:rFonts w:hint="eastAsia" w:ascii="仿宋" w:hAnsi="仿宋" w:eastAsia="仿宋" w:cs="仿宋"/>
                <w:b w:val="0"/>
                <w:bCs w:val="0"/>
                <w:kern w:val="0"/>
                <w:sz w:val="20"/>
                <w:szCs w:val="20"/>
              </w:rPr>
            </w:pPr>
          </w:p>
        </w:tc>
      </w:tr>
      <w:tr w14:paraId="22007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B12772F">
            <w:pPr>
              <w:widowControl/>
              <w:ind w:firstLine="400" w:firstLineChars="200"/>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4、其他事业类发展资金</w:t>
            </w:r>
          </w:p>
        </w:tc>
        <w:tc>
          <w:tcPr>
            <w:tcW w:w="2038" w:type="dxa"/>
            <w:gridSpan w:val="2"/>
            <w:vAlign w:val="center"/>
          </w:tcPr>
          <w:p w14:paraId="7FA97E8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2240" w:type="dxa"/>
            <w:gridSpan w:val="2"/>
            <w:vAlign w:val="center"/>
          </w:tcPr>
          <w:p w14:paraId="5C0C6F08">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0A1BF93B">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3EC4C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4D603C1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038" w:type="dxa"/>
            <w:gridSpan w:val="2"/>
            <w:vAlign w:val="center"/>
          </w:tcPr>
          <w:p w14:paraId="415AF1BE">
            <w:pPr>
              <w:widowControl/>
              <w:jc w:val="center"/>
              <w:rPr>
                <w:rFonts w:hint="eastAsia" w:ascii="仿宋" w:hAnsi="仿宋" w:eastAsia="仿宋" w:cs="仿宋"/>
                <w:b w:val="0"/>
                <w:bCs w:val="0"/>
                <w:kern w:val="0"/>
                <w:sz w:val="20"/>
                <w:szCs w:val="20"/>
              </w:rPr>
            </w:pPr>
          </w:p>
        </w:tc>
        <w:tc>
          <w:tcPr>
            <w:tcW w:w="2240" w:type="dxa"/>
            <w:gridSpan w:val="2"/>
            <w:vAlign w:val="center"/>
          </w:tcPr>
          <w:p w14:paraId="78B650EA">
            <w:pPr>
              <w:widowControl/>
              <w:jc w:val="center"/>
              <w:rPr>
                <w:rFonts w:hint="eastAsia" w:ascii="仿宋" w:hAnsi="仿宋" w:eastAsia="仿宋" w:cs="仿宋"/>
                <w:b w:val="0"/>
                <w:bCs w:val="0"/>
                <w:kern w:val="0"/>
                <w:sz w:val="20"/>
                <w:szCs w:val="20"/>
              </w:rPr>
            </w:pPr>
          </w:p>
        </w:tc>
        <w:tc>
          <w:tcPr>
            <w:tcW w:w="1832" w:type="dxa"/>
            <w:gridSpan w:val="2"/>
            <w:vAlign w:val="center"/>
          </w:tcPr>
          <w:p w14:paraId="0C55F992">
            <w:pPr>
              <w:widowControl/>
              <w:jc w:val="center"/>
              <w:rPr>
                <w:rFonts w:hint="eastAsia" w:ascii="仿宋" w:hAnsi="仿宋" w:eastAsia="仿宋" w:cs="仿宋"/>
                <w:b w:val="0"/>
                <w:bCs w:val="0"/>
                <w:kern w:val="0"/>
                <w:sz w:val="20"/>
                <w:szCs w:val="20"/>
              </w:rPr>
            </w:pPr>
          </w:p>
        </w:tc>
      </w:tr>
      <w:tr w14:paraId="3AF6E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16E6564F">
            <w:pPr>
              <w:widowControl/>
              <w:jc w:val="left"/>
              <w:rPr>
                <w:rFonts w:hint="default" w:ascii="仿宋" w:hAnsi="仿宋" w:eastAsia="仿宋" w:cs="仿宋"/>
                <w:b w:val="0"/>
                <w:bCs w:val="0"/>
                <w:kern w:val="0"/>
                <w:sz w:val="20"/>
                <w:szCs w:val="20"/>
                <w:lang w:val="en-US" w:eastAsia="zh-CN"/>
              </w:rPr>
            </w:pPr>
            <w:r>
              <w:rPr>
                <w:rFonts w:hint="eastAsia" w:ascii="仿宋" w:hAnsi="仿宋" w:eastAsia="仿宋" w:cs="仿宋"/>
                <w:b w:val="0"/>
                <w:bCs w:val="0"/>
                <w:kern w:val="0"/>
                <w:sz w:val="20"/>
                <w:szCs w:val="20"/>
                <w:lang w:val="en-US" w:eastAsia="zh-CN"/>
              </w:rPr>
              <w:t>公用经费</w:t>
            </w:r>
          </w:p>
        </w:tc>
        <w:tc>
          <w:tcPr>
            <w:tcW w:w="2038" w:type="dxa"/>
            <w:gridSpan w:val="2"/>
            <w:vAlign w:val="center"/>
          </w:tcPr>
          <w:p w14:paraId="1897AB3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78.84</w:t>
            </w:r>
          </w:p>
        </w:tc>
        <w:tc>
          <w:tcPr>
            <w:tcW w:w="2240" w:type="dxa"/>
            <w:gridSpan w:val="2"/>
            <w:vAlign w:val="center"/>
          </w:tcPr>
          <w:p w14:paraId="64F03319">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53.03</w:t>
            </w:r>
          </w:p>
        </w:tc>
        <w:tc>
          <w:tcPr>
            <w:tcW w:w="1832" w:type="dxa"/>
            <w:gridSpan w:val="2"/>
            <w:vAlign w:val="center"/>
          </w:tcPr>
          <w:p w14:paraId="5605D2D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224.93</w:t>
            </w:r>
          </w:p>
        </w:tc>
      </w:tr>
      <w:tr w14:paraId="01A2D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E032670">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其中：办公费</w:t>
            </w:r>
          </w:p>
        </w:tc>
        <w:tc>
          <w:tcPr>
            <w:tcW w:w="2038" w:type="dxa"/>
            <w:gridSpan w:val="2"/>
            <w:vAlign w:val="center"/>
          </w:tcPr>
          <w:p w14:paraId="1BBFB9E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2.94</w:t>
            </w:r>
          </w:p>
        </w:tc>
        <w:tc>
          <w:tcPr>
            <w:tcW w:w="2240" w:type="dxa"/>
            <w:gridSpan w:val="2"/>
            <w:vAlign w:val="center"/>
          </w:tcPr>
          <w:p w14:paraId="50B8D746">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48.54</w:t>
            </w:r>
          </w:p>
        </w:tc>
        <w:tc>
          <w:tcPr>
            <w:tcW w:w="1832" w:type="dxa"/>
            <w:gridSpan w:val="2"/>
            <w:vAlign w:val="center"/>
          </w:tcPr>
          <w:p w14:paraId="5452866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9.26</w:t>
            </w:r>
          </w:p>
        </w:tc>
      </w:tr>
      <w:tr w14:paraId="17C3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5339D688">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水费、电费、差旅费</w:t>
            </w:r>
          </w:p>
        </w:tc>
        <w:tc>
          <w:tcPr>
            <w:tcW w:w="2038" w:type="dxa"/>
            <w:gridSpan w:val="2"/>
            <w:vAlign w:val="center"/>
          </w:tcPr>
          <w:p w14:paraId="0BA9301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2.09</w:t>
            </w:r>
          </w:p>
        </w:tc>
        <w:tc>
          <w:tcPr>
            <w:tcW w:w="2240" w:type="dxa"/>
            <w:gridSpan w:val="2"/>
            <w:vAlign w:val="center"/>
          </w:tcPr>
          <w:p w14:paraId="58DA658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6A65CD8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3.21</w:t>
            </w:r>
          </w:p>
        </w:tc>
      </w:tr>
      <w:tr w14:paraId="44D94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922FF9A">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          会议费、培训费</w:t>
            </w:r>
          </w:p>
        </w:tc>
        <w:tc>
          <w:tcPr>
            <w:tcW w:w="2038" w:type="dxa"/>
            <w:gridSpan w:val="2"/>
            <w:vAlign w:val="center"/>
          </w:tcPr>
          <w:p w14:paraId="0BA01956">
            <w:pPr>
              <w:jc w:val="center"/>
              <w:rPr>
                <w:rFonts w:hint="eastAsia" w:ascii="宋体" w:hAnsi="宋体" w:eastAsia="宋体" w:cs="宋体"/>
                <w:i w:val="0"/>
                <w:iCs w:val="0"/>
                <w:color w:val="000000"/>
                <w:sz w:val="22"/>
                <w:szCs w:val="22"/>
                <w:u w:val="none"/>
              </w:rPr>
            </w:pPr>
          </w:p>
        </w:tc>
        <w:tc>
          <w:tcPr>
            <w:tcW w:w="2240" w:type="dxa"/>
            <w:gridSpan w:val="2"/>
            <w:vAlign w:val="center"/>
          </w:tcPr>
          <w:p w14:paraId="53BA886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w:t>
            </w:r>
          </w:p>
        </w:tc>
        <w:tc>
          <w:tcPr>
            <w:tcW w:w="1832" w:type="dxa"/>
            <w:gridSpan w:val="2"/>
            <w:vAlign w:val="center"/>
          </w:tcPr>
          <w:p w14:paraId="3F73AA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0.17</w:t>
            </w:r>
          </w:p>
        </w:tc>
      </w:tr>
      <w:tr w14:paraId="37B7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349AC20E">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政府采购金额</w:t>
            </w:r>
          </w:p>
        </w:tc>
        <w:tc>
          <w:tcPr>
            <w:tcW w:w="2038" w:type="dxa"/>
            <w:gridSpan w:val="2"/>
            <w:vAlign w:val="center"/>
          </w:tcPr>
          <w:p w14:paraId="44BD3AB5">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103A9ED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7F1C1EE1">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6EA13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Align w:val="center"/>
          </w:tcPr>
          <w:p w14:paraId="6D3EFC7B">
            <w:pPr>
              <w:widowControl/>
              <w:jc w:val="left"/>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xml:space="preserve">部门基本支出预算调整 </w:t>
            </w:r>
          </w:p>
        </w:tc>
        <w:tc>
          <w:tcPr>
            <w:tcW w:w="2038" w:type="dxa"/>
            <w:gridSpan w:val="2"/>
            <w:vAlign w:val="center"/>
          </w:tcPr>
          <w:p w14:paraId="7FCFB027">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w:t>
            </w:r>
          </w:p>
        </w:tc>
        <w:tc>
          <w:tcPr>
            <w:tcW w:w="2240" w:type="dxa"/>
            <w:gridSpan w:val="2"/>
            <w:vAlign w:val="center"/>
          </w:tcPr>
          <w:p w14:paraId="42405DBF">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c>
          <w:tcPr>
            <w:tcW w:w="1832" w:type="dxa"/>
            <w:gridSpan w:val="2"/>
            <w:vAlign w:val="center"/>
          </w:tcPr>
          <w:p w14:paraId="608C357C">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　</w:t>
            </w:r>
          </w:p>
        </w:tc>
      </w:tr>
      <w:tr w14:paraId="3A33E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vAlign w:val="center"/>
          </w:tcPr>
          <w:p w14:paraId="2EB8EC4E">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楼堂馆所控制情况</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（20</w:t>
            </w:r>
            <w:r>
              <w:rPr>
                <w:rFonts w:hint="eastAsia" w:ascii="仿宋" w:hAnsi="仿宋" w:eastAsia="仿宋" w:cs="仿宋"/>
                <w:b w:val="0"/>
                <w:bCs w:val="0"/>
                <w:kern w:val="0"/>
                <w:sz w:val="20"/>
                <w:szCs w:val="20"/>
                <w:lang w:val="en-US" w:eastAsia="zh-CN"/>
              </w:rPr>
              <w:t>22</w:t>
            </w:r>
            <w:r>
              <w:rPr>
                <w:rFonts w:hint="eastAsia" w:ascii="仿宋" w:hAnsi="仿宋" w:eastAsia="仿宋" w:cs="仿宋"/>
                <w:b w:val="0"/>
                <w:bCs w:val="0"/>
                <w:kern w:val="0"/>
                <w:sz w:val="20"/>
                <w:szCs w:val="20"/>
              </w:rPr>
              <w:t>年完工项目）</w:t>
            </w:r>
          </w:p>
        </w:tc>
        <w:tc>
          <w:tcPr>
            <w:tcW w:w="1189" w:type="dxa"/>
            <w:vAlign w:val="center"/>
          </w:tcPr>
          <w:p w14:paraId="41DF4920">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批复规模</w:t>
            </w:r>
            <w:r>
              <w:rPr>
                <w:rFonts w:hint="eastAsia" w:ascii="仿宋" w:hAnsi="仿宋" w:eastAsia="仿宋" w:cs="仿宋"/>
                <w:b w:val="0"/>
                <w:bCs w:val="0"/>
                <w:kern w:val="0"/>
                <w:sz w:val="20"/>
                <w:szCs w:val="20"/>
              </w:rPr>
              <w:br w:type="textWrapping"/>
            </w:r>
            <w:r>
              <w:rPr>
                <w:rFonts w:hint="eastAsia" w:ascii="仿宋" w:hAnsi="仿宋" w:eastAsia="仿宋" w:cs="仿宋"/>
                <w:b w:val="0"/>
                <w:bCs w:val="0"/>
                <w:kern w:val="0"/>
                <w:sz w:val="20"/>
                <w:szCs w:val="20"/>
              </w:rPr>
              <w:t>（㎡）</w:t>
            </w:r>
          </w:p>
        </w:tc>
        <w:tc>
          <w:tcPr>
            <w:tcW w:w="849" w:type="dxa"/>
            <w:vAlign w:val="center"/>
          </w:tcPr>
          <w:p w14:paraId="70F0CC7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实际规模（㎡）</w:t>
            </w:r>
          </w:p>
        </w:tc>
        <w:tc>
          <w:tcPr>
            <w:tcW w:w="1129" w:type="dxa"/>
            <w:vAlign w:val="center"/>
          </w:tcPr>
          <w:p w14:paraId="343240D2">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规模控制率</w:t>
            </w:r>
          </w:p>
        </w:tc>
        <w:tc>
          <w:tcPr>
            <w:tcW w:w="1111" w:type="dxa"/>
            <w:vAlign w:val="center"/>
          </w:tcPr>
          <w:p w14:paraId="79E1DD80">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预算投资（万元）</w:t>
            </w:r>
          </w:p>
        </w:tc>
        <w:tc>
          <w:tcPr>
            <w:tcW w:w="969" w:type="dxa"/>
            <w:vAlign w:val="center"/>
          </w:tcPr>
          <w:p w14:paraId="5311D385">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实际投资（万元）</w:t>
            </w:r>
          </w:p>
        </w:tc>
        <w:tc>
          <w:tcPr>
            <w:tcW w:w="863" w:type="dxa"/>
            <w:vAlign w:val="center"/>
          </w:tcPr>
          <w:p w14:paraId="649BC726">
            <w:pPr>
              <w:widowControl/>
              <w:spacing w:line="240" w:lineRule="exact"/>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投资概算控制率</w:t>
            </w:r>
          </w:p>
        </w:tc>
      </w:tr>
      <w:tr w14:paraId="56FA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vAlign w:val="center"/>
          </w:tcPr>
          <w:p w14:paraId="640B80EE">
            <w:pPr>
              <w:widowControl/>
              <w:jc w:val="left"/>
              <w:rPr>
                <w:rFonts w:hint="eastAsia" w:ascii="仿宋" w:hAnsi="仿宋" w:eastAsia="仿宋" w:cs="仿宋"/>
                <w:b w:val="0"/>
                <w:bCs w:val="0"/>
                <w:kern w:val="0"/>
                <w:sz w:val="20"/>
                <w:szCs w:val="20"/>
              </w:rPr>
            </w:pPr>
          </w:p>
        </w:tc>
        <w:tc>
          <w:tcPr>
            <w:tcW w:w="1189" w:type="dxa"/>
            <w:vAlign w:val="center"/>
          </w:tcPr>
          <w:p w14:paraId="1A56AA5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49" w:type="dxa"/>
            <w:vAlign w:val="center"/>
          </w:tcPr>
          <w:p w14:paraId="16759078">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1129" w:type="dxa"/>
            <w:vAlign w:val="center"/>
          </w:tcPr>
          <w:p w14:paraId="05078C63">
            <w:pPr>
              <w:jc w:val="center"/>
              <w:rPr>
                <w:rFonts w:hint="eastAsia" w:ascii="宋体" w:hAnsi="宋体" w:eastAsia="宋体" w:cs="宋体"/>
                <w:i w:val="0"/>
                <w:iCs w:val="0"/>
                <w:color w:val="000000"/>
                <w:sz w:val="22"/>
                <w:szCs w:val="22"/>
                <w:u w:val="none"/>
              </w:rPr>
            </w:pPr>
          </w:p>
        </w:tc>
        <w:tc>
          <w:tcPr>
            <w:tcW w:w="1111" w:type="dxa"/>
            <w:vAlign w:val="center"/>
          </w:tcPr>
          <w:p w14:paraId="4B7867B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969" w:type="dxa"/>
            <w:vAlign w:val="center"/>
          </w:tcPr>
          <w:p w14:paraId="2E58AD8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0.00</w:t>
            </w:r>
          </w:p>
        </w:tc>
        <w:tc>
          <w:tcPr>
            <w:tcW w:w="863" w:type="dxa"/>
            <w:vAlign w:val="center"/>
          </w:tcPr>
          <w:p w14:paraId="422E1C1E">
            <w:pPr>
              <w:jc w:val="center"/>
              <w:rPr>
                <w:rFonts w:hint="eastAsia" w:ascii="宋体" w:hAnsi="宋体" w:eastAsia="宋体" w:cs="宋体"/>
                <w:i w:val="0"/>
                <w:iCs w:val="0"/>
                <w:color w:val="000000"/>
                <w:sz w:val="22"/>
                <w:szCs w:val="22"/>
                <w:u w:val="none"/>
              </w:rPr>
            </w:pPr>
          </w:p>
        </w:tc>
      </w:tr>
      <w:tr w14:paraId="04DFD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3354" w:type="dxa"/>
            <w:vAlign w:val="center"/>
          </w:tcPr>
          <w:p w14:paraId="5D4E3A16">
            <w:pPr>
              <w:widowControl/>
              <w:jc w:val="center"/>
              <w:rPr>
                <w:rFonts w:hint="eastAsia" w:ascii="仿宋" w:hAnsi="仿宋" w:eastAsia="仿宋" w:cs="仿宋"/>
                <w:b w:val="0"/>
                <w:bCs w:val="0"/>
                <w:kern w:val="0"/>
                <w:sz w:val="20"/>
                <w:szCs w:val="20"/>
              </w:rPr>
            </w:pPr>
            <w:r>
              <w:rPr>
                <w:rFonts w:hint="eastAsia" w:ascii="仿宋" w:hAnsi="仿宋" w:eastAsia="仿宋" w:cs="仿宋"/>
                <w:b w:val="0"/>
                <w:bCs w:val="0"/>
                <w:kern w:val="0"/>
                <w:sz w:val="20"/>
                <w:szCs w:val="20"/>
              </w:rPr>
              <w:t>厉行节约保障措施</w:t>
            </w:r>
          </w:p>
        </w:tc>
        <w:tc>
          <w:tcPr>
            <w:tcW w:w="6110" w:type="dxa"/>
            <w:gridSpan w:val="6"/>
            <w:vAlign w:val="center"/>
          </w:tcPr>
          <w:p w14:paraId="42F5D17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厉行节约，践行全民节约理念。</w:t>
            </w:r>
          </w:p>
        </w:tc>
      </w:tr>
    </w:tbl>
    <w:p w14:paraId="5D15DE60">
      <w:pPr>
        <w:pStyle w:val="11"/>
        <w:keepNext/>
        <w:keepLines/>
        <w:pageBreakBefore w:val="0"/>
        <w:widowControl w:val="0"/>
        <w:kinsoku/>
        <w:wordWrap/>
        <w:overflowPunct/>
        <w:topLinePunct w:val="0"/>
        <w:autoSpaceDE/>
        <w:autoSpaceDN/>
        <w:bidi w:val="0"/>
        <w:adjustRightInd/>
        <w:snapToGrid/>
        <w:spacing w:line="280" w:lineRule="exact"/>
        <w:textAlignment w:val="auto"/>
        <w:rPr>
          <w:rFonts w:hint="eastAsia"/>
          <w:lang w:val="en-US" w:eastAsia="zh-CN"/>
        </w:rPr>
      </w:pPr>
      <w:r>
        <w:rPr>
          <w:rFonts w:eastAsia="仿宋_GB2312"/>
          <w:kern w:val="0"/>
          <w:sz w:val="22"/>
        </w:rPr>
        <w:t>说明：“项目支出”需要填报基本支出以外的所有项目支出情况，“公用经费”填报基本支出中的一般商品和服务支出。</w:t>
      </w:r>
    </w:p>
    <w:p w14:paraId="2544BCC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Times New Roman" w:hAnsi="Times New Roman" w:eastAsia="仿宋_GB2312" w:cs="Times New Roman"/>
          <w:snapToGrid/>
          <w:color w:val="000000"/>
          <w:kern w:val="0"/>
          <w:sz w:val="24"/>
          <w:szCs w:val="24"/>
          <w:lang w:val="en-US" w:eastAsia="zh-CN" w:bidi="ar-SA"/>
        </w:rPr>
        <w:t xml:space="preserve">填表人：何洁         填报日期：2024.8.2            联系电话：15173976782 </w:t>
      </w:r>
    </w:p>
    <w:p w14:paraId="13DA662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r>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t>附件1-2</w:t>
      </w:r>
    </w:p>
    <w:p w14:paraId="348F5F0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default" w:ascii="方正小标宋_GBK" w:hAnsi="方正小标宋_GBK" w:eastAsia="方正小标宋_GBK" w:cs="方正小标宋_GBK"/>
          <w:i w:val="0"/>
          <w:iCs w:val="0"/>
          <w:caps w:val="0"/>
          <w:color w:val="000000"/>
          <w:spacing w:val="0"/>
          <w:sz w:val="32"/>
          <w:szCs w:val="32"/>
          <w:shd w:val="clear" w:fill="FFFFFF"/>
          <w:lang w:val="en-US" w:eastAsia="zh-CN"/>
        </w:rPr>
      </w:pPr>
    </w:p>
    <w:p w14:paraId="565FB5FE">
      <w:pPr>
        <w:keepNext w:val="0"/>
        <w:keepLines w:val="0"/>
        <w:pageBreakBefore w:val="0"/>
        <w:widowControl/>
        <w:tabs>
          <w:tab w:val="left" w:pos="3611"/>
          <w:tab w:val="left" w:pos="4791"/>
          <w:tab w:val="left" w:pos="5951"/>
          <w:tab w:val="left" w:pos="7071"/>
          <w:tab w:val="left" w:pos="8191"/>
          <w:tab w:val="left" w:pos="9311"/>
        </w:tabs>
        <w:kinsoku/>
        <w:wordWrap/>
        <w:overflowPunct/>
        <w:topLinePunct w:val="0"/>
        <w:autoSpaceDE/>
        <w:autoSpaceDN/>
        <w:bidi w:val="0"/>
        <w:adjustRightInd/>
        <w:snapToGrid/>
        <w:spacing w:line="480" w:lineRule="exact"/>
        <w:ind w:left="91"/>
        <w:jc w:val="center"/>
        <w:textAlignment w:val="auto"/>
        <w:rPr>
          <w:rFonts w:hint="eastAsia" w:ascii="方正小标宋简体" w:hAnsi="方正小标宋简体" w:eastAsia="方正小标宋简体" w:cs="方正小标宋简体"/>
          <w:color w:val="000000"/>
          <w:kern w:val="0"/>
          <w:sz w:val="44"/>
          <w:szCs w:val="44"/>
          <w:lang w:val="en-US" w:eastAsia="zh-CN"/>
        </w:rPr>
      </w:pPr>
      <w:r>
        <w:rPr>
          <w:rFonts w:hint="eastAsia" w:ascii="方正小标宋简体" w:hAnsi="方正小标宋简体" w:eastAsia="方正小标宋简体" w:cs="方正小标宋简体"/>
          <w:color w:val="000000"/>
          <w:kern w:val="0"/>
          <w:sz w:val="44"/>
          <w:szCs w:val="44"/>
          <w:lang w:val="en-US" w:eastAsia="zh-CN"/>
        </w:rPr>
        <w:t>整体支出绩效自评表</w:t>
      </w:r>
    </w:p>
    <w:tbl>
      <w:tblPr>
        <w:tblStyle w:val="9"/>
        <w:tblW w:w="92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9"/>
        <w:gridCol w:w="1176"/>
        <w:gridCol w:w="1128"/>
        <w:gridCol w:w="998"/>
        <w:gridCol w:w="95"/>
        <w:gridCol w:w="1200"/>
        <w:gridCol w:w="1134"/>
        <w:gridCol w:w="709"/>
        <w:gridCol w:w="460"/>
        <w:gridCol w:w="1193"/>
      </w:tblGrid>
      <w:tr w14:paraId="1BE8D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169" w:type="dxa"/>
            <w:vAlign w:val="center"/>
          </w:tcPr>
          <w:p w14:paraId="1C71E1F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预算</w:t>
            </w:r>
            <w:r>
              <w:rPr>
                <w:rFonts w:hint="eastAsia" w:ascii="仿宋" w:hAnsi="仿宋" w:eastAsia="仿宋" w:cs="仿宋"/>
                <w:color w:val="000000"/>
                <w:kern w:val="0"/>
                <w:sz w:val="20"/>
                <w:szCs w:val="20"/>
                <w:lang w:val="en-US" w:eastAsia="zh-CN"/>
              </w:rPr>
              <w:t>单位</w:t>
            </w:r>
            <w:r>
              <w:rPr>
                <w:rFonts w:hint="eastAsia" w:ascii="仿宋" w:hAnsi="仿宋" w:eastAsia="仿宋" w:cs="仿宋"/>
                <w:color w:val="000000"/>
                <w:kern w:val="0"/>
                <w:sz w:val="20"/>
                <w:szCs w:val="20"/>
              </w:rPr>
              <w:t>名称</w:t>
            </w:r>
          </w:p>
        </w:tc>
        <w:tc>
          <w:tcPr>
            <w:tcW w:w="8093" w:type="dxa"/>
            <w:gridSpan w:val="9"/>
            <w:vAlign w:val="center"/>
          </w:tcPr>
          <w:p w14:paraId="47B580F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邵阳市北塔区新滩镇街道办事处　</w:t>
            </w:r>
          </w:p>
        </w:tc>
      </w:tr>
      <w:tr w14:paraId="26450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7A46A71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年度预</w:t>
            </w:r>
          </w:p>
          <w:p w14:paraId="2DC8587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算申请</w:t>
            </w:r>
            <w:r>
              <w:rPr>
                <w:rFonts w:hint="eastAsia" w:ascii="仿宋" w:hAnsi="仿宋" w:eastAsia="仿宋" w:cs="仿宋"/>
                <w:color w:val="000000"/>
                <w:kern w:val="0"/>
                <w:sz w:val="20"/>
                <w:szCs w:val="20"/>
              </w:rPr>
              <w:br w:type="textWrapping"/>
            </w:r>
            <w:r>
              <w:rPr>
                <w:rFonts w:hint="eastAsia" w:ascii="仿宋" w:hAnsi="仿宋" w:eastAsia="仿宋" w:cs="仿宋"/>
                <w:color w:val="000000"/>
                <w:kern w:val="0"/>
                <w:sz w:val="20"/>
                <w:szCs w:val="20"/>
              </w:rPr>
              <w:t>（万元）</w:t>
            </w:r>
          </w:p>
        </w:tc>
        <w:tc>
          <w:tcPr>
            <w:tcW w:w="2304" w:type="dxa"/>
            <w:gridSpan w:val="2"/>
            <w:vAlign w:val="center"/>
          </w:tcPr>
          <w:p w14:paraId="104234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p>
        </w:tc>
        <w:tc>
          <w:tcPr>
            <w:tcW w:w="998" w:type="dxa"/>
            <w:vAlign w:val="center"/>
          </w:tcPr>
          <w:p w14:paraId="0F34686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年初</w:t>
            </w:r>
          </w:p>
          <w:p w14:paraId="2DFD48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预算数</w:t>
            </w:r>
          </w:p>
        </w:tc>
        <w:tc>
          <w:tcPr>
            <w:tcW w:w="1295" w:type="dxa"/>
            <w:gridSpan w:val="2"/>
            <w:vAlign w:val="center"/>
          </w:tcPr>
          <w:p w14:paraId="2CFA9E7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全年预算数</w:t>
            </w:r>
          </w:p>
        </w:tc>
        <w:tc>
          <w:tcPr>
            <w:tcW w:w="1134" w:type="dxa"/>
            <w:vAlign w:val="center"/>
          </w:tcPr>
          <w:p w14:paraId="45F55C7D">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全年</w:t>
            </w:r>
          </w:p>
          <w:p w14:paraId="6244AC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执行数</w:t>
            </w:r>
          </w:p>
        </w:tc>
        <w:tc>
          <w:tcPr>
            <w:tcW w:w="709" w:type="dxa"/>
            <w:vAlign w:val="center"/>
          </w:tcPr>
          <w:p w14:paraId="530D88A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分值</w:t>
            </w:r>
          </w:p>
        </w:tc>
        <w:tc>
          <w:tcPr>
            <w:tcW w:w="460" w:type="dxa"/>
            <w:vAlign w:val="center"/>
          </w:tcPr>
          <w:p w14:paraId="322CE17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执行率</w:t>
            </w:r>
          </w:p>
        </w:tc>
        <w:tc>
          <w:tcPr>
            <w:tcW w:w="1193" w:type="dxa"/>
            <w:vAlign w:val="center"/>
          </w:tcPr>
          <w:p w14:paraId="6B13A53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得分</w:t>
            </w:r>
          </w:p>
        </w:tc>
      </w:tr>
      <w:tr w14:paraId="7ADBE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86703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2304" w:type="dxa"/>
            <w:gridSpan w:val="2"/>
            <w:vAlign w:val="center"/>
          </w:tcPr>
          <w:p w14:paraId="75CD914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color w:val="000000"/>
                <w:kern w:val="0"/>
                <w:sz w:val="20"/>
                <w:szCs w:val="20"/>
              </w:rPr>
              <w:t>年度资金总额</w:t>
            </w:r>
          </w:p>
        </w:tc>
        <w:tc>
          <w:tcPr>
            <w:tcW w:w="998" w:type="dxa"/>
            <w:vAlign w:val="center"/>
          </w:tcPr>
          <w:p w14:paraId="23EB1082">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697.88</w:t>
            </w:r>
          </w:p>
        </w:tc>
        <w:tc>
          <w:tcPr>
            <w:tcW w:w="1295" w:type="dxa"/>
            <w:gridSpan w:val="2"/>
            <w:vAlign w:val="center"/>
          </w:tcPr>
          <w:p w14:paraId="0C264C53">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3160.82</w:t>
            </w:r>
          </w:p>
        </w:tc>
        <w:tc>
          <w:tcPr>
            <w:tcW w:w="1134" w:type="dxa"/>
            <w:vAlign w:val="center"/>
          </w:tcPr>
          <w:p w14:paraId="48B429E6">
            <w:pPr>
              <w:keepNext w:val="0"/>
              <w:keepLines w:val="0"/>
              <w:widowControl/>
              <w:suppressLineNumbers w:val="0"/>
              <w:jc w:val="center"/>
              <w:textAlignment w:val="center"/>
              <w:rPr>
                <w:rFonts w:hint="eastAsia" w:ascii="Times New Roman" w:hAnsi="Times New Roman" w:eastAsia="宋体" w:cs="Times New Roman"/>
                <w:i w:val="0"/>
                <w:iCs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0"/>
                <w:szCs w:val="20"/>
                <w:u w:val="none"/>
                <w:lang w:val="en-US" w:eastAsia="zh-CN" w:bidi="ar"/>
              </w:rPr>
              <w:t>3160.82</w:t>
            </w:r>
          </w:p>
        </w:tc>
        <w:tc>
          <w:tcPr>
            <w:tcW w:w="709" w:type="dxa"/>
            <w:vAlign w:val="center"/>
          </w:tcPr>
          <w:p w14:paraId="7AA226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sz w:val="20"/>
                <w:szCs w:val="20"/>
              </w:rPr>
            </w:pPr>
            <w:r>
              <w:rPr>
                <w:rFonts w:hint="eastAsia" w:ascii="仿宋" w:hAnsi="仿宋" w:eastAsia="仿宋" w:cs="仿宋"/>
                <w:sz w:val="20"/>
                <w:szCs w:val="20"/>
              </w:rPr>
              <w:t>10</w:t>
            </w:r>
          </w:p>
        </w:tc>
        <w:tc>
          <w:tcPr>
            <w:tcW w:w="460" w:type="dxa"/>
            <w:vAlign w:val="center"/>
          </w:tcPr>
          <w:p w14:paraId="3741390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100%</w:t>
            </w:r>
          </w:p>
        </w:tc>
        <w:tc>
          <w:tcPr>
            <w:tcW w:w="1193" w:type="dxa"/>
            <w:vAlign w:val="center"/>
          </w:tcPr>
          <w:p w14:paraId="30B6571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sz w:val="20"/>
                <w:szCs w:val="20"/>
                <w:lang w:val="en-US" w:eastAsia="zh-CN"/>
              </w:rPr>
            </w:pPr>
            <w:r>
              <w:rPr>
                <w:rFonts w:hint="eastAsia" w:ascii="仿宋" w:hAnsi="仿宋" w:eastAsia="仿宋" w:cs="仿宋"/>
                <w:sz w:val="20"/>
                <w:szCs w:val="20"/>
                <w:lang w:val="en-US" w:eastAsia="zh-CN"/>
              </w:rPr>
              <w:t>10</w:t>
            </w:r>
          </w:p>
        </w:tc>
      </w:tr>
      <w:tr w14:paraId="4617F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B736DA0">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1ABAE3B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按收入性质分：</w:t>
            </w:r>
          </w:p>
        </w:tc>
        <w:tc>
          <w:tcPr>
            <w:tcW w:w="3496" w:type="dxa"/>
            <w:gridSpan w:val="4"/>
            <w:vAlign w:val="center"/>
          </w:tcPr>
          <w:p w14:paraId="1CA202C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按支出性质分：</w:t>
            </w:r>
          </w:p>
        </w:tc>
      </w:tr>
      <w:tr w14:paraId="36D7C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BC0F97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76993AD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xml:space="preserve">  其中：  一般公共预算：1407.41</w:t>
            </w:r>
          </w:p>
        </w:tc>
        <w:tc>
          <w:tcPr>
            <w:tcW w:w="3496" w:type="dxa"/>
            <w:gridSpan w:val="4"/>
            <w:vAlign w:val="center"/>
          </w:tcPr>
          <w:p w14:paraId="027645B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其中：基本支出：984.22</w:t>
            </w:r>
          </w:p>
        </w:tc>
      </w:tr>
      <w:tr w14:paraId="5EBB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1808067F">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69B38004">
            <w:pPr>
              <w:keepNext w:val="0"/>
              <w:keepLines w:val="0"/>
              <w:pageBreakBefore w:val="0"/>
              <w:widowControl/>
              <w:kinsoku/>
              <w:wordWrap/>
              <w:overflowPunct/>
              <w:topLinePunct w:val="0"/>
              <w:autoSpaceDE/>
              <w:autoSpaceDN/>
              <w:bidi w:val="0"/>
              <w:adjustRightInd/>
              <w:snapToGrid/>
              <w:spacing w:line="240" w:lineRule="exact"/>
              <w:ind w:firstLine="800" w:firstLineChars="4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政府性基金拨款：24.24</w:t>
            </w:r>
          </w:p>
        </w:tc>
        <w:tc>
          <w:tcPr>
            <w:tcW w:w="3496" w:type="dxa"/>
            <w:gridSpan w:val="4"/>
            <w:vAlign w:val="center"/>
          </w:tcPr>
          <w:p w14:paraId="7DF0CD06">
            <w:pPr>
              <w:keepNext w:val="0"/>
              <w:keepLines w:val="0"/>
              <w:pageBreakBefore w:val="0"/>
              <w:widowControl/>
              <w:kinsoku/>
              <w:wordWrap/>
              <w:overflowPunct/>
              <w:topLinePunct w:val="0"/>
              <w:autoSpaceDE/>
              <w:autoSpaceDN/>
              <w:bidi w:val="0"/>
              <w:adjustRightInd/>
              <w:snapToGrid/>
              <w:spacing w:line="240" w:lineRule="exact"/>
              <w:ind w:firstLine="600" w:firstLineChars="3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项目支出：2176.60</w:t>
            </w:r>
          </w:p>
        </w:tc>
      </w:tr>
      <w:tr w14:paraId="2125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5DB3E8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0D3CD51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纳入专户管理的非税收入拨款：</w:t>
            </w:r>
          </w:p>
        </w:tc>
        <w:tc>
          <w:tcPr>
            <w:tcW w:w="3496" w:type="dxa"/>
            <w:gridSpan w:val="4"/>
            <w:vAlign w:val="center"/>
          </w:tcPr>
          <w:p w14:paraId="53E211E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16A2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3655EF1">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3517D8BB">
            <w:pPr>
              <w:keepNext w:val="0"/>
              <w:keepLines w:val="0"/>
              <w:pageBreakBefore w:val="0"/>
              <w:widowControl/>
              <w:kinsoku/>
              <w:wordWrap/>
              <w:overflowPunct/>
              <w:topLinePunct w:val="0"/>
              <w:autoSpaceDE/>
              <w:autoSpaceDN/>
              <w:bidi w:val="0"/>
              <w:adjustRightInd/>
              <w:snapToGrid/>
              <w:spacing w:line="240" w:lineRule="exact"/>
              <w:ind w:firstLine="1400" w:firstLineChars="700"/>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其他资金：1729.20</w:t>
            </w:r>
          </w:p>
        </w:tc>
        <w:tc>
          <w:tcPr>
            <w:tcW w:w="3496" w:type="dxa"/>
            <w:gridSpan w:val="4"/>
            <w:vAlign w:val="center"/>
          </w:tcPr>
          <w:p w14:paraId="12CE519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r>
      <w:tr w14:paraId="060AD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restart"/>
            <w:vAlign w:val="center"/>
          </w:tcPr>
          <w:p w14:paraId="3C5E58D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年度总体目标</w:t>
            </w:r>
          </w:p>
        </w:tc>
        <w:tc>
          <w:tcPr>
            <w:tcW w:w="4597" w:type="dxa"/>
            <w:gridSpan w:val="5"/>
            <w:vAlign w:val="center"/>
          </w:tcPr>
          <w:p w14:paraId="1DEDD89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预期目标</w:t>
            </w:r>
          </w:p>
        </w:tc>
        <w:tc>
          <w:tcPr>
            <w:tcW w:w="3496" w:type="dxa"/>
            <w:gridSpan w:val="4"/>
            <w:vAlign w:val="center"/>
          </w:tcPr>
          <w:p w14:paraId="40A2212A">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实际完成情况　</w:t>
            </w:r>
          </w:p>
        </w:tc>
      </w:tr>
      <w:tr w14:paraId="60B0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169" w:type="dxa"/>
            <w:vMerge w:val="continue"/>
            <w:vAlign w:val="center"/>
          </w:tcPr>
          <w:p w14:paraId="32B50BEC">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4597" w:type="dxa"/>
            <w:gridSpan w:val="5"/>
            <w:vAlign w:val="center"/>
          </w:tcPr>
          <w:p w14:paraId="0AA909C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在今年收支预算内，圆满完成单位各项任务。</w:t>
            </w:r>
          </w:p>
        </w:tc>
        <w:tc>
          <w:tcPr>
            <w:tcW w:w="3496" w:type="dxa"/>
            <w:gridSpan w:val="4"/>
            <w:vAlign w:val="center"/>
          </w:tcPr>
          <w:p w14:paraId="4C7F765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已完成</w:t>
            </w:r>
          </w:p>
        </w:tc>
      </w:tr>
      <w:tr w14:paraId="24B73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169" w:type="dxa"/>
            <w:vMerge w:val="restart"/>
            <w:vAlign w:val="center"/>
          </w:tcPr>
          <w:p w14:paraId="19AAA97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绩</w:t>
            </w:r>
          </w:p>
          <w:p w14:paraId="4B088A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w:t>
            </w:r>
          </w:p>
          <w:p w14:paraId="13683C9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w:t>
            </w:r>
          </w:p>
          <w:p w14:paraId="1B5A7E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标</w:t>
            </w:r>
          </w:p>
        </w:tc>
        <w:tc>
          <w:tcPr>
            <w:tcW w:w="1176" w:type="dxa"/>
            <w:vAlign w:val="center"/>
          </w:tcPr>
          <w:p w14:paraId="345928D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一级指标</w:t>
            </w:r>
          </w:p>
        </w:tc>
        <w:tc>
          <w:tcPr>
            <w:tcW w:w="1128" w:type="dxa"/>
            <w:vAlign w:val="center"/>
          </w:tcPr>
          <w:p w14:paraId="5B93988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二级指标</w:t>
            </w:r>
          </w:p>
        </w:tc>
        <w:tc>
          <w:tcPr>
            <w:tcW w:w="1093" w:type="dxa"/>
            <w:gridSpan w:val="2"/>
            <w:vAlign w:val="center"/>
          </w:tcPr>
          <w:p w14:paraId="347CCF6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三级指标</w:t>
            </w:r>
          </w:p>
        </w:tc>
        <w:tc>
          <w:tcPr>
            <w:tcW w:w="1200" w:type="dxa"/>
            <w:vAlign w:val="center"/>
          </w:tcPr>
          <w:p w14:paraId="2BDC756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年度</w:t>
            </w:r>
          </w:p>
          <w:p w14:paraId="152C09A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指标值</w:t>
            </w:r>
          </w:p>
        </w:tc>
        <w:tc>
          <w:tcPr>
            <w:tcW w:w="1134" w:type="dxa"/>
            <w:vAlign w:val="center"/>
          </w:tcPr>
          <w:p w14:paraId="3C3FC30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实际</w:t>
            </w:r>
          </w:p>
          <w:p w14:paraId="4A7733E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完成值</w:t>
            </w:r>
          </w:p>
        </w:tc>
        <w:tc>
          <w:tcPr>
            <w:tcW w:w="709" w:type="dxa"/>
            <w:vAlign w:val="center"/>
          </w:tcPr>
          <w:p w14:paraId="2776CD6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分值</w:t>
            </w:r>
          </w:p>
        </w:tc>
        <w:tc>
          <w:tcPr>
            <w:tcW w:w="460" w:type="dxa"/>
            <w:vAlign w:val="center"/>
          </w:tcPr>
          <w:p w14:paraId="65D0471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得分</w:t>
            </w:r>
          </w:p>
        </w:tc>
        <w:tc>
          <w:tcPr>
            <w:tcW w:w="1193" w:type="dxa"/>
            <w:vAlign w:val="top"/>
          </w:tcPr>
          <w:p w14:paraId="7B8765B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偏差原因</w:t>
            </w:r>
          </w:p>
          <w:p w14:paraId="25C6AACC">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分析及</w:t>
            </w:r>
          </w:p>
          <w:p w14:paraId="21760BA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改进措施</w:t>
            </w:r>
          </w:p>
        </w:tc>
      </w:tr>
      <w:tr w14:paraId="5D7D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2878ADD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044299E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产出指标</w:t>
            </w:r>
          </w:p>
          <w:p w14:paraId="2B0512D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50分)</w:t>
            </w:r>
          </w:p>
        </w:tc>
        <w:tc>
          <w:tcPr>
            <w:tcW w:w="1128" w:type="dxa"/>
            <w:vAlign w:val="center"/>
          </w:tcPr>
          <w:p w14:paraId="481454A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数量</w:t>
            </w:r>
          </w:p>
          <w:p w14:paraId="43D37F3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2A8F2BD9">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确保单位职工工资福利支出</w:t>
            </w:r>
          </w:p>
        </w:tc>
        <w:tc>
          <w:tcPr>
            <w:tcW w:w="1200" w:type="dxa"/>
            <w:vAlign w:val="center"/>
          </w:tcPr>
          <w:p w14:paraId="7797892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≥95%</w:t>
            </w:r>
          </w:p>
        </w:tc>
        <w:tc>
          <w:tcPr>
            <w:tcW w:w="1134" w:type="dxa"/>
            <w:vAlign w:val="center"/>
          </w:tcPr>
          <w:p w14:paraId="79DE024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95%</w:t>
            </w:r>
          </w:p>
        </w:tc>
        <w:tc>
          <w:tcPr>
            <w:tcW w:w="709" w:type="dxa"/>
            <w:vAlign w:val="center"/>
          </w:tcPr>
          <w:p w14:paraId="1B24C69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460" w:type="dxa"/>
            <w:vAlign w:val="center"/>
          </w:tcPr>
          <w:p w14:paraId="60ACDE8E">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1193" w:type="dxa"/>
            <w:vAlign w:val="center"/>
          </w:tcPr>
          <w:p w14:paraId="3B1A9138">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077EE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05A401CE">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23B4B5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3DF636C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质量</w:t>
            </w:r>
          </w:p>
          <w:p w14:paraId="0A9109F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5158A4BF">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提高办事效率，办事程序公开，办事时间缩短</w:t>
            </w:r>
          </w:p>
        </w:tc>
        <w:tc>
          <w:tcPr>
            <w:tcW w:w="1200" w:type="dxa"/>
            <w:vAlign w:val="center"/>
          </w:tcPr>
          <w:p w14:paraId="23CD524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1134" w:type="dxa"/>
            <w:vAlign w:val="center"/>
          </w:tcPr>
          <w:p w14:paraId="35389D13">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709" w:type="dxa"/>
            <w:vAlign w:val="center"/>
          </w:tcPr>
          <w:p w14:paraId="33C8DC2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62F7FA1E">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5</w:t>
            </w:r>
          </w:p>
        </w:tc>
        <w:tc>
          <w:tcPr>
            <w:tcW w:w="1193" w:type="dxa"/>
            <w:vAlign w:val="center"/>
          </w:tcPr>
          <w:p w14:paraId="2426DA9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E614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02CADC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35C1A40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3230F557">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时效</w:t>
            </w:r>
          </w:p>
          <w:p w14:paraId="2EF5E929">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091E4128">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各项任务完成时间</w:t>
            </w:r>
          </w:p>
        </w:tc>
        <w:tc>
          <w:tcPr>
            <w:tcW w:w="1200" w:type="dxa"/>
            <w:vAlign w:val="center"/>
          </w:tcPr>
          <w:p w14:paraId="19FCF774">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2023年底</w:t>
            </w:r>
          </w:p>
        </w:tc>
        <w:tc>
          <w:tcPr>
            <w:tcW w:w="1134" w:type="dxa"/>
            <w:vAlign w:val="center"/>
          </w:tcPr>
          <w:p w14:paraId="3137C8B3">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2023年底</w:t>
            </w:r>
          </w:p>
        </w:tc>
        <w:tc>
          <w:tcPr>
            <w:tcW w:w="709" w:type="dxa"/>
            <w:vAlign w:val="center"/>
          </w:tcPr>
          <w:p w14:paraId="58B460E5">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6CF68779">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7B45B1E5">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D5BE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76F13DB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78F8FDD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69D1C09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成本</w:t>
            </w:r>
          </w:p>
          <w:p w14:paraId="7170E81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tc>
        <w:tc>
          <w:tcPr>
            <w:tcW w:w="1093" w:type="dxa"/>
            <w:gridSpan w:val="2"/>
            <w:vAlign w:val="center"/>
          </w:tcPr>
          <w:p w14:paraId="7A02384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200" w:type="dxa"/>
            <w:vAlign w:val="center"/>
          </w:tcPr>
          <w:p w14:paraId="58DD4373">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34" w:type="dxa"/>
            <w:vAlign w:val="center"/>
          </w:tcPr>
          <w:p w14:paraId="5350B09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709" w:type="dxa"/>
            <w:vAlign w:val="center"/>
          </w:tcPr>
          <w:p w14:paraId="3063777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460" w:type="dxa"/>
            <w:vAlign w:val="center"/>
          </w:tcPr>
          <w:p w14:paraId="1EA16AD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c>
          <w:tcPr>
            <w:tcW w:w="1193" w:type="dxa"/>
            <w:vAlign w:val="center"/>
          </w:tcPr>
          <w:p w14:paraId="1538B6A9">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5D91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47A10E2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restart"/>
            <w:vAlign w:val="center"/>
          </w:tcPr>
          <w:p w14:paraId="538D0A2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效益指标</w:t>
            </w:r>
          </w:p>
          <w:p w14:paraId="61085BE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（3</w:t>
            </w:r>
            <w:r>
              <w:rPr>
                <w:rFonts w:hint="eastAsia" w:ascii="仿宋" w:hAnsi="仿宋" w:eastAsia="仿宋" w:cs="仿宋"/>
                <w:color w:val="000000"/>
                <w:kern w:val="0"/>
                <w:sz w:val="20"/>
                <w:szCs w:val="20"/>
                <w:lang w:val="en-US" w:eastAsia="zh-CN"/>
              </w:rPr>
              <w:t>0</w:t>
            </w:r>
            <w:r>
              <w:rPr>
                <w:rFonts w:hint="eastAsia" w:ascii="仿宋" w:hAnsi="仿宋" w:eastAsia="仿宋" w:cs="仿宋"/>
                <w:color w:val="000000"/>
                <w:kern w:val="0"/>
                <w:sz w:val="20"/>
                <w:szCs w:val="20"/>
              </w:rPr>
              <w:t>分）</w:t>
            </w:r>
          </w:p>
        </w:tc>
        <w:tc>
          <w:tcPr>
            <w:tcW w:w="1128" w:type="dxa"/>
            <w:vAlign w:val="center"/>
          </w:tcPr>
          <w:p w14:paraId="5904D14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经济效</w:t>
            </w:r>
          </w:p>
          <w:p w14:paraId="5AE8C96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4D5D50A7">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部门改进文风会风，加强经费及资产管理，推动网上办事，提高行政效率，降低行政成本</w:t>
            </w:r>
          </w:p>
        </w:tc>
        <w:tc>
          <w:tcPr>
            <w:tcW w:w="1200" w:type="dxa"/>
            <w:vAlign w:val="center"/>
          </w:tcPr>
          <w:p w14:paraId="7669EAE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1134" w:type="dxa"/>
            <w:vAlign w:val="center"/>
          </w:tcPr>
          <w:p w14:paraId="51481AA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709" w:type="dxa"/>
            <w:vAlign w:val="center"/>
          </w:tcPr>
          <w:p w14:paraId="0FDC582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13460E97">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8</w:t>
            </w:r>
          </w:p>
        </w:tc>
        <w:tc>
          <w:tcPr>
            <w:tcW w:w="1193" w:type="dxa"/>
            <w:vAlign w:val="center"/>
          </w:tcPr>
          <w:p w14:paraId="6FD0F6F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6CE2B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5FB3A1F">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6712768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44FAFB7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社会效</w:t>
            </w:r>
          </w:p>
          <w:p w14:paraId="4FC34DB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3CB320DA">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部门改进文风会风，加强经费及资产管理，推动网上办事，提高行政效率，降低行政成本</w:t>
            </w:r>
          </w:p>
        </w:tc>
        <w:tc>
          <w:tcPr>
            <w:tcW w:w="1200" w:type="dxa"/>
            <w:vAlign w:val="center"/>
          </w:tcPr>
          <w:p w14:paraId="62757FDD">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1134" w:type="dxa"/>
            <w:vAlign w:val="center"/>
          </w:tcPr>
          <w:p w14:paraId="404A715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效果明显</w:t>
            </w:r>
          </w:p>
        </w:tc>
        <w:tc>
          <w:tcPr>
            <w:tcW w:w="709" w:type="dxa"/>
            <w:vAlign w:val="center"/>
          </w:tcPr>
          <w:p w14:paraId="68290C31">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62B4D61F">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2A620BE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2FA92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6E142F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4B18532A">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63E0509B">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生态效</w:t>
            </w:r>
          </w:p>
          <w:p w14:paraId="14F05862">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益指标</w:t>
            </w:r>
          </w:p>
        </w:tc>
        <w:tc>
          <w:tcPr>
            <w:tcW w:w="1093" w:type="dxa"/>
            <w:gridSpan w:val="2"/>
            <w:vAlign w:val="center"/>
          </w:tcPr>
          <w:p w14:paraId="6E5D03BE">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单位建设项目对于生态环境的影响程度</w:t>
            </w:r>
          </w:p>
        </w:tc>
        <w:tc>
          <w:tcPr>
            <w:tcW w:w="1200" w:type="dxa"/>
            <w:vAlign w:val="center"/>
          </w:tcPr>
          <w:p w14:paraId="01B27C8D">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较低</w:t>
            </w:r>
          </w:p>
        </w:tc>
        <w:tc>
          <w:tcPr>
            <w:tcW w:w="1134" w:type="dxa"/>
            <w:vAlign w:val="center"/>
          </w:tcPr>
          <w:p w14:paraId="708F701B">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较低</w:t>
            </w:r>
          </w:p>
        </w:tc>
        <w:tc>
          <w:tcPr>
            <w:tcW w:w="709" w:type="dxa"/>
            <w:vAlign w:val="center"/>
          </w:tcPr>
          <w:p w14:paraId="3F9B401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56A95AB0">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7BA893AD">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3FA3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6AA79436">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p>
        </w:tc>
        <w:tc>
          <w:tcPr>
            <w:tcW w:w="1176" w:type="dxa"/>
            <w:vMerge w:val="continue"/>
            <w:vAlign w:val="center"/>
          </w:tcPr>
          <w:p w14:paraId="7C1E5014">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28" w:type="dxa"/>
            <w:vAlign w:val="center"/>
          </w:tcPr>
          <w:p w14:paraId="016C1FD8">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可持续影响指标</w:t>
            </w:r>
          </w:p>
        </w:tc>
        <w:tc>
          <w:tcPr>
            <w:tcW w:w="1093" w:type="dxa"/>
            <w:gridSpan w:val="2"/>
            <w:vAlign w:val="center"/>
          </w:tcPr>
          <w:p w14:paraId="14238CC5">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提高全区经济效益</w:t>
            </w:r>
          </w:p>
        </w:tc>
        <w:tc>
          <w:tcPr>
            <w:tcW w:w="1200" w:type="dxa"/>
            <w:vAlign w:val="center"/>
          </w:tcPr>
          <w:p w14:paraId="28DBA3E0">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可持续</w:t>
            </w:r>
          </w:p>
        </w:tc>
        <w:tc>
          <w:tcPr>
            <w:tcW w:w="1134" w:type="dxa"/>
            <w:vAlign w:val="center"/>
          </w:tcPr>
          <w:p w14:paraId="27735DD6">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可持续</w:t>
            </w:r>
          </w:p>
        </w:tc>
        <w:tc>
          <w:tcPr>
            <w:tcW w:w="709" w:type="dxa"/>
            <w:vAlign w:val="center"/>
          </w:tcPr>
          <w:p w14:paraId="62287BAE">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460" w:type="dxa"/>
            <w:vAlign w:val="center"/>
          </w:tcPr>
          <w:p w14:paraId="3D13F747">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10</w:t>
            </w:r>
          </w:p>
        </w:tc>
        <w:tc>
          <w:tcPr>
            <w:tcW w:w="1193" w:type="dxa"/>
            <w:vAlign w:val="center"/>
          </w:tcPr>
          <w:p w14:paraId="6D667DCB">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B22C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69" w:type="dxa"/>
            <w:vMerge w:val="continue"/>
            <w:vAlign w:val="center"/>
          </w:tcPr>
          <w:p w14:paraId="5DC34716">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p>
        </w:tc>
        <w:tc>
          <w:tcPr>
            <w:tcW w:w="1176" w:type="dxa"/>
            <w:vAlign w:val="center"/>
          </w:tcPr>
          <w:p w14:paraId="6900C955">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满意度</w:t>
            </w:r>
          </w:p>
          <w:p w14:paraId="0FFD5D3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指标</w:t>
            </w:r>
          </w:p>
          <w:p w14:paraId="6973BA8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（10分）</w:t>
            </w:r>
          </w:p>
        </w:tc>
        <w:tc>
          <w:tcPr>
            <w:tcW w:w="1128" w:type="dxa"/>
            <w:vAlign w:val="center"/>
          </w:tcPr>
          <w:p w14:paraId="23584870">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服务对象满意度指标</w:t>
            </w:r>
          </w:p>
        </w:tc>
        <w:tc>
          <w:tcPr>
            <w:tcW w:w="1093" w:type="dxa"/>
            <w:gridSpan w:val="2"/>
            <w:vAlign w:val="center"/>
          </w:tcPr>
          <w:p w14:paraId="0CB667E4">
            <w:pPr>
              <w:keepNext w:val="0"/>
              <w:keepLines w:val="0"/>
              <w:widowControl/>
              <w:suppressLineNumbers w:val="0"/>
              <w:jc w:val="center"/>
              <w:textAlignment w:val="center"/>
              <w:rPr>
                <w:rFonts w:hint="eastAsia" w:ascii="仿宋" w:hAnsi="仿宋" w:eastAsia="仿宋" w:cs="仿宋"/>
                <w:i w:val="0"/>
                <w:iCs w:val="0"/>
                <w:color w:val="000000"/>
                <w:kern w:val="2"/>
                <w:sz w:val="20"/>
                <w:szCs w:val="20"/>
                <w:u w:val="none"/>
                <w:lang w:val="en-US" w:eastAsia="zh-CN" w:bidi="ar-SA"/>
              </w:rPr>
            </w:pPr>
            <w:r>
              <w:rPr>
                <w:rFonts w:hint="eastAsia" w:ascii="仿宋" w:hAnsi="仿宋" w:eastAsia="仿宋" w:cs="仿宋"/>
                <w:i w:val="0"/>
                <w:iCs w:val="0"/>
                <w:color w:val="000000"/>
                <w:kern w:val="0"/>
                <w:sz w:val="20"/>
                <w:szCs w:val="20"/>
                <w:u w:val="none"/>
                <w:lang w:val="en-US" w:eastAsia="zh-CN" w:bidi="ar"/>
              </w:rPr>
              <w:t>群众满意度</w:t>
            </w:r>
          </w:p>
        </w:tc>
        <w:tc>
          <w:tcPr>
            <w:tcW w:w="1200" w:type="dxa"/>
            <w:vAlign w:val="center"/>
          </w:tcPr>
          <w:p w14:paraId="6A9077AC">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满意</w:t>
            </w:r>
          </w:p>
        </w:tc>
        <w:tc>
          <w:tcPr>
            <w:tcW w:w="1134" w:type="dxa"/>
            <w:vAlign w:val="center"/>
          </w:tcPr>
          <w:p w14:paraId="1D96D498">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满意</w:t>
            </w:r>
          </w:p>
        </w:tc>
        <w:tc>
          <w:tcPr>
            <w:tcW w:w="709" w:type="dxa"/>
            <w:vAlign w:val="center"/>
          </w:tcPr>
          <w:p w14:paraId="34E52802">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460" w:type="dxa"/>
            <w:vAlign w:val="center"/>
          </w:tcPr>
          <w:p w14:paraId="292A56C1">
            <w:pPr>
              <w:keepNext w:val="0"/>
              <w:keepLines w:val="0"/>
              <w:widowControl/>
              <w:suppressLineNumbers w:val="0"/>
              <w:jc w:val="left"/>
              <w:textAlignment w:val="center"/>
              <w:rPr>
                <w:rFonts w:hint="eastAsia" w:ascii="仿宋_GB2312" w:hAnsi="宋体" w:eastAsia="仿宋_GB2312" w:cs="仿宋_GB2312"/>
                <w:i w:val="0"/>
                <w:iCs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0"/>
                <w:szCs w:val="20"/>
                <w:u w:val="none"/>
                <w:lang w:val="en-US" w:eastAsia="zh-CN" w:bidi="ar"/>
              </w:rPr>
              <w:t>15</w:t>
            </w:r>
          </w:p>
        </w:tc>
        <w:tc>
          <w:tcPr>
            <w:tcW w:w="1193" w:type="dxa"/>
            <w:vAlign w:val="center"/>
          </w:tcPr>
          <w:p w14:paraId="6C0AAA72">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r w14:paraId="78A4D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900" w:type="dxa"/>
            <w:gridSpan w:val="7"/>
            <w:vAlign w:val="center"/>
          </w:tcPr>
          <w:p w14:paraId="4FA59974">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总分</w:t>
            </w:r>
          </w:p>
        </w:tc>
        <w:tc>
          <w:tcPr>
            <w:tcW w:w="709" w:type="dxa"/>
            <w:vAlign w:val="center"/>
          </w:tcPr>
          <w:p w14:paraId="60344301">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100</w:t>
            </w:r>
          </w:p>
        </w:tc>
        <w:tc>
          <w:tcPr>
            <w:tcW w:w="460" w:type="dxa"/>
            <w:vAlign w:val="center"/>
          </w:tcPr>
          <w:p w14:paraId="790A29F3">
            <w:pPr>
              <w:keepNext w:val="0"/>
              <w:keepLines w:val="0"/>
              <w:pageBreakBefore w:val="0"/>
              <w:widowControl/>
              <w:kinsoku/>
              <w:wordWrap/>
              <w:overflowPunct/>
              <w:topLinePunct w:val="0"/>
              <w:autoSpaceDE/>
              <w:autoSpaceDN/>
              <w:bidi w:val="0"/>
              <w:adjustRightInd/>
              <w:snapToGrid/>
              <w:spacing w:line="240" w:lineRule="exact"/>
              <w:jc w:val="center"/>
              <w:textAlignment w:val="auto"/>
              <w:rPr>
                <w:rFonts w:hint="default" w:ascii="仿宋" w:hAnsi="仿宋" w:eastAsia="仿宋" w:cs="仿宋"/>
                <w:color w:val="000000"/>
                <w:kern w:val="0"/>
                <w:sz w:val="20"/>
                <w:szCs w:val="20"/>
                <w:lang w:val="en-US" w:eastAsia="zh-CN"/>
              </w:rPr>
            </w:pPr>
            <w:r>
              <w:rPr>
                <w:rFonts w:hint="eastAsia" w:ascii="仿宋" w:hAnsi="仿宋" w:eastAsia="仿宋" w:cs="仿宋"/>
                <w:color w:val="000000"/>
                <w:kern w:val="0"/>
                <w:sz w:val="20"/>
                <w:szCs w:val="20"/>
                <w:lang w:val="en-US" w:eastAsia="zh-CN"/>
              </w:rPr>
              <w:t>93</w:t>
            </w:r>
          </w:p>
        </w:tc>
        <w:tc>
          <w:tcPr>
            <w:tcW w:w="1193" w:type="dxa"/>
            <w:vAlign w:val="center"/>
          </w:tcPr>
          <w:p w14:paraId="5CAC430E">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　</w:t>
            </w:r>
          </w:p>
        </w:tc>
      </w:tr>
    </w:tbl>
    <w:p w14:paraId="57E4A370">
      <w:pPr>
        <w:widowControl w:val="0"/>
        <w:kinsoku/>
        <w:autoSpaceDE/>
        <w:autoSpaceDN/>
        <w:adjustRightInd/>
        <w:snapToGrid/>
        <w:spacing w:line="600" w:lineRule="exact"/>
        <w:jc w:val="both"/>
        <w:textAlignment w:val="auto"/>
        <w:rPr>
          <w:rFonts w:hint="default" w:ascii="Times New Roman" w:hAnsi="Times New Roman" w:eastAsia="仿宋_GB2312" w:cs="Times New Roman"/>
          <w:snapToGrid/>
          <w:color w:val="000000"/>
          <w:kern w:val="0"/>
          <w:sz w:val="32"/>
          <w:szCs w:val="32"/>
          <w:lang w:val="en-US" w:eastAsia="zh-CN" w:bidi="ar-SA"/>
        </w:rPr>
      </w:pPr>
      <w:r>
        <w:rPr>
          <w:rFonts w:hint="default" w:ascii="Times New Roman" w:hAnsi="Times New Roman" w:eastAsia="仿宋_GB2312" w:cs="Times New Roman"/>
          <w:snapToGrid/>
          <w:color w:val="000000"/>
          <w:kern w:val="0"/>
          <w:sz w:val="24"/>
          <w:szCs w:val="24"/>
          <w:lang w:val="en-US" w:eastAsia="zh-CN" w:bidi="ar-SA"/>
        </w:rPr>
        <w:t>填表人：何洁</w:t>
      </w:r>
      <w:r>
        <w:rPr>
          <w:rFonts w:hint="eastAsia" w:ascii="Times New Roman" w:hAnsi="Times New Roman" w:eastAsia="仿宋_GB2312" w:cs="Times New Roman"/>
          <w:snapToGrid/>
          <w:color w:val="000000"/>
          <w:kern w:val="0"/>
          <w:sz w:val="24"/>
          <w:szCs w:val="24"/>
          <w:lang w:val="en-US" w:eastAsia="zh-CN" w:bidi="ar-SA"/>
        </w:rPr>
        <w:t xml:space="preserve">         </w:t>
      </w:r>
      <w:r>
        <w:rPr>
          <w:rFonts w:hint="default" w:ascii="Times New Roman" w:hAnsi="Times New Roman" w:eastAsia="仿宋_GB2312" w:cs="Times New Roman"/>
          <w:snapToGrid/>
          <w:color w:val="000000"/>
          <w:kern w:val="0"/>
          <w:sz w:val="24"/>
          <w:szCs w:val="24"/>
          <w:lang w:val="en-US" w:eastAsia="zh-CN" w:bidi="ar-SA"/>
        </w:rPr>
        <w:t>填报日期：</w:t>
      </w:r>
      <w:r>
        <w:rPr>
          <w:rFonts w:hint="eastAsia" w:ascii="Times New Roman" w:hAnsi="Times New Roman" w:eastAsia="仿宋_GB2312" w:cs="Times New Roman"/>
          <w:snapToGrid/>
          <w:color w:val="000000"/>
          <w:kern w:val="0"/>
          <w:sz w:val="24"/>
          <w:szCs w:val="24"/>
          <w:lang w:val="en-US" w:eastAsia="zh-CN" w:bidi="ar-SA"/>
        </w:rPr>
        <w:t xml:space="preserve">2024.8.2            </w:t>
      </w:r>
      <w:r>
        <w:rPr>
          <w:rFonts w:hint="default" w:ascii="Times New Roman" w:hAnsi="Times New Roman" w:eastAsia="仿宋_GB2312" w:cs="Times New Roman"/>
          <w:snapToGrid/>
          <w:color w:val="000000"/>
          <w:kern w:val="0"/>
          <w:sz w:val="24"/>
          <w:szCs w:val="24"/>
          <w:lang w:val="en-US" w:eastAsia="zh-CN" w:bidi="ar-SA"/>
        </w:rPr>
        <w:t>联系电话：15173976782</w:t>
      </w:r>
      <w:r>
        <w:rPr>
          <w:rFonts w:hint="eastAsia" w:ascii="Times New Roman" w:hAnsi="Times New Roman" w:eastAsia="仿宋_GB2312" w:cs="Times New Roman"/>
          <w:snapToGrid/>
          <w:color w:val="000000"/>
          <w:kern w:val="0"/>
          <w:sz w:val="24"/>
          <w:szCs w:val="24"/>
          <w:lang w:val="en-US" w:eastAsia="zh-CN" w:bidi="ar-SA"/>
        </w:rPr>
        <w:t xml:space="preserve"> </w:t>
      </w:r>
    </w:p>
    <w:p w14:paraId="292201C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B65CAC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4785FF0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6593A95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E4E052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4DD68AC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27E3AF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1A543B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65F3E67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6EC54A7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31922C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3870C39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2C755D0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hint="default" w:ascii="Calibri" w:hAnsi="Calibri" w:cs="Calibri"/>
          <w:i w:val="0"/>
          <w:iCs w:val="0"/>
          <w:caps w:val="0"/>
          <w:color w:val="000000"/>
          <w:spacing w:val="0"/>
          <w:sz w:val="24"/>
          <w:szCs w:val="24"/>
        </w:rPr>
      </w:pPr>
    </w:p>
    <w:p w14:paraId="7E4163EA">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0"/>
        <w:jc w:val="both"/>
        <w:textAlignment w:val="auto"/>
        <w:rPr>
          <w:rFonts w:hint="eastAsia" w:ascii="方正小标宋_GBK" w:hAnsi="方正小标宋_GBK" w:eastAsia="方正小标宋_GBK" w:cs="方正小标宋_GBK"/>
          <w:i w:val="0"/>
          <w:iCs w:val="0"/>
          <w:caps w:val="0"/>
          <w:color w:val="000000"/>
          <w:spacing w:val="0"/>
          <w:sz w:val="32"/>
          <w:szCs w:val="32"/>
          <w:shd w:val="clear" w:fill="FFFFFF"/>
          <w:lang w:val="en-US" w:eastAsia="zh-CN"/>
        </w:rPr>
      </w:pPr>
    </w:p>
    <w:p w14:paraId="4613E63E">
      <w:pPr>
        <w:widowControl w:val="0"/>
        <w:kinsoku/>
        <w:autoSpaceDE/>
        <w:autoSpaceDN/>
        <w:adjustRightInd/>
        <w:snapToGrid/>
        <w:spacing w:line="600" w:lineRule="exact"/>
        <w:jc w:val="both"/>
        <w:textAlignment w:val="auto"/>
        <w:rPr>
          <w:rFonts w:hint="default"/>
          <w:lang w:val="en-US" w:eastAsia="zh-CN"/>
        </w:rPr>
      </w:pPr>
      <w:r>
        <w:rPr>
          <w:rFonts w:hint="default" w:ascii="Times New Roman" w:hAnsi="Times New Roman" w:eastAsia="仿宋_GB2312" w:cs="Times New Roman"/>
          <w:snapToGrid/>
          <w:color w:val="000000"/>
          <w:kern w:val="0"/>
          <w:sz w:val="24"/>
          <w:szCs w:val="24"/>
          <w:lang w:val="en-US" w:eastAsia="zh-CN" w:bidi="ar-SA"/>
        </w:rPr>
        <w:t>：</w:t>
      </w:r>
      <w:r>
        <w:rPr>
          <w:rFonts w:hint="eastAsia" w:ascii="Times New Roman" w:hAnsi="Times New Roman" w:eastAsia="仿宋_GB2312" w:cs="Times New Roman"/>
          <w:snapToGrid/>
          <w:color w:val="000000"/>
          <w:kern w:val="0"/>
          <w:sz w:val="24"/>
          <w:szCs w:val="24"/>
          <w:lang w:val="en-US" w:eastAsia="zh-CN" w:bidi="ar-SA"/>
        </w:rPr>
        <w:t xml:space="preserve"> </w:t>
      </w: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6D064C-38B3-43B5-A963-BBD3581E6138}"/>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2EEE438-BA34-441D-AFE4-925306FE9EAD}"/>
  </w:font>
  <w:font w:name="Calibri Light">
    <w:panose1 w:val="020F0302020204030204"/>
    <w:charset w:val="00"/>
    <w:family w:val="auto"/>
    <w:pitch w:val="default"/>
    <w:sig w:usb0="A00002EF" w:usb1="4000207B" w:usb2="00000000" w:usb3="00000000" w:csb0="2000019F" w:csb1="00000000"/>
  </w:font>
  <w:font w:name="楷体_GB2312">
    <w:altName w:val="楷体"/>
    <w:panose1 w:val="00000000000000000000"/>
    <w:charset w:val="00"/>
    <w:family w:val="auto"/>
    <w:pitch w:val="default"/>
    <w:sig w:usb0="00000000" w:usb1="00000000" w:usb2="00000000" w:usb3="00000000" w:csb0="00000000" w:csb1="00000000"/>
    <w:embedRegular r:id="rId3" w:fontKey="{4086E944-111D-4A26-8423-1E8E2C43A3AE}"/>
  </w:font>
  <w:font w:name="仿宋">
    <w:panose1 w:val="02010609060101010101"/>
    <w:charset w:val="86"/>
    <w:family w:val="auto"/>
    <w:pitch w:val="default"/>
    <w:sig w:usb0="800002BF" w:usb1="38CF7CFA" w:usb2="00000016" w:usb3="00000000" w:csb0="00040001" w:csb1="00000000"/>
    <w:embedRegular r:id="rId4" w:fontKey="{7F28A67A-AD9F-45B4-9E15-F6FCD0D8B9E5}"/>
  </w:font>
  <w:font w:name="微软雅黑">
    <w:panose1 w:val="020B0503020204020204"/>
    <w:charset w:val="86"/>
    <w:family w:val="auto"/>
    <w:pitch w:val="default"/>
    <w:sig w:usb0="80000287" w:usb1="280F3C52" w:usb2="00000016" w:usb3="00000000" w:csb0="0004001F" w:csb1="00000000"/>
    <w:embedRegular r:id="rId5" w:fontKey="{DD5341AC-8258-407A-9BDE-1B2C168155E6}"/>
  </w:font>
  <w:font w:name="楷体">
    <w:panose1 w:val="02010609060101010101"/>
    <w:charset w:val="86"/>
    <w:family w:val="auto"/>
    <w:pitch w:val="default"/>
    <w:sig w:usb0="800002BF" w:usb1="38CF7CFA" w:usb2="00000016" w:usb3="00000000" w:csb0="00040001" w:csb1="00000000"/>
    <w:embedRegular r:id="rId6" w:fontKey="{9C1468A3-7386-4287-BD5F-5BDA57C5868F}"/>
  </w:font>
  <w:font w:name="方正小标宋_GBK">
    <w:panose1 w:val="02000000000000000000"/>
    <w:charset w:val="86"/>
    <w:family w:val="auto"/>
    <w:pitch w:val="default"/>
    <w:sig w:usb0="A00002BF" w:usb1="38CF7CFA" w:usb2="00082016" w:usb3="00000000" w:csb0="00040001" w:csb1="00000000"/>
    <w:embedRegular r:id="rId7" w:fontKey="{C8D05693-80CF-4CD7-90BA-11F66ADB01E9}"/>
  </w:font>
  <w:font w:name="仿宋_GB2312">
    <w:altName w:val="仿宋"/>
    <w:panose1 w:val="02010609030101010101"/>
    <w:charset w:val="86"/>
    <w:family w:val="auto"/>
    <w:pitch w:val="default"/>
    <w:sig w:usb0="00000000" w:usb1="00000000" w:usb2="00000000" w:usb3="00000000" w:csb0="00040000" w:csb1="00000000"/>
    <w:embedRegular r:id="rId8" w:fontKey="{D02689E9-91E6-4E9C-AFB1-71747616625C}"/>
  </w:font>
  <w:font w:name="方正小标宋简体">
    <w:altName w:val="黑体"/>
    <w:panose1 w:val="03000509000000000000"/>
    <w:charset w:val="86"/>
    <w:family w:val="auto"/>
    <w:pitch w:val="default"/>
    <w:sig w:usb0="00000000" w:usb1="00000000" w:usb2="00000000" w:usb3="00000000" w:csb0="00040000" w:csb1="00000000"/>
    <w:embedRegular r:id="rId9" w:fontKey="{E583C77F-41BC-4631-9F38-372EDDA67FB8}"/>
  </w:font>
  <w:font w:name="方正仿宋_GB2312">
    <w:panose1 w:val="02000000000000000000"/>
    <w:charset w:val="86"/>
    <w:family w:val="auto"/>
    <w:pitch w:val="default"/>
    <w:sig w:usb0="A00002BF" w:usb1="184F6CFA" w:usb2="00000012" w:usb3="00000000" w:csb0="00040001" w:csb1="00000000"/>
    <w:embedRegular r:id="rId10" w:fontKey="{419EE194-52C2-499C-A24F-E1A70918512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37B10">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F84EE3">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F84EE3">
                    <w:pPr>
                      <w:pStyle w:val="4"/>
                    </w:pPr>
                    <w:r>
                      <w:rPr>
                        <w:rFonts w:hint="eastAsia" w:ascii="方正仿宋_GB2312" w:hAnsi="方正仿宋_GB2312" w:eastAsia="方正仿宋_GB2312" w:cs="方正仿宋_GB2312"/>
                        <w:sz w:val="28"/>
                        <w:szCs w:val="28"/>
                      </w:rPr>
                      <w:fldChar w:fldCharType="begin"/>
                    </w:r>
                    <w:r>
                      <w:rPr>
                        <w:rFonts w:hint="eastAsia" w:ascii="方正仿宋_GB2312" w:hAnsi="方正仿宋_GB2312" w:eastAsia="方正仿宋_GB2312" w:cs="方正仿宋_GB2312"/>
                        <w:sz w:val="28"/>
                        <w:szCs w:val="28"/>
                      </w:rPr>
                      <w:instrText xml:space="preserve"> PAGE  \* MERGEFORMAT </w:instrText>
                    </w:r>
                    <w:r>
                      <w:rPr>
                        <w:rFonts w:hint="eastAsia" w:ascii="方正仿宋_GB2312" w:hAnsi="方正仿宋_GB2312" w:eastAsia="方正仿宋_GB2312" w:cs="方正仿宋_GB2312"/>
                        <w:sz w:val="28"/>
                        <w:szCs w:val="28"/>
                      </w:rPr>
                      <w:fldChar w:fldCharType="separate"/>
                    </w:r>
                    <w:r>
                      <w:rPr>
                        <w:rFonts w:hint="eastAsia" w:ascii="方正仿宋_GB2312" w:hAnsi="方正仿宋_GB2312" w:eastAsia="方正仿宋_GB2312" w:cs="方正仿宋_GB2312"/>
                        <w:sz w:val="28"/>
                        <w:szCs w:val="28"/>
                      </w:rPr>
                      <w:t>1</w:t>
                    </w:r>
                    <w:r>
                      <w:rPr>
                        <w:rFonts w:hint="eastAsia" w:ascii="方正仿宋_GB2312" w:hAnsi="方正仿宋_GB2312" w:eastAsia="方正仿宋_GB2312" w:cs="方正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1032E6"/>
    <w:multiLevelType w:val="singleLevel"/>
    <w:tmpl w:val="A41032E6"/>
    <w:lvl w:ilvl="0" w:tentative="0">
      <w:start w:val="2"/>
      <w:numFmt w:val="chineseCounting"/>
      <w:suff w:val="nothing"/>
      <w:lvlText w:val="（%1）"/>
      <w:lvlJc w:val="left"/>
      <w:rPr>
        <w:rFonts w:hint="eastAsia"/>
      </w:rPr>
    </w:lvl>
  </w:abstractNum>
  <w:abstractNum w:abstractNumId="1">
    <w:nsid w:val="0012B4C6"/>
    <w:multiLevelType w:val="singleLevel"/>
    <w:tmpl w:val="0012B4C6"/>
    <w:lvl w:ilvl="0" w:tentative="0">
      <w:start w:val="2"/>
      <w:numFmt w:val="chineseCounting"/>
      <w:suff w:val="nothing"/>
      <w:lvlText w:val="（%1）"/>
      <w:lvlJc w:val="left"/>
      <w:rPr>
        <w:rFonts w:hint="eastAsia"/>
      </w:rPr>
    </w:lvl>
  </w:abstractNum>
  <w:abstractNum w:abstractNumId="2">
    <w:nsid w:val="7D351EC8"/>
    <w:multiLevelType w:val="singleLevel"/>
    <w:tmpl w:val="7D351EC8"/>
    <w:lvl w:ilvl="0" w:tentative="0">
      <w:start w:val="4"/>
      <w:numFmt w:val="chineseCounting"/>
      <w:suff w:val="nothing"/>
      <w:lvlText w:val="%1、"/>
      <w:lvlJc w:val="left"/>
      <w:rPr>
        <w:rFonts w:hint="eastAsia"/>
      </w:rPr>
    </w:lvl>
  </w:abstractNum>
  <w:abstractNum w:abstractNumId="3">
    <w:nsid w:val="7D6BD407"/>
    <w:multiLevelType w:val="singleLevel"/>
    <w:tmpl w:val="7D6BD407"/>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4YmQ5Y2MzMGVhMDY4NDkwNTBhM2FiMTI1OTFmZTEifQ=="/>
    <w:docVar w:name="KSO_WPS_MARK_KEY" w:val="9920a277-c0c3-43b4-93d3-1636fe398e0b"/>
  </w:docVars>
  <w:rsids>
    <w:rsidRoot w:val="753C4E9B"/>
    <w:rsid w:val="05E95AA6"/>
    <w:rsid w:val="0C4447D8"/>
    <w:rsid w:val="0D276746"/>
    <w:rsid w:val="0D464D9C"/>
    <w:rsid w:val="0E956870"/>
    <w:rsid w:val="1223366A"/>
    <w:rsid w:val="143877FD"/>
    <w:rsid w:val="18710338"/>
    <w:rsid w:val="19E805B2"/>
    <w:rsid w:val="277E6F02"/>
    <w:rsid w:val="29990575"/>
    <w:rsid w:val="312A2265"/>
    <w:rsid w:val="36FC0F5D"/>
    <w:rsid w:val="375773F8"/>
    <w:rsid w:val="389F5D51"/>
    <w:rsid w:val="3B283CD1"/>
    <w:rsid w:val="419B2857"/>
    <w:rsid w:val="552A0475"/>
    <w:rsid w:val="56656548"/>
    <w:rsid w:val="5A5915AC"/>
    <w:rsid w:val="609533CF"/>
    <w:rsid w:val="657D46C0"/>
    <w:rsid w:val="6A0A70D1"/>
    <w:rsid w:val="6A12486A"/>
    <w:rsid w:val="6C035FA6"/>
    <w:rsid w:val="753C4E9B"/>
    <w:rsid w:val="781113A7"/>
    <w:rsid w:val="791E6510"/>
    <w:rsid w:val="7C8D4A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line="560" w:lineRule="exact"/>
      <w:ind w:firstLine="200" w:firstLineChars="200"/>
      <w:outlineLvl w:val="1"/>
    </w:pPr>
    <w:rPr>
      <w:rFonts w:eastAsia="楷体_GB2312" w:asciiTheme="majorAscii" w:hAnsiTheme="majorAscii" w:cstheme="majorBidi"/>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Indent"/>
    <w:basedOn w:val="1"/>
    <w:unhideWhenUsed/>
    <w:qFormat/>
    <w:uiPriority w:val="0"/>
    <w:pPr>
      <w:spacing w:beforeLines="0" w:afterLines="0"/>
      <w:ind w:firstLine="640" w:firstLineChars="200"/>
    </w:pPr>
    <w:rPr>
      <w:rFonts w:hint="default"/>
      <w:sz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nhideWhenUsed/>
    <w:qFormat/>
    <w:uiPriority w:val="99"/>
    <w:pPr>
      <w:spacing w:beforeLines="0" w:afterLines="0"/>
    </w:pPr>
    <w:rPr>
      <w:rFonts w:hint="default"/>
      <w:sz w:val="21"/>
      <w:szCs w:val="24"/>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3"/>
    <w:unhideWhenUsed/>
    <w:qFormat/>
    <w:uiPriority w:val="99"/>
    <w:pPr>
      <w:spacing w:beforeLines="0" w:afterLines="0"/>
      <w:ind w:firstLine="420"/>
    </w:pPr>
    <w:rPr>
      <w:rFonts w:hint="default"/>
      <w:sz w:val="32"/>
    </w:rPr>
  </w:style>
  <w:style w:type="paragraph" w:customStyle="1" w:styleId="11">
    <w:name w:val="标题1"/>
    <w:basedOn w:val="2"/>
    <w:qFormat/>
    <w:uiPriority w:val="0"/>
    <w:rPr>
      <w:rFonts w:eastAsia="黑体"/>
    </w:rPr>
  </w:style>
  <w:style w:type="paragraph" w:customStyle="1" w:styleId="12">
    <w:name w:val="首行缩进"/>
    <w:basedOn w:val="1"/>
    <w:qFormat/>
    <w:uiPriority w:val="0"/>
    <w:pPr>
      <w:ind w:firstLine="480" w:firstLineChars="200"/>
    </w:pPr>
    <w:rPr>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3270</Words>
  <Characters>3583</Characters>
  <Lines>0</Lines>
  <Paragraphs>0</Paragraphs>
  <TotalTime>42</TotalTime>
  <ScaleCrop>false</ScaleCrop>
  <LinksUpToDate>false</LinksUpToDate>
  <CharactersWithSpaces>3794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2024-02-22T02:03:00Z</dcterms:created>
  <dc:creator>1402836399</dc:creator>
  <cp:lastModifiedBy>啊斌</cp:lastModifiedBy>
  <cp:lastPrinted>2024-04-04T04:38:00Z</cp:lastPrinted>
  <dcterms:modified xsi:type="dcterms:W3CDTF">2024-08-26T08:26:27Z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947801C17FE04630BF4BA75B0D0BF76D_13</vt:lpwstr>
  </property>
</Properties>
</file>