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i w:val="0"/>
          <w:iCs w:val="0"/>
          <w:caps w:val="0"/>
          <w:color w:val="auto"/>
          <w:spacing w:val="0"/>
          <w:kern w:val="44"/>
          <w:sz w:val="44"/>
          <w:szCs w:val="44"/>
          <w:shd w:val="clear" w:fill="FFFFFF"/>
          <w:lang w:val="en-US" w:eastAsia="zh-CN" w:bidi="ar"/>
        </w:rPr>
      </w:pPr>
      <w:r>
        <w:rPr>
          <w:rFonts w:hint="eastAsia" w:ascii="宋体" w:hAnsi="宋体" w:eastAsia="宋体" w:cs="宋体"/>
          <w:b/>
          <w:bCs/>
          <w:i w:val="0"/>
          <w:iCs w:val="0"/>
          <w:caps w:val="0"/>
          <w:color w:val="auto"/>
          <w:spacing w:val="0"/>
          <w:kern w:val="44"/>
          <w:sz w:val="44"/>
          <w:szCs w:val="44"/>
          <w:shd w:val="clear" w:fill="FFFFFF"/>
          <w:lang w:val="en-US" w:eastAsia="zh-CN" w:bidi="ar"/>
        </w:rPr>
        <w:t>北塔区委网信办</w:t>
      </w:r>
      <w:r>
        <w:rPr>
          <w:rFonts w:hint="eastAsia" w:ascii="宋体" w:hAnsi="宋体" w:eastAsia="宋体" w:cs="宋体"/>
          <w:b/>
          <w:bCs/>
          <w:i w:val="0"/>
          <w:iCs w:val="0"/>
          <w:caps w:val="0"/>
          <w:color w:val="auto"/>
          <w:spacing w:val="0"/>
          <w:kern w:val="44"/>
          <w:sz w:val="44"/>
          <w:szCs w:val="44"/>
          <w:shd w:val="clear" w:fill="FFFFFF"/>
          <w:lang w:val="en-US" w:eastAsia="zh-CN" w:bidi="ar"/>
        </w:rPr>
        <w:t>202</w:t>
      </w:r>
      <w:r>
        <w:rPr>
          <w:rFonts w:hint="eastAsia" w:ascii="宋体" w:hAnsi="宋体" w:eastAsia="宋体" w:cs="宋体"/>
          <w:b/>
          <w:bCs/>
          <w:i w:val="0"/>
          <w:iCs w:val="0"/>
          <w:caps w:val="0"/>
          <w:color w:val="auto"/>
          <w:spacing w:val="0"/>
          <w:kern w:val="44"/>
          <w:sz w:val="44"/>
          <w:szCs w:val="44"/>
          <w:shd w:val="clear" w:fill="FFFFFF"/>
          <w:lang w:val="en-US" w:eastAsia="zh-CN" w:bidi="ar"/>
        </w:rPr>
        <w:t>2</w:t>
      </w:r>
      <w:r>
        <w:rPr>
          <w:rFonts w:hint="eastAsia" w:ascii="宋体" w:hAnsi="宋体" w:eastAsia="宋体" w:cs="宋体"/>
          <w:b/>
          <w:bCs/>
          <w:i w:val="0"/>
          <w:iCs w:val="0"/>
          <w:caps w:val="0"/>
          <w:color w:val="auto"/>
          <w:spacing w:val="0"/>
          <w:kern w:val="44"/>
          <w:sz w:val="44"/>
          <w:szCs w:val="44"/>
          <w:shd w:val="clear" w:fill="FFFFFF"/>
          <w:lang w:val="en-US" w:eastAsia="zh-CN" w:bidi="ar"/>
        </w:rPr>
        <w:t>年度部门整体支出</w:t>
      </w:r>
    </w:p>
    <w:p>
      <w:pPr>
        <w:keepNext w:val="0"/>
        <w:keepLines w:val="0"/>
        <w:widowControl/>
        <w:suppressLineNumbers w:val="0"/>
        <w:jc w:val="center"/>
        <w:rPr>
          <w:rFonts w:hint="eastAsia" w:ascii="宋体" w:hAnsi="宋体" w:eastAsia="宋体" w:cs="宋体"/>
          <w:b/>
          <w:bCs/>
          <w:i w:val="0"/>
          <w:iCs w:val="0"/>
          <w:caps w:val="0"/>
          <w:color w:val="auto"/>
          <w:spacing w:val="0"/>
          <w:kern w:val="44"/>
          <w:sz w:val="44"/>
          <w:szCs w:val="44"/>
          <w:shd w:val="clear" w:fill="FFFFFF"/>
          <w:lang w:val="en-US" w:eastAsia="zh-CN" w:bidi="ar"/>
        </w:rPr>
      </w:pPr>
      <w:r>
        <w:rPr>
          <w:rFonts w:hint="eastAsia" w:ascii="宋体" w:hAnsi="宋体" w:eastAsia="宋体" w:cs="宋体"/>
          <w:b/>
          <w:bCs/>
          <w:i w:val="0"/>
          <w:iCs w:val="0"/>
          <w:caps w:val="0"/>
          <w:color w:val="auto"/>
          <w:spacing w:val="0"/>
          <w:kern w:val="44"/>
          <w:sz w:val="44"/>
          <w:szCs w:val="44"/>
          <w:shd w:val="clear" w:fill="FFFFFF"/>
          <w:lang w:val="en-US" w:eastAsia="zh-CN" w:bidi="ar"/>
        </w:rPr>
        <w:t>绩效评价报</w:t>
      </w:r>
      <w:r>
        <w:rPr>
          <w:rFonts w:hint="eastAsia" w:ascii="宋体" w:hAnsi="宋体" w:eastAsia="宋体" w:cs="宋体"/>
          <w:b/>
          <w:bCs/>
          <w:i w:val="0"/>
          <w:iCs w:val="0"/>
          <w:caps w:val="0"/>
          <w:color w:val="auto"/>
          <w:spacing w:val="0"/>
          <w:kern w:val="44"/>
          <w:sz w:val="44"/>
          <w:szCs w:val="44"/>
          <w:shd w:val="clear" w:fill="FFFFFF"/>
          <w:lang w:val="en-US" w:eastAsia="zh-CN" w:bidi="ar"/>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bookmarkStart w:id="1" w:name="_GoBack"/>
      <w:bookmarkEnd w:id="1"/>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i w:val="0"/>
          <w:iCs w:val="0"/>
          <w:caps w:val="0"/>
          <w:color w:val="000000"/>
          <w:spacing w:val="0"/>
          <w:sz w:val="32"/>
          <w:szCs w:val="32"/>
        </w:rPr>
        <w:t>机构</w:t>
      </w:r>
      <w:r>
        <w:rPr>
          <w:rFonts w:hint="eastAsia" w:ascii="宋体" w:hAnsi="宋体" w:eastAsia="宋体" w:cs="宋体"/>
          <w:i w:val="0"/>
          <w:iCs w:val="0"/>
          <w:caps w:val="0"/>
          <w:color w:val="000000"/>
          <w:spacing w:val="0"/>
          <w:sz w:val="32"/>
          <w:szCs w:val="32"/>
          <w:lang w:eastAsia="zh-CN"/>
        </w:rPr>
        <w:t>设置情况</w:t>
      </w:r>
      <w:r>
        <w:rPr>
          <w:rFonts w:hint="eastAsia"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val="en-US" w:eastAsia="zh-CN"/>
        </w:rPr>
        <w:t>此项内容依法不予公开。</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i w:val="0"/>
          <w:iCs w:val="0"/>
          <w:caps w:val="0"/>
          <w:color w:val="000000"/>
          <w:spacing w:val="0"/>
          <w:sz w:val="32"/>
          <w:szCs w:val="32"/>
          <w:lang w:eastAsia="zh-CN"/>
        </w:rPr>
        <w:t>人员情况：</w:t>
      </w:r>
      <w:r>
        <w:rPr>
          <w:rFonts w:hint="eastAsia" w:ascii="宋体" w:hAnsi="宋体" w:eastAsia="宋体" w:cs="宋体"/>
          <w:color w:val="auto"/>
          <w:kern w:val="2"/>
          <w:sz w:val="32"/>
          <w:szCs w:val="32"/>
          <w:lang w:val="en-US" w:eastAsia="zh-CN" w:bidi="ar"/>
        </w:rPr>
        <w:t>本部门</w:t>
      </w:r>
      <w:r>
        <w:rPr>
          <w:rFonts w:hint="eastAsia" w:ascii="宋体" w:hAnsi="宋体" w:eastAsia="宋体" w:cs="宋体"/>
          <w:color w:val="000000"/>
          <w:kern w:val="2"/>
          <w:sz w:val="32"/>
          <w:szCs w:val="32"/>
        </w:rPr>
        <w:t>共有编制人数</w:t>
      </w:r>
      <w:r>
        <w:rPr>
          <w:rFonts w:hint="eastAsia" w:ascii="宋体" w:hAnsi="宋体" w:eastAsia="宋体" w:cs="宋体"/>
          <w:color w:val="000000"/>
          <w:kern w:val="2"/>
          <w:sz w:val="32"/>
          <w:szCs w:val="32"/>
          <w:lang w:val="en-US" w:eastAsia="zh-CN"/>
        </w:rPr>
        <w:t>8</w:t>
      </w:r>
      <w:r>
        <w:rPr>
          <w:rFonts w:hint="eastAsia" w:ascii="宋体" w:hAnsi="宋体" w:eastAsia="宋体" w:cs="宋体"/>
          <w:color w:val="000000"/>
          <w:kern w:val="2"/>
          <w:sz w:val="32"/>
          <w:szCs w:val="32"/>
        </w:rPr>
        <w:t>人，实有人数</w:t>
      </w:r>
      <w:r>
        <w:rPr>
          <w:rFonts w:hint="eastAsia" w:ascii="宋体" w:hAnsi="宋体" w:eastAsia="宋体" w:cs="宋体"/>
          <w:color w:val="000000"/>
          <w:kern w:val="2"/>
          <w:sz w:val="32"/>
          <w:szCs w:val="32"/>
          <w:lang w:val="en-US" w:eastAsia="zh-CN"/>
        </w:rPr>
        <w:t>8</w:t>
      </w:r>
      <w:r>
        <w:rPr>
          <w:rFonts w:hint="eastAsia" w:ascii="宋体" w:hAnsi="宋体" w:eastAsia="宋体" w:cs="宋体"/>
          <w:color w:val="000000"/>
          <w:kern w:val="2"/>
          <w:sz w:val="32"/>
          <w:szCs w:val="32"/>
        </w:rPr>
        <w:t>人</w:t>
      </w:r>
    </w:p>
    <w:p>
      <w:pPr>
        <w:numPr>
          <w:ilvl w:val="0"/>
          <w:numId w:val="0"/>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（二）主要工作职责</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val="en-US" w:eastAsia="zh-CN"/>
        </w:rPr>
        <w:t>此项内容依法不予公开。</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kern w:val="2"/>
          <w:sz w:val="32"/>
          <w:szCs w:val="32"/>
          <w:lang w:val="en-US" w:eastAsia="zh-CN" w:bidi="ar"/>
        </w:rPr>
        <w:t>2022年本部门全年预算数125.57万元，本年实际支出</w:t>
      </w:r>
      <w:r>
        <w:rPr>
          <w:rFonts w:hint="eastAsia" w:ascii="宋体" w:hAnsi="宋体" w:eastAsia="宋体" w:cs="宋体"/>
          <w:i w:val="0"/>
          <w:iCs w:val="0"/>
          <w:caps w:val="0"/>
          <w:color w:val="000000"/>
          <w:spacing w:val="0"/>
          <w:sz w:val="32"/>
          <w:szCs w:val="32"/>
          <w:lang w:val="en-US" w:eastAsia="zh-CN"/>
        </w:rPr>
        <w:t>164.33</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eastAsia="zh-CN"/>
        </w:rPr>
        <w:t>，完成全年预算的</w:t>
      </w:r>
      <w:r>
        <w:rPr>
          <w:rFonts w:hint="eastAsia" w:ascii="宋体" w:hAnsi="宋体" w:eastAsia="宋体" w:cs="宋体"/>
          <w:i w:val="0"/>
          <w:iCs w:val="0"/>
          <w:caps w:val="0"/>
          <w:color w:val="000000"/>
          <w:spacing w:val="0"/>
          <w:sz w:val="32"/>
          <w:szCs w:val="32"/>
          <w:lang w:val="en-US" w:eastAsia="zh-CN"/>
        </w:rPr>
        <w:t>130.87%</w:t>
      </w:r>
      <w:r>
        <w:rPr>
          <w:rFonts w:hint="eastAsia" w:ascii="宋体" w:hAnsi="宋体" w:eastAsia="宋体" w:cs="宋体"/>
          <w:i w:val="0"/>
          <w:iCs w:val="0"/>
          <w:caps w:val="0"/>
          <w:color w:val="000000"/>
          <w:spacing w:val="0"/>
          <w:sz w:val="32"/>
          <w:szCs w:val="32"/>
        </w:rPr>
        <w:t>。与上一年度相比，</w:t>
      </w:r>
      <w:r>
        <w:rPr>
          <w:rFonts w:hint="eastAsia" w:ascii="宋体" w:hAnsi="宋体" w:eastAsia="宋体" w:cs="宋体"/>
          <w:i w:val="0"/>
          <w:iCs w:val="0"/>
          <w:caps w:val="0"/>
          <w:color w:val="000000"/>
          <w:spacing w:val="0"/>
          <w:sz w:val="32"/>
          <w:szCs w:val="32"/>
          <w:lang w:eastAsia="zh-CN"/>
        </w:rPr>
        <w:t>实际支出</w:t>
      </w:r>
      <w:r>
        <w:rPr>
          <w:rFonts w:hint="eastAsia" w:ascii="宋体" w:hAnsi="宋体" w:eastAsia="宋体" w:cs="宋体"/>
          <w:i w:val="0"/>
          <w:iCs w:val="0"/>
          <w:caps w:val="0"/>
          <w:color w:val="000000"/>
          <w:spacing w:val="0"/>
          <w:sz w:val="32"/>
          <w:szCs w:val="32"/>
          <w:lang w:val="en-US" w:eastAsia="zh-CN"/>
        </w:rPr>
        <w:t>增加26.77</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val="en-US" w:eastAsia="zh-CN"/>
        </w:rPr>
        <w:t>上升19.46</w:t>
      </w:r>
      <w:r>
        <w:rPr>
          <w:rFonts w:hint="eastAsia" w:ascii="宋体" w:hAnsi="宋体" w:eastAsia="宋体" w:cs="宋体"/>
          <w:i w:val="0"/>
          <w:iCs w:val="0"/>
          <w:caps w:val="0"/>
          <w:color w:val="000000"/>
          <w:spacing w:val="0"/>
          <w:sz w:val="32"/>
          <w:szCs w:val="32"/>
        </w:rPr>
        <w:t>%。主要原因是</w:t>
      </w:r>
      <w:r>
        <w:rPr>
          <w:rFonts w:hint="eastAsia" w:ascii="宋体" w:hAnsi="宋体" w:eastAsia="宋体" w:cs="宋体"/>
          <w:i w:val="0"/>
          <w:iCs w:val="0"/>
          <w:caps w:val="0"/>
          <w:color w:val="000000"/>
          <w:spacing w:val="0"/>
          <w:sz w:val="32"/>
          <w:szCs w:val="32"/>
          <w:lang w:val="en-US" w:eastAsia="zh-CN"/>
        </w:rPr>
        <w:t>人员经费和公用经费的增加。</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w:t>
      </w:r>
      <w:r>
        <w:rPr>
          <w:rFonts w:hint="eastAsia" w:ascii="宋体" w:hAnsi="宋体" w:eastAsia="宋体" w:cs="宋体"/>
          <w:i w:val="0"/>
          <w:iCs w:val="0"/>
          <w:caps w:val="0"/>
          <w:color w:val="000000"/>
          <w:spacing w:val="0"/>
          <w:sz w:val="32"/>
          <w:szCs w:val="32"/>
          <w:lang w:val="en-US" w:eastAsia="zh-CN"/>
        </w:rPr>
        <w:t>164.33</w:t>
      </w:r>
      <w:r>
        <w:rPr>
          <w:rFonts w:hint="eastAsia" w:ascii="宋体" w:hAnsi="宋体" w:eastAsia="宋体" w:cs="宋体"/>
          <w:i w:val="0"/>
          <w:iCs w:val="0"/>
          <w:caps w:val="0"/>
          <w:color w:val="000000"/>
          <w:spacing w:val="0"/>
          <w:sz w:val="32"/>
          <w:szCs w:val="32"/>
        </w:rPr>
        <w:t>万元，其中：财政拨款收入</w:t>
      </w:r>
      <w:r>
        <w:rPr>
          <w:rFonts w:hint="eastAsia" w:ascii="宋体" w:hAnsi="宋体" w:eastAsia="宋体" w:cs="宋体"/>
          <w:i w:val="0"/>
          <w:iCs w:val="0"/>
          <w:caps w:val="0"/>
          <w:color w:val="000000"/>
          <w:spacing w:val="0"/>
          <w:sz w:val="32"/>
          <w:szCs w:val="32"/>
          <w:lang w:val="en-US" w:eastAsia="zh-CN"/>
        </w:rPr>
        <w:t>162.49</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98.88</w:t>
      </w:r>
      <w:r>
        <w:rPr>
          <w:rFonts w:hint="eastAsia" w:ascii="宋体" w:hAnsi="宋体" w:eastAsia="宋体" w:cs="宋体"/>
          <w:i w:val="0"/>
          <w:iCs w:val="0"/>
          <w:caps w:val="0"/>
          <w:color w:val="000000"/>
          <w:spacing w:val="0"/>
          <w:sz w:val="32"/>
          <w:szCs w:val="32"/>
        </w:rPr>
        <w:t>%；上级补助收入0万元，占0%；事业收入0万元，占0%；经营收入0万元，占0%；附属单位上缴收入0万元，占0%；其他收入</w:t>
      </w:r>
      <w:r>
        <w:rPr>
          <w:rFonts w:hint="eastAsia" w:ascii="宋体" w:hAnsi="宋体" w:eastAsia="宋体" w:cs="宋体"/>
          <w:i w:val="0"/>
          <w:iCs w:val="0"/>
          <w:caps w:val="0"/>
          <w:color w:val="000000"/>
          <w:spacing w:val="0"/>
          <w:sz w:val="32"/>
          <w:szCs w:val="32"/>
          <w:lang w:val="en-US" w:eastAsia="zh-CN"/>
        </w:rPr>
        <w:t>1.84</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1.12</w:t>
      </w:r>
      <w:r>
        <w:rPr>
          <w:rFonts w:hint="eastAsia" w:ascii="宋体" w:hAnsi="宋体" w:eastAsia="宋体" w:cs="宋体"/>
          <w:i w:val="0"/>
          <w:iCs w:val="0"/>
          <w:caps w:val="0"/>
          <w:color w:val="000000"/>
          <w:spacing w:val="0"/>
          <w:sz w:val="32"/>
          <w:szCs w:val="32"/>
        </w:rPr>
        <w:t>%</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2022年度支出合计</w:t>
      </w:r>
      <w:r>
        <w:rPr>
          <w:rFonts w:hint="eastAsia" w:ascii="宋体" w:hAnsi="宋体" w:eastAsia="宋体" w:cs="宋体"/>
          <w:i w:val="0"/>
          <w:iCs w:val="0"/>
          <w:caps w:val="0"/>
          <w:color w:val="000000"/>
          <w:spacing w:val="0"/>
          <w:sz w:val="32"/>
          <w:szCs w:val="32"/>
          <w:lang w:val="en-US" w:eastAsia="zh-CN"/>
        </w:rPr>
        <w:t>164.33</w:t>
      </w:r>
      <w:r>
        <w:rPr>
          <w:rFonts w:hint="eastAsia" w:ascii="宋体" w:hAnsi="宋体" w:eastAsia="宋体" w:cs="宋体"/>
          <w:i w:val="0"/>
          <w:iCs w:val="0"/>
          <w:caps w:val="0"/>
          <w:color w:val="000000"/>
          <w:spacing w:val="0"/>
          <w:sz w:val="32"/>
          <w:szCs w:val="32"/>
        </w:rPr>
        <w:t>万元，其中：基本支出</w:t>
      </w:r>
      <w:r>
        <w:rPr>
          <w:rFonts w:hint="eastAsia" w:ascii="宋体" w:hAnsi="宋体" w:eastAsia="宋体" w:cs="宋体"/>
          <w:i w:val="0"/>
          <w:iCs w:val="0"/>
          <w:caps w:val="0"/>
          <w:color w:val="000000"/>
          <w:spacing w:val="0"/>
          <w:sz w:val="32"/>
          <w:szCs w:val="32"/>
          <w:lang w:val="en-US" w:eastAsia="zh-CN"/>
        </w:rPr>
        <w:t>164.33</w:t>
      </w:r>
      <w:r>
        <w:rPr>
          <w:rFonts w:hint="eastAsia" w:ascii="宋体" w:hAnsi="宋体" w:eastAsia="宋体" w:cs="宋体"/>
          <w:i w:val="0"/>
          <w:iCs w:val="0"/>
          <w:caps w:val="0"/>
          <w:color w:val="000000"/>
          <w:spacing w:val="0"/>
          <w:sz w:val="32"/>
          <w:szCs w:val="32"/>
        </w:rPr>
        <w:t>万元，占100%；项目支出0万元，占0%；上缴上级支出0万元，占0%；经营支出0万元，占0%；对附属单位补助支出0万元，占0%。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2022年度北塔区委网信办基本支出年初预算安排为</w:t>
      </w:r>
      <w:r>
        <w:rPr>
          <w:rFonts w:hint="eastAsia" w:ascii="宋体" w:hAnsi="宋体" w:eastAsia="宋体" w:cs="宋体"/>
          <w:i w:val="0"/>
          <w:iCs w:val="0"/>
          <w:caps w:val="0"/>
          <w:color w:val="000000"/>
          <w:spacing w:val="0"/>
          <w:sz w:val="32"/>
          <w:szCs w:val="32"/>
          <w:lang w:val="en-US" w:eastAsia="zh-CN"/>
        </w:rPr>
        <w:t>80.57</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万元，本年实际支出为</w:t>
      </w:r>
      <w:r>
        <w:rPr>
          <w:rFonts w:hint="eastAsia" w:ascii="宋体" w:hAnsi="宋体" w:eastAsia="宋体" w:cs="宋体"/>
          <w:i w:val="0"/>
          <w:iCs w:val="0"/>
          <w:caps w:val="0"/>
          <w:color w:val="000000"/>
          <w:spacing w:val="0"/>
          <w:sz w:val="32"/>
          <w:szCs w:val="32"/>
          <w:lang w:val="en-US" w:eastAsia="zh-CN"/>
        </w:rPr>
        <w:t>164.33</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主要为人员经费支出和公用经费支出，其中人员经费支出80.61万元、公用经费支出83.72万元。</w:t>
      </w:r>
    </w:p>
    <w:p>
      <w:pPr>
        <w:numPr>
          <w:ilvl w:val="0"/>
          <w:numId w:val="0"/>
        </w:numPr>
        <w:spacing w:line="480" w:lineRule="auto"/>
        <w:ind w:left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（三）项目支出情况</w:t>
      </w:r>
    </w:p>
    <w:p>
      <w:pPr>
        <w:numPr>
          <w:ilvl w:val="0"/>
          <w:numId w:val="0"/>
        </w:num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本年项目支出年初预算安排为45万元，本年实际支出为0万元，本部门2022年度无项目支出。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⑴2022年财政拨款预算执行数</w:t>
      </w:r>
      <w:r>
        <w:rPr>
          <w:rFonts w:hint="eastAsia" w:ascii="宋体" w:hAnsi="宋体" w:eastAsia="宋体" w:cs="宋体"/>
          <w:i w:val="0"/>
          <w:iCs w:val="0"/>
          <w:caps w:val="0"/>
          <w:color w:val="000000"/>
          <w:spacing w:val="0"/>
          <w:sz w:val="32"/>
          <w:szCs w:val="32"/>
          <w:lang w:val="en-US" w:eastAsia="zh-CN"/>
        </w:rPr>
        <w:t>164.33</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万元，预算安排数</w:t>
      </w:r>
      <w:r>
        <w:rPr>
          <w:rFonts w:hint="eastAsia" w:ascii="宋体" w:hAnsi="宋体" w:eastAsia="宋体" w:cs="宋体"/>
          <w:i w:val="0"/>
          <w:iCs w:val="0"/>
          <w:caps w:val="0"/>
          <w:color w:val="000000"/>
          <w:spacing w:val="0"/>
          <w:sz w:val="32"/>
          <w:szCs w:val="32"/>
          <w:lang w:val="en-US" w:eastAsia="zh-CN"/>
        </w:rPr>
        <w:t>125.57</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万元，预算执行率为</w:t>
      </w:r>
      <w:r>
        <w:rPr>
          <w:rFonts w:hint="eastAsia" w:ascii="宋体" w:hAnsi="宋体" w:eastAsia="宋体" w:cs="宋体"/>
          <w:i w:val="0"/>
          <w:iCs w:val="0"/>
          <w:caps w:val="0"/>
          <w:color w:val="000000"/>
          <w:spacing w:val="0"/>
          <w:sz w:val="32"/>
          <w:szCs w:val="32"/>
          <w:lang w:val="en-US" w:eastAsia="zh-CN"/>
        </w:rPr>
        <w:t>130.87</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当年预算有超支38.76万元。⑵公用经费预算54.46万元，实际支出83.72万元，公用经费控制率为153.73%；（3）“三公经费”年初预算安排0万元，实际支出0万元，（4）政府采购年初预算32万元，实际政府采购金额47.74万元，政府采购执行率149.18%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2、预决算信息公开情况。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w:t>
      </w:r>
      <w:r>
        <w:rPr>
          <w:rFonts w:hint="eastAsia" w:ascii="宋体" w:hAnsi="宋体" w:eastAsia="宋体" w:cs="宋体"/>
          <w:b w:val="0"/>
          <w:bCs w:val="0"/>
          <w:i w:val="0"/>
          <w:iCs w:val="0"/>
          <w:caps w:val="0"/>
          <w:color w:val="auto"/>
          <w:spacing w:val="0"/>
          <w:sz w:val="32"/>
          <w:szCs w:val="32"/>
          <w:highlight w:val="none"/>
          <w:shd w:val="clear" w:fill="FFFFFF"/>
          <w:lang w:val="en-US" w:eastAsia="zh-CN"/>
        </w:rPr>
        <w:t>委网信办</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color w:val="auto"/>
          <w:sz w:val="32"/>
          <w:szCs w:val="32"/>
          <w:lang w:eastAsia="zh-CN"/>
        </w:rPr>
        <w:t>北塔区</w:t>
      </w:r>
      <w:r>
        <w:rPr>
          <w:rFonts w:hint="eastAsia" w:ascii="宋体" w:hAnsi="宋体" w:eastAsia="宋体" w:cs="宋体"/>
          <w:color w:val="auto"/>
          <w:sz w:val="32"/>
          <w:szCs w:val="32"/>
          <w:lang w:val="en-US" w:eastAsia="zh-CN"/>
        </w:rPr>
        <w:t>委网信办</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拥有各类资产总额7.65万元，其中流动资产2.78万元，固定资产净值4.87万元。单位为加强资产管理，内部制定了资产管理制度，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预算执行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预算管理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为规范机关财务管理，建立健全财务管理制度，我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提升支出绩效</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年，我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i w:val="0"/>
          <w:iCs w:val="0"/>
          <w:caps w:val="0"/>
          <w:color w:val="auto"/>
          <w:spacing w:val="0"/>
          <w:kern w:val="2"/>
          <w:sz w:val="32"/>
          <w:szCs w:val="32"/>
          <w:shd w:val="clear" w:fill="FFFFFF"/>
          <w:lang w:val="en-US" w:eastAsia="zh-CN" w:bidi="ar-SA"/>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评价结论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认真组织开展整体支出绩效自评，自评等级“良好”。</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存在的问题及原因分析</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预算编制不够明确和细化，预算编制的合理性需要提高，预算执行力还要进一步加强。资金使用效益有待进一步提高，绩效目标设立不够明确、细化和量化。</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人员素质有待提高。由于人员变动，单位对相关绩效管理业务的熟练，加上缺乏系统的培训，业务操作水平有限。</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改进措施及有关建议</w:t>
      </w:r>
    </w:p>
    <w:p>
      <w:pPr>
        <w:widowControl/>
        <w:spacing w:line="600" w:lineRule="exact"/>
        <w:ind w:firstLine="645"/>
        <w:jc w:val="left"/>
        <w:rPr>
          <w:rFonts w:hint="eastAsia" w:asciiTheme="minorEastAsia" w:hAnsiTheme="minorEastAsia" w:eastAsiaTheme="minorEastAsia" w:cstheme="minorEastAsia"/>
          <w:b w:val="0"/>
          <w:kern w:val="2"/>
          <w:sz w:val="32"/>
          <w:szCs w:val="32"/>
          <w:lang w:val="en-US" w:eastAsia="zh-CN" w:bidi="ar-SA"/>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b w:val="0"/>
          <w:kern w:val="2"/>
          <w:sz w:val="32"/>
          <w:szCs w:val="32"/>
          <w:lang w:val="en-US" w:eastAsia="zh-CN" w:bidi="ar-SA"/>
        </w:rPr>
        <w:t>1、细化预算编制工作，认真做好预算的编制。进一步加强内设机构的预算管理意识，严格按照预算编制的相关制度和要求进行预算编制。</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b w:val="0"/>
          <w:kern w:val="2"/>
          <w:sz w:val="32"/>
          <w:szCs w:val="32"/>
          <w:lang w:val="en-US" w:eastAsia="zh-CN" w:bidi="ar-SA"/>
        </w:rPr>
      </w:pPr>
      <w:r>
        <w:rPr>
          <w:rFonts w:hint="eastAsia" w:asciiTheme="minorEastAsia" w:hAnsiTheme="minorEastAsia" w:eastAsiaTheme="minorEastAsia" w:cstheme="minorEastAsia"/>
          <w:b w:val="0"/>
          <w:kern w:val="2"/>
          <w:sz w:val="32"/>
          <w:szCs w:val="32"/>
          <w:lang w:val="en-US" w:eastAsia="zh-CN" w:bidi="ar-SA"/>
        </w:rPr>
        <w:t>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429"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noWrap/>
            <w:vAlign w:val="center"/>
          </w:tcPr>
          <w:p>
            <w:pPr>
              <w:widowControl/>
              <w:jc w:val="center"/>
              <w:rPr>
                <w:rFonts w:ascii="宋体" w:hAnsi="宋体" w:eastAsia="宋体" w:cs="宋体"/>
                <w:b/>
                <w:bCs/>
                <w:kern w:val="0"/>
                <w:sz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非税收入完成率=（2021年度非税实际收入完成数/2021年度非税收入预算数）×100%，有减免因素的，以非税局确定的为准。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left"/>
              <w:rPr>
                <w:rFonts w:ascii="仿宋_GB2312" w:hAnsi="宋体" w:eastAsia="仿宋_GB2312" w:cs="宋体"/>
                <w:kern w:val="0"/>
                <w:sz w:val="20"/>
                <w:szCs w:val="20"/>
              </w:rPr>
            </w:pP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rPr>
                <w:rFonts w:ascii="仿宋_GB2312" w:hAnsi="宋体" w:eastAsia="仿宋_GB2312" w:cs="宋体"/>
                <w:kern w:val="0"/>
                <w:sz w:val="20"/>
                <w:szCs w:val="20"/>
              </w:rPr>
            </w:pPr>
          </w:p>
        </w:tc>
        <w:tc>
          <w:tcPr>
            <w:tcW w:w="3118" w:type="dxa"/>
            <w:tcBorders>
              <w:top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p>
        </w:tc>
        <w:tc>
          <w:tcPr>
            <w:tcW w:w="851"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ign w:val="center"/>
          </w:tcPr>
          <w:p>
            <w:pPr>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textDirection w:val="tbRlV"/>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ign w:val="center"/>
          </w:tcPr>
          <w:p>
            <w:pPr>
              <w:autoSpaceDN w:val="0"/>
              <w:jc w:val="left"/>
              <w:textAlignment w:val="center"/>
              <w:rPr>
                <w:rFonts w:ascii="仿宋_GB2312" w:hAnsi="宋体" w:eastAsia="仿宋_GB2312" w:cs="宋体"/>
                <w:kern w:val="0"/>
                <w:sz w:val="20"/>
                <w:szCs w:val="20"/>
              </w:rPr>
            </w:pPr>
          </w:p>
        </w:tc>
        <w:tc>
          <w:tcPr>
            <w:tcW w:w="617" w:type="dxa"/>
            <w:noWrap/>
            <w:vAlign w:val="center"/>
          </w:tcPr>
          <w:p>
            <w:pPr>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此三项指标可根据部门实际并结合2021年度部门整体支出绩效目标设立情况有选择的进行评价。</w:t>
            </w:r>
          </w:p>
        </w:tc>
        <w:tc>
          <w:tcPr>
            <w:tcW w:w="617"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92</w:t>
            </w:r>
          </w:p>
        </w:tc>
      </w:tr>
    </w:tbl>
    <w:p>
      <w:pPr>
        <w:pStyle w:val="2"/>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2F546"/>
    <w:multiLevelType w:val="singleLevel"/>
    <w:tmpl w:val="AA82F546"/>
    <w:lvl w:ilvl="0" w:tentative="0">
      <w:start w:val="1"/>
      <w:numFmt w:val="decimal"/>
      <w:suff w:val="nothing"/>
      <w:lvlText w:val="%1、"/>
      <w:lvlJc w:val="left"/>
    </w:lvl>
  </w:abstractNum>
  <w:abstractNum w:abstractNumId="1">
    <w:nsid w:val="3A0B0B33"/>
    <w:multiLevelType w:val="singleLevel"/>
    <w:tmpl w:val="3A0B0B33"/>
    <w:lvl w:ilvl="0" w:tentative="0">
      <w:start w:val="2"/>
      <w:numFmt w:val="chineseCounting"/>
      <w:suff w:val="nothing"/>
      <w:lvlText w:val="（%1）"/>
      <w:lvlJc w:val="left"/>
      <w:rPr>
        <w:rFonts w:hint="eastAsia"/>
      </w:rPr>
    </w:lvl>
  </w:abstractNum>
  <w:abstractNum w:abstractNumId="2">
    <w:nsid w:val="47A77A8D"/>
    <w:multiLevelType w:val="singleLevel"/>
    <w:tmpl w:val="47A77A8D"/>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0554C33"/>
    <w:rsid w:val="006D6F3B"/>
    <w:rsid w:val="00D51644"/>
    <w:rsid w:val="01E943A0"/>
    <w:rsid w:val="025D08EA"/>
    <w:rsid w:val="02A74CAA"/>
    <w:rsid w:val="03AC38D7"/>
    <w:rsid w:val="0401638F"/>
    <w:rsid w:val="05213482"/>
    <w:rsid w:val="06381A01"/>
    <w:rsid w:val="09E17252"/>
    <w:rsid w:val="0CB87B60"/>
    <w:rsid w:val="0D5E3707"/>
    <w:rsid w:val="11E84674"/>
    <w:rsid w:val="126C42B4"/>
    <w:rsid w:val="13F06F65"/>
    <w:rsid w:val="17042185"/>
    <w:rsid w:val="17546308"/>
    <w:rsid w:val="17B648CC"/>
    <w:rsid w:val="17DD6E2C"/>
    <w:rsid w:val="1AED7481"/>
    <w:rsid w:val="1D9A1B96"/>
    <w:rsid w:val="1F010C8F"/>
    <w:rsid w:val="20F63895"/>
    <w:rsid w:val="23BE3486"/>
    <w:rsid w:val="25B43633"/>
    <w:rsid w:val="26166273"/>
    <w:rsid w:val="263761E7"/>
    <w:rsid w:val="29341AF5"/>
    <w:rsid w:val="2B032004"/>
    <w:rsid w:val="2C3A1B18"/>
    <w:rsid w:val="2C7529D1"/>
    <w:rsid w:val="2D6C05C8"/>
    <w:rsid w:val="2DB256DE"/>
    <w:rsid w:val="2E387A09"/>
    <w:rsid w:val="2F064022"/>
    <w:rsid w:val="2F434A73"/>
    <w:rsid w:val="3619015E"/>
    <w:rsid w:val="36334246"/>
    <w:rsid w:val="36E22B02"/>
    <w:rsid w:val="375C4F25"/>
    <w:rsid w:val="37A26170"/>
    <w:rsid w:val="38F247D2"/>
    <w:rsid w:val="3A365ACD"/>
    <w:rsid w:val="3B9303B2"/>
    <w:rsid w:val="3C8416D7"/>
    <w:rsid w:val="3D1D5E40"/>
    <w:rsid w:val="3E8065FB"/>
    <w:rsid w:val="3EA2250D"/>
    <w:rsid w:val="3FAB09ED"/>
    <w:rsid w:val="42B75037"/>
    <w:rsid w:val="43FF7B90"/>
    <w:rsid w:val="44AF5D78"/>
    <w:rsid w:val="45833892"/>
    <w:rsid w:val="45CB4E15"/>
    <w:rsid w:val="460A544F"/>
    <w:rsid w:val="47D12ED9"/>
    <w:rsid w:val="492E7EB7"/>
    <w:rsid w:val="49F7299F"/>
    <w:rsid w:val="4A4754D4"/>
    <w:rsid w:val="4ACA7AAB"/>
    <w:rsid w:val="4B991F60"/>
    <w:rsid w:val="4BA97CC9"/>
    <w:rsid w:val="4C455C43"/>
    <w:rsid w:val="4D113C42"/>
    <w:rsid w:val="4E58558A"/>
    <w:rsid w:val="4F1F0367"/>
    <w:rsid w:val="4F3501F1"/>
    <w:rsid w:val="4F7F18D7"/>
    <w:rsid w:val="4FB97D79"/>
    <w:rsid w:val="52C04276"/>
    <w:rsid w:val="53202F66"/>
    <w:rsid w:val="533A275A"/>
    <w:rsid w:val="54517DF8"/>
    <w:rsid w:val="551B7D70"/>
    <w:rsid w:val="55662023"/>
    <w:rsid w:val="55C776C9"/>
    <w:rsid w:val="575435C3"/>
    <w:rsid w:val="58CA4CA4"/>
    <w:rsid w:val="591C7D2C"/>
    <w:rsid w:val="59A70B1E"/>
    <w:rsid w:val="59E60318"/>
    <w:rsid w:val="5A8F08E8"/>
    <w:rsid w:val="5C4C0928"/>
    <w:rsid w:val="5C8E7193"/>
    <w:rsid w:val="5CBC5F90"/>
    <w:rsid w:val="5E6D1153"/>
    <w:rsid w:val="5E9959C3"/>
    <w:rsid w:val="5F83500A"/>
    <w:rsid w:val="5FFD5D5C"/>
    <w:rsid w:val="60745B56"/>
    <w:rsid w:val="611076B5"/>
    <w:rsid w:val="61371BA7"/>
    <w:rsid w:val="641F097E"/>
    <w:rsid w:val="65236940"/>
    <w:rsid w:val="65C43C25"/>
    <w:rsid w:val="664A41B0"/>
    <w:rsid w:val="66D16D4F"/>
    <w:rsid w:val="66FE6113"/>
    <w:rsid w:val="6B874FA2"/>
    <w:rsid w:val="6C3C4515"/>
    <w:rsid w:val="6C6B54E9"/>
    <w:rsid w:val="6C8B35B8"/>
    <w:rsid w:val="6CB322FE"/>
    <w:rsid w:val="6CF5198C"/>
    <w:rsid w:val="6EAF0EDC"/>
    <w:rsid w:val="6FD52562"/>
    <w:rsid w:val="70246EC1"/>
    <w:rsid w:val="70514092"/>
    <w:rsid w:val="70852420"/>
    <w:rsid w:val="71881FAB"/>
    <w:rsid w:val="725A006F"/>
    <w:rsid w:val="72DA6836"/>
    <w:rsid w:val="73125FD0"/>
    <w:rsid w:val="734F209E"/>
    <w:rsid w:val="76DC35F5"/>
    <w:rsid w:val="7832658D"/>
    <w:rsid w:val="785C568E"/>
    <w:rsid w:val="79074D5F"/>
    <w:rsid w:val="7A21330E"/>
    <w:rsid w:val="7A754286"/>
    <w:rsid w:val="7AF745AA"/>
    <w:rsid w:val="7B7D06A6"/>
    <w:rsid w:val="7CF23984"/>
    <w:rsid w:val="7D3D1E9B"/>
    <w:rsid w:val="7F06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Indent"/>
    <w:basedOn w:val="1"/>
    <w:semiHidden/>
    <w:qFormat/>
    <w:uiPriority w:val="99"/>
    <w:pPr>
      <w:spacing w:after="120"/>
      <w:ind w:left="420" w:leftChars="2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autoRedefine/>
    <w:semiHidden/>
    <w:qFormat/>
    <w:uiPriority w:val="99"/>
    <w:pPr>
      <w:ind w:firstLine="420" w:firstLineChars="200"/>
    </w:pPr>
  </w:style>
  <w:style w:type="paragraph" w:customStyle="1" w:styleId="9">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1</TotalTime>
  <ScaleCrop>false</ScaleCrop>
  <LinksUpToDate>false</LinksUpToDate>
  <CharactersWithSpaces>2541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企业用户_314885341</cp:lastModifiedBy>
  <dcterms:modified xsi:type="dcterms:W3CDTF">2024-02-21T08:00:32Z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80C596F65C374DF9A47E3F5D27176F08_13</vt:lpwstr>
  </property>
</Properties>
</file>