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kern w:val="0"/>
          <w:sz w:val="28"/>
          <w:szCs w:val="28"/>
          <w:shd w:val="clear" w:color="auto" w:fill="FFFFFF"/>
        </w:rPr>
        <w:t>第五部分</w:t>
      </w:r>
    </w:p>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kern w:val="0"/>
          <w:sz w:val="28"/>
          <w:szCs w:val="28"/>
          <w:shd w:val="clear" w:color="auto" w:fill="FFFFFF"/>
        </w:rPr>
        <w:t>附件</w:t>
      </w:r>
    </w:p>
    <w:p>
      <w:pPr>
        <w:pStyle w:val="4"/>
        <w:widowControl/>
        <w:spacing w:after="300" w:line="600" w:lineRule="atLeast"/>
        <w:jc w:val="left"/>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pPr>
      <w:r>
        <w:rPr>
          <w:rFonts w:hint="eastAsia" w:ascii="宋体" w:hAnsi="宋体" w:eastAsia="宋体" w:cs="宋体"/>
          <w:color w:val="444444"/>
          <w:sz w:val="28"/>
          <w:szCs w:val="28"/>
          <w:shd w:val="clear" w:color="auto" w:fill="FFFFFF"/>
        </w:rPr>
        <w:t> </w:t>
      </w:r>
    </w:p>
    <w:p>
      <w:pPr>
        <w:pStyle w:val="4"/>
        <w:widowControl/>
        <w:spacing w:after="300" w:line="600" w:lineRule="atLeast"/>
        <w:jc w:val="center"/>
        <w:rPr>
          <w:rFonts w:eastAsia="宋体"/>
          <w:b/>
          <w:sz w:val="40"/>
        </w:rPr>
      </w:pPr>
      <w:r>
        <w:rPr>
          <w:rFonts w:ascii="Times New Roman" w:hAnsi="Times New Roman" w:eastAsia="微软雅黑" w:cs="Times New Roman"/>
          <w:b/>
          <w:bCs/>
          <w:color w:val="444444"/>
          <w:sz w:val="44"/>
          <w:szCs w:val="28"/>
          <w:shd w:val="clear" w:color="auto" w:fill="FFFFFF"/>
        </w:rPr>
        <w:t>2021</w:t>
      </w:r>
      <w:r>
        <w:rPr>
          <w:rFonts w:hint="eastAsia" w:ascii="宋体" w:hAnsi="宋体" w:eastAsia="宋体" w:cs="宋体"/>
          <w:b/>
          <w:bCs/>
          <w:color w:val="444444"/>
          <w:sz w:val="44"/>
          <w:szCs w:val="28"/>
          <w:shd w:val="clear" w:color="auto" w:fill="FFFFFF"/>
        </w:rPr>
        <w:t>年度部门整体支出绩效评价报告</w:t>
      </w: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一、部门概况</w:t>
      </w:r>
    </w:p>
    <w:p>
      <w:pPr>
        <w:pStyle w:val="4"/>
        <w:widowControl/>
        <w:spacing w:after="300" w:line="600" w:lineRule="atLeast"/>
        <w:jc w:val="left"/>
      </w:pPr>
      <w:r>
        <w:rPr>
          <w:rFonts w:hint="eastAsia"/>
          <w:color w:val="1E1E1E"/>
        </w:rPr>
        <w:t>中共邵阳市北塔区委网络安全和信息化委员会办公室(以下简称区委网信办)是区委工作部门，为正科级，由区委统一领导和管理。</w:t>
      </w:r>
    </w:p>
    <w:p>
      <w:pPr>
        <w:spacing w:line="480" w:lineRule="exact"/>
        <w:ind w:firstLine="560" w:firstLineChars="200"/>
        <w:rPr>
          <w:rFonts w:hint="eastAsia" w:ascii="宋体" w:hAnsi="宋体" w:eastAsia="宋体" w:cs="宋体"/>
          <w:b w:val="0"/>
          <w:bCs w:val="0"/>
          <w:color w:val="444444"/>
          <w:kern w:val="0"/>
          <w:sz w:val="28"/>
          <w:szCs w:val="28"/>
          <w:shd w:val="clear" w:color="auto" w:fill="FFFFFF"/>
        </w:rPr>
      </w:pPr>
      <w:r>
        <w:rPr>
          <w:rFonts w:hint="eastAsia" w:ascii="宋体" w:hAnsi="宋体" w:eastAsia="宋体" w:cs="宋体"/>
          <w:b w:val="0"/>
          <w:bCs w:val="0"/>
          <w:color w:val="444444"/>
          <w:kern w:val="0"/>
          <w:sz w:val="28"/>
          <w:szCs w:val="28"/>
          <w:shd w:val="clear" w:color="auto" w:fill="FFFFFF"/>
        </w:rPr>
        <w:t>（一）基本情况。</w:t>
      </w:r>
    </w:p>
    <w:p>
      <w:pPr>
        <w:spacing w:line="480" w:lineRule="exact"/>
        <w:ind w:firstLine="560" w:firstLineChars="200"/>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1．主要职能。</w:t>
      </w:r>
    </w:p>
    <w:p>
      <w:pPr>
        <w:spacing w:line="480" w:lineRule="exact"/>
        <w:ind w:firstLine="560" w:firstLineChars="200"/>
        <w:rPr>
          <w:rFonts w:hint="eastAsia"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lang w:val="en-US" w:eastAsia="zh-CN"/>
        </w:rPr>
        <w:t>此项内容依法不予公开</w:t>
      </w:r>
      <w:r>
        <w:rPr>
          <w:rFonts w:hint="eastAsia" w:ascii="宋体" w:hAnsi="宋体" w:eastAsia="宋体" w:cs="宋体"/>
          <w:color w:val="444444"/>
          <w:kern w:val="0"/>
          <w:sz w:val="28"/>
          <w:szCs w:val="28"/>
          <w:shd w:val="clear" w:color="auto" w:fill="FFFFFF"/>
        </w:rPr>
        <w:t>。</w:t>
      </w:r>
    </w:p>
    <w:p>
      <w:pPr>
        <w:spacing w:line="480" w:lineRule="exact"/>
        <w:ind w:firstLine="560" w:firstLineChars="200"/>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2.机构情况。</w:t>
      </w:r>
      <w:bookmarkStart w:id="1" w:name="_GoBack"/>
      <w:bookmarkEnd w:id="1"/>
    </w:p>
    <w:p>
      <w:pPr>
        <w:spacing w:line="480" w:lineRule="exact"/>
        <w:ind w:firstLine="480" w:firstLineChars="200"/>
        <w:rPr>
          <w:rFonts w:hint="eastAsia" w:ascii="宋体" w:hAnsi="宋体" w:cs="宋体"/>
          <w:sz w:val="24"/>
        </w:rPr>
      </w:pPr>
      <w:r>
        <w:rPr>
          <w:rFonts w:hint="eastAsia" w:ascii="宋体" w:hAnsi="宋体" w:cs="宋体" w:eastAsiaTheme="minorEastAsia"/>
          <w:kern w:val="2"/>
          <w:sz w:val="24"/>
          <w:szCs w:val="24"/>
          <w:lang w:val="en-US" w:eastAsia="zh-CN" w:bidi="ar-SA"/>
        </w:rPr>
        <w:t>此项内容依法不予公开</w:t>
      </w:r>
      <w:r>
        <w:rPr>
          <w:rFonts w:hint="eastAsia" w:ascii="宋体" w:hAnsi="宋体" w:cs="宋体"/>
          <w:sz w:val="24"/>
        </w:rPr>
        <w:t>。</w:t>
      </w:r>
    </w:p>
    <w:p>
      <w:pPr>
        <w:spacing w:line="480" w:lineRule="exact"/>
        <w:ind w:firstLine="560" w:firstLineChars="200"/>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3.人员情况。</w:t>
      </w:r>
    </w:p>
    <w:p>
      <w:pPr>
        <w:spacing w:line="480" w:lineRule="exact"/>
        <w:ind w:firstLine="480" w:firstLineChars="200"/>
        <w:rPr>
          <w:rFonts w:ascii="宋体" w:hAnsi="宋体" w:cs="宋体"/>
          <w:sz w:val="24"/>
        </w:rPr>
      </w:pPr>
      <w:r>
        <w:rPr>
          <w:rFonts w:hint="eastAsia" w:ascii="宋体" w:hAnsi="宋体" w:cs="宋体"/>
          <w:sz w:val="24"/>
        </w:rPr>
        <w:t>中共邵阳市北塔区委网络安全和信息化委员会办公室编制人数7人，实际人数7人，其中在职人数7人，离退休0人，遗属补助人数0人，小车编制数0台，无房屋。</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二、部门整体支出管理及使用情况</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（一）基本支出</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基本支出系保障我办机构正常运转、完成日常工作任务而发生的人员支出和公用支出，包括用于在职和离退休人员基本工资、津贴补贴等人员经费以及办公费、印刷费、水电费、办公设备购置等日常公用经费。2021年我办基本支出137.56万元，比上年同口径增加39.35万元，增长40.07%。其中：工资福利支出82.98万元，商品和服务支出22.57万元，对个人和家庭的补助0万元，资本性支出32万元。</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2021年“三公”经费实际开支总额0万元。其中：因公出国（境）费支出本年未发生。公务用车购置及运行维护费实际开支0万元（公务用车购置费未发生，公务用车运行维护费0万元），公务用车保有量0辆；公务接待费实际开支0万元，公务接待X批次0人次。2021年“三公”经费实际开支总额比2020年同口径减少0.13万元，下降-100%。原因为厉行节约，减少开支。</w:t>
      </w:r>
    </w:p>
    <w:p>
      <w:pPr>
        <w:pStyle w:val="4"/>
        <w:widowControl/>
        <w:spacing w:after="300" w:line="600" w:lineRule="atLeast"/>
        <w:jc w:val="left"/>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（二）专项支出</w:t>
      </w:r>
    </w:p>
    <w:p>
      <w:pPr>
        <w:pStyle w:val="4"/>
        <w:widowControl/>
        <w:spacing w:after="300" w:line="600" w:lineRule="atLeast"/>
        <w:jc w:val="left"/>
      </w:pPr>
      <w:r>
        <w:rPr>
          <w:rFonts w:hint="eastAsia"/>
          <w:color w:val="1E1E1E"/>
        </w:rPr>
        <w:t>2020年我办项目支出0万元。</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三、资产管理情况</w:t>
      </w:r>
    </w:p>
    <w:p>
      <w:pPr>
        <w:pStyle w:val="4"/>
        <w:widowControl/>
        <w:spacing w:after="300" w:line="600" w:lineRule="atLeast"/>
        <w:jc w:val="left"/>
        <w:rPr>
          <w:rFonts w:eastAsia="宋体"/>
        </w:rPr>
      </w:pPr>
      <w:r>
        <w:rPr>
          <w:rFonts w:ascii="仿宋" w:hAnsi="仿宋" w:eastAsia="仿宋" w:cs="仿宋"/>
          <w:sz w:val="32"/>
          <w:szCs w:val="32"/>
        </w:rPr>
        <w:t>我</w:t>
      </w:r>
      <w:r>
        <w:rPr>
          <w:rFonts w:hint="eastAsia" w:ascii="仿宋" w:hAnsi="仿宋" w:eastAsia="仿宋" w:cs="仿宋"/>
          <w:sz w:val="32"/>
          <w:szCs w:val="32"/>
        </w:rPr>
        <w:t>办</w:t>
      </w:r>
      <w:r>
        <w:rPr>
          <w:rFonts w:ascii="仿宋" w:hAnsi="仿宋" w:eastAsia="仿宋" w:cs="仿宋"/>
          <w:sz w:val="32"/>
          <w:szCs w:val="32"/>
        </w:rPr>
        <w:t>资产管理由办公室负责，资产采购按程序实行报批采购，</w:t>
      </w:r>
      <w:r>
        <w:rPr>
          <w:rFonts w:hint="eastAsia" w:ascii="仿宋" w:hAnsi="仿宋" w:eastAsia="仿宋" w:cs="仿宋"/>
          <w:sz w:val="32"/>
          <w:szCs w:val="32"/>
        </w:rPr>
        <w:t>统一在政采云平台下单，</w:t>
      </w:r>
      <w:r>
        <w:rPr>
          <w:rFonts w:ascii="仿宋" w:hAnsi="仿宋" w:eastAsia="仿宋" w:cs="仿宋"/>
          <w:sz w:val="32"/>
          <w:szCs w:val="32"/>
        </w:rPr>
        <w:t>采购后登记</w:t>
      </w:r>
      <w:r>
        <w:rPr>
          <w:rFonts w:hint="eastAsia" w:ascii="仿宋" w:hAnsi="仿宋" w:eastAsia="仿宋" w:cs="仿宋"/>
          <w:sz w:val="32"/>
          <w:szCs w:val="32"/>
        </w:rPr>
        <w:t>入账，录入资产信息系统</w:t>
      </w:r>
      <w:r>
        <w:rPr>
          <w:rFonts w:ascii="仿宋" w:hAnsi="仿宋" w:eastAsia="仿宋" w:cs="仿宋"/>
          <w:sz w:val="32"/>
          <w:szCs w:val="32"/>
        </w:rPr>
        <w:t>，再派发到相关科室。</w:t>
      </w:r>
      <w:r>
        <w:rPr>
          <w:rFonts w:hint="eastAsia" w:ascii="仿宋" w:hAnsi="仿宋" w:eastAsia="仿宋" w:cs="仿宋"/>
          <w:sz w:val="32"/>
          <w:szCs w:val="32"/>
        </w:rPr>
        <w:t>一是我办资产管理和使用坚持统一政策、统一领导、分级管理、责任到人、物尽其用的原则。</w:t>
      </w:r>
      <w:r>
        <w:rPr>
          <w:rFonts w:ascii="仿宋" w:hAnsi="仿宋" w:eastAsia="仿宋" w:cs="仿宋"/>
          <w:sz w:val="32"/>
          <w:szCs w:val="32"/>
        </w:rPr>
        <w:t>二是运用</w:t>
      </w:r>
      <w:r>
        <w:rPr>
          <w:rFonts w:hint="eastAsia" w:ascii="仿宋" w:hAnsi="仿宋" w:eastAsia="仿宋" w:cs="仿宋"/>
          <w:sz w:val="32"/>
          <w:szCs w:val="32"/>
        </w:rPr>
        <w:t>资产</w:t>
      </w:r>
      <w:r>
        <w:rPr>
          <w:rFonts w:ascii="仿宋" w:hAnsi="仿宋" w:eastAsia="仿宋" w:cs="仿宋"/>
          <w:sz w:val="32"/>
          <w:szCs w:val="32"/>
        </w:rPr>
        <w:t>信息管理系统加强资产管理。</w:t>
      </w:r>
      <w:r>
        <w:rPr>
          <w:rFonts w:hint="eastAsia" w:ascii="仿宋" w:hAnsi="仿宋" w:eastAsia="仿宋" w:cs="仿宋"/>
          <w:sz w:val="32"/>
          <w:szCs w:val="32"/>
        </w:rPr>
        <w:t>对</w:t>
      </w:r>
      <w:r>
        <w:rPr>
          <w:rFonts w:ascii="仿宋" w:hAnsi="仿宋" w:eastAsia="仿宋" w:cs="仿宋"/>
          <w:sz w:val="32"/>
          <w:szCs w:val="32"/>
        </w:rPr>
        <w:t>固定资产分别按使用部门、存放地点和</w:t>
      </w:r>
      <w:r>
        <w:rPr>
          <w:rFonts w:hint="eastAsia" w:ascii="仿宋" w:hAnsi="仿宋" w:eastAsia="仿宋" w:cs="仿宋"/>
          <w:sz w:val="32"/>
          <w:szCs w:val="32"/>
        </w:rPr>
        <w:t>使用</w:t>
      </w:r>
      <w:r>
        <w:rPr>
          <w:rFonts w:ascii="仿宋" w:hAnsi="仿宋" w:eastAsia="仿宋" w:cs="仿宋"/>
          <w:sz w:val="32"/>
          <w:szCs w:val="32"/>
        </w:rPr>
        <w:t>人顺序编排编码排序，统一录入“一物一条码”信息管理系统，分部门打印出条形码，发放到各部门按要求统一粘贴到固定资产上，并指定专人负责管理。三是每年组织一次固定资产资产清查工作，使固定资产检查</w:t>
      </w:r>
      <w:r>
        <w:rPr>
          <w:rFonts w:hint="eastAsia" w:ascii="仿宋" w:hAnsi="仿宋" w:eastAsia="仿宋" w:cs="仿宋"/>
          <w:sz w:val="32"/>
          <w:szCs w:val="32"/>
        </w:rPr>
        <w:t>常态</w:t>
      </w:r>
      <w:r>
        <w:rPr>
          <w:rFonts w:ascii="仿宋" w:hAnsi="仿宋" w:eastAsia="仿宋" w:cs="仿宋"/>
          <w:sz w:val="32"/>
          <w:szCs w:val="32"/>
        </w:rPr>
        <w:t>化，确保账、卡、实相符。四是根据《湖南省财政厅关于做好行政事业性国有资产月报试编工作的通知》文件要求，每月及时通过财政部统一报表系统上报资产月报电子数据</w:t>
      </w:r>
      <w:r>
        <w:rPr>
          <w:rFonts w:hint="eastAsia" w:ascii="仿宋" w:hAnsi="仿宋" w:eastAsia="仿宋" w:cs="仿宋"/>
          <w:sz w:val="32"/>
          <w:szCs w:val="32"/>
        </w:rPr>
        <w:t>，每年编制一次固定资产年报</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截至2021年12月31日，邵阳市北塔区委网络安全和信息化委员会办公室资产总额为4.74万元，主要由以下部分构成：流动资产0万元,占资产总额的0%,主要为银行存款及其他应收款等;固定资产4.74万元,占资产总额的100%，主要包括办公设备等。</w:t>
      </w:r>
      <w:r>
        <w:rPr>
          <w:rFonts w:hint="eastAsia" w:ascii="微软雅黑" w:hAnsi="微软雅黑" w:eastAsia="微软雅黑" w:cs="微软雅黑"/>
          <w:color w:val="444444"/>
          <w:sz w:val="28"/>
          <w:szCs w:val="28"/>
          <w:shd w:val="clear" w:color="auto" w:fill="FFFFFF"/>
        </w:rPr>
        <w:t> </w:t>
      </w: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四、部门整体支出绩效情况</w:t>
      </w:r>
    </w:p>
    <w:p>
      <w:pPr>
        <w:shd w:val="clear" w:color="auto" w:fill="FFFFFF"/>
        <w:spacing w:before="100" w:beforeAutospacing="1" w:after="100" w:afterAutospacing="1" w:line="480" w:lineRule="exact"/>
        <w:ind w:firstLine="560" w:firstLineChars="200"/>
        <w:rPr>
          <w:rFonts w:ascii="宋体" w:hAnsi="宋体" w:eastAsia="宋体" w:cs="宋体"/>
          <w:color w:val="444444"/>
          <w:kern w:val="0"/>
          <w:sz w:val="28"/>
          <w:szCs w:val="28"/>
          <w:shd w:val="clear" w:color="auto" w:fill="FFFFFF"/>
        </w:rPr>
      </w:pPr>
      <w:r>
        <w:rPr>
          <w:rFonts w:hint="eastAsia" w:ascii="宋体" w:hAnsi="宋体" w:eastAsia="宋体" w:cs="宋体"/>
          <w:color w:val="444444"/>
          <w:kern w:val="0"/>
          <w:sz w:val="28"/>
          <w:szCs w:val="28"/>
          <w:shd w:val="clear" w:color="auto" w:fill="FFFFFF"/>
        </w:rPr>
        <w:t>2021年，我办充分履行职责职能，严格执行各项管理制度，经济、社会等效益显著、社会公众满意度上升，较好地完成了全年工作目标。</w:t>
      </w:r>
    </w:p>
    <w:p>
      <w:pPr>
        <w:shd w:val="clear" w:color="auto" w:fill="FFFFFF"/>
        <w:spacing w:before="100" w:beforeAutospacing="1" w:after="100" w:afterAutospacing="1" w:line="480" w:lineRule="exact"/>
        <w:ind w:firstLine="482" w:firstLineChars="200"/>
        <w:rPr>
          <w:rFonts w:ascii="宋体" w:hAnsi="宋体" w:eastAsia="宋体" w:cs="宋体"/>
          <w:color w:val="1E1E1E"/>
          <w:kern w:val="0"/>
          <w:sz w:val="24"/>
        </w:rPr>
      </w:pPr>
      <w:r>
        <w:rPr>
          <w:rFonts w:hint="eastAsia" w:ascii="宋体" w:hAnsi="宋体" w:eastAsia="宋体" w:cs="宋体"/>
          <w:b/>
          <w:bCs/>
          <w:color w:val="1E1E1E"/>
          <w:sz w:val="24"/>
        </w:rPr>
        <w:t>（一）预算配置</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2021年，我办在职人员编制数为7人，年末实际在职人数为7人，财政在职人员控制率为100%。年初预算收入107万元，年末决算收入137.56万元；年末决算支出137.56万元，项目资金结转结余0万元。</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（二）预算执行</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一是建立预算执行责任制。将年度预算收入责任及预算支出额度逐一分解落实到股室，形成领导重视、衔接紧密、齐抓共管的体制机制，建立预算指标额度台账，将预算执行情况作为年度目标考核的内容。二是建立预算执行信息化管理制度。在政务公开网公布部门财政预算批复及执行情况，及时公布“三公经费”支出情况，接受监督。三是建立健全项目资金管理制度。对于财政性专项资金，在区财政局的督导下，严格按专项资金项目实施方案执行，督促项目承担单位加快项目实施进度，及时办理报账、验收、结算等相关手续，做到不集中使用、不滥用资金，最大限度提高专项资金利用效率。</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（三）预算管理</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为规范机关财务管理，建立健全财务管理制度，我办根据《会计法》、《预算法》、《政府会计准则》等法律和财政部、省财政厅有关财务规章制度等一系列合法合规、较为完整的、具有很强的可操作性财务管理制度。坚持经费预算科学化、精细化，执行控制规范化、责任化，监督检查常态化、同步化。</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w:t>
      </w:r>
    </w:p>
    <w:p>
      <w:pPr>
        <w:pStyle w:val="4"/>
        <w:widowControl/>
        <w:spacing w:after="300" w:line="600" w:lineRule="atLeast"/>
        <w:jc w:val="left"/>
        <w:rPr>
          <w:rFonts w:eastAsia="宋体"/>
        </w:rPr>
      </w:pPr>
    </w:p>
    <w:p>
      <w:pPr>
        <w:pStyle w:val="4"/>
        <w:widowControl/>
        <w:spacing w:after="300" w:line="600" w:lineRule="atLeast"/>
        <w:jc w:val="left"/>
        <w:rPr>
          <w:b/>
        </w:rPr>
      </w:pPr>
      <w:r>
        <w:rPr>
          <w:rFonts w:hint="eastAsia" w:ascii="宋体" w:hAnsi="宋体" w:eastAsia="宋体" w:cs="宋体"/>
          <w:b/>
          <w:color w:val="444444"/>
          <w:kern w:val="0"/>
          <w:sz w:val="28"/>
          <w:szCs w:val="28"/>
          <w:shd w:val="clear" w:color="auto" w:fill="FFFFFF"/>
        </w:rPr>
        <w:t>五、综合评价情况及评价结论</w:t>
      </w:r>
    </w:p>
    <w:p>
      <w:pPr>
        <w:pStyle w:val="4"/>
        <w:widowControl/>
        <w:spacing w:after="300" w:line="600" w:lineRule="atLeast"/>
        <w:jc w:val="left"/>
      </w:pPr>
      <w:r>
        <w:rPr>
          <w:rFonts w:hint="eastAsia" w:ascii="宋体" w:hAnsi="宋体" w:eastAsia="宋体" w:cs="宋体"/>
          <w:color w:val="444444"/>
          <w:kern w:val="0"/>
          <w:sz w:val="28"/>
          <w:szCs w:val="28"/>
          <w:shd w:val="clear" w:color="auto" w:fill="FFFFFF"/>
        </w:rPr>
        <w:t>2021年我办经费开支严格按预算执行，管理制度健全，会计基础规范，资金使用符合国家财经法规和财务管理制度规定。严格实行收支两条线，无截留、挤占、挪用、虚列支出、随意借用、大额现金支付等情况，重大财务事项经由集体研究决策。按要求执行政府采购，严控支出，开源节流，一般性支出和“三公经费”均按要求压减，预决算信息公开及时完善。资产管理安全，固定资产利用率、重点工作完成率等均达到或超过年初计划数，取得了较好的社会效益。根据邵阳市财政局《部门整体支出绩效评价指标评分表》评分体系，我局整体支出绩效自评92分，自评结果为优。</w:t>
      </w: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六、存在的问题及原因分析</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1、绩效评价工作机制有待进一步完善，由于在平时工作中未加强对绩效监控工作的重视，绩效监控工作容易滞后，未形成对绩效目标进行监控的习惯。</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2、在编制部门年度预算时，虽然根据本单位职能职责和年度工作计划编制，但在2020年部门预算执行过程中，仍然存在一些问题，如年初预算编制不合理或部分经费计划比较紧张，往往需要在年度中间进行预算追加和调整。</w:t>
      </w:r>
    </w:p>
    <w:p>
      <w:pPr>
        <w:pStyle w:val="4"/>
        <w:widowControl/>
        <w:spacing w:after="300" w:line="600" w:lineRule="atLeast"/>
        <w:jc w:val="left"/>
        <w:rPr>
          <w:b/>
        </w:rPr>
      </w:pPr>
    </w:p>
    <w:p>
      <w:pPr>
        <w:pStyle w:val="4"/>
        <w:widowControl/>
        <w:spacing w:after="300" w:line="600" w:lineRule="atLeast"/>
        <w:jc w:val="left"/>
        <w:rPr>
          <w:rFonts w:ascii="宋体" w:hAnsi="宋体" w:eastAsia="宋体" w:cs="宋体"/>
          <w:b/>
          <w:color w:val="444444"/>
          <w:kern w:val="0"/>
          <w:sz w:val="28"/>
          <w:szCs w:val="28"/>
          <w:shd w:val="clear" w:color="auto" w:fill="FFFFFF"/>
        </w:rPr>
      </w:pPr>
      <w:r>
        <w:rPr>
          <w:rFonts w:hint="eastAsia" w:ascii="宋体" w:hAnsi="宋体" w:eastAsia="宋体" w:cs="宋体"/>
          <w:b/>
          <w:color w:val="444444"/>
          <w:kern w:val="0"/>
          <w:sz w:val="28"/>
          <w:szCs w:val="28"/>
          <w:shd w:val="clear" w:color="auto" w:fill="FFFFFF"/>
        </w:rPr>
        <w:t>七、下一步改进措施</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（一）进一步加强项目资金管理</w:t>
      </w:r>
    </w:p>
    <w:p>
      <w:pPr>
        <w:shd w:val="clear" w:color="auto" w:fill="FFFFFF"/>
        <w:spacing w:before="100" w:beforeAutospacing="1" w:after="100"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项目实施提前做好方案，按时间节点落实好项目实施进度，争取项目早实施、早完成、早验收，确保项目资金年内支付到位。项目资金的使用要事前计划、事中控制、事后总结、合理使用，充分体现项目资金投向的目标和效益。</w:t>
      </w:r>
    </w:p>
    <w:p>
      <w:pPr>
        <w:shd w:val="clear" w:color="auto" w:fill="FFFFFF"/>
        <w:spacing w:before="100" w:beforeAutospacing="1" w:after="100" w:afterAutospacing="1" w:line="480" w:lineRule="exact"/>
        <w:ind w:firstLine="482" w:firstLineChars="200"/>
        <w:jc w:val="left"/>
        <w:rPr>
          <w:rFonts w:ascii="宋体" w:hAnsi="宋体" w:eastAsia="宋体" w:cs="宋体"/>
          <w:color w:val="1E1E1E"/>
          <w:kern w:val="0"/>
          <w:sz w:val="24"/>
        </w:rPr>
      </w:pPr>
      <w:r>
        <w:rPr>
          <w:rFonts w:hint="eastAsia" w:ascii="宋体" w:hAnsi="宋体" w:eastAsia="宋体" w:cs="宋体"/>
          <w:b/>
          <w:bCs/>
          <w:color w:val="1E1E1E"/>
          <w:sz w:val="24"/>
        </w:rPr>
        <w:t>（二）进一步提高绩效管理水平</w:t>
      </w:r>
    </w:p>
    <w:p>
      <w:pPr>
        <w:shd w:val="clear" w:color="auto" w:fill="FFFFFF"/>
        <w:spacing w:before="100" w:beforeAutospacing="1" w:afterAutospacing="1" w:line="480" w:lineRule="exact"/>
        <w:ind w:firstLine="480" w:firstLineChars="200"/>
        <w:jc w:val="left"/>
        <w:rPr>
          <w:rFonts w:ascii="宋体" w:hAnsi="宋体" w:eastAsia="宋体" w:cs="宋体"/>
          <w:color w:val="1E1E1E"/>
          <w:kern w:val="0"/>
          <w:sz w:val="24"/>
        </w:rPr>
      </w:pPr>
      <w:r>
        <w:rPr>
          <w:rFonts w:hint="eastAsia" w:ascii="宋体" w:hAnsi="宋体" w:eastAsia="宋体" w:cs="宋体"/>
          <w:color w:val="1E1E1E"/>
          <w:sz w:val="24"/>
        </w:rPr>
        <w:t>加强预算执行的准确性，开展好支出绩效管理工作，运用好绩效评价结果，不断提升绩效管理水平。</w:t>
      </w:r>
    </w:p>
    <w:p>
      <w:pPr>
        <w:pStyle w:val="4"/>
        <w:widowControl/>
        <w:spacing w:after="300" w:line="600" w:lineRule="atLeast"/>
        <w:jc w:val="left"/>
        <w:rPr>
          <w:b/>
        </w:rPr>
      </w:pPr>
    </w:p>
    <w:p>
      <w:pPr>
        <w:spacing w:line="600" w:lineRule="exact"/>
        <w:rPr>
          <w:rFonts w:ascii="宋体" w:hAnsi="宋体" w:cs="宋体"/>
          <w:kern w:val="0"/>
          <w:sz w:val="32"/>
          <w:szCs w:val="32"/>
        </w:rPr>
      </w:pPr>
      <w:bookmarkStart w:id="0" w:name="RANGE!A1:H22"/>
      <w:r>
        <w:rPr>
          <w:rFonts w:hint="eastAsia" w:ascii="黑体" w:hAnsi="宋体" w:eastAsia="黑体" w:cs="宋体"/>
          <w:kern w:val="0"/>
          <w:sz w:val="32"/>
          <w:szCs w:val="32"/>
        </w:rPr>
        <w:t>附件</w:t>
      </w:r>
      <w:bookmarkEnd w:id="0"/>
      <w:r>
        <w:rPr>
          <w:rFonts w:hint="eastAsia" w:ascii="黑体" w:hAnsi="宋体" w:eastAsia="黑体" w:cs="宋体"/>
          <w:kern w:val="0"/>
          <w:sz w:val="32"/>
          <w:szCs w:val="32"/>
        </w:rPr>
        <w:t>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一级指标</w:t>
            </w:r>
          </w:p>
        </w:tc>
        <w:tc>
          <w:tcPr>
            <w:tcW w:w="429"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noWrap/>
            <w:vAlign w:val="center"/>
          </w:tcPr>
          <w:p>
            <w:pPr>
              <w:widowControl/>
              <w:jc w:val="center"/>
              <w:rPr>
                <w:rFonts w:ascii="宋体" w:hAnsi="宋体" w:eastAsia="宋体" w:cs="宋体"/>
                <w:b/>
                <w:bCs/>
                <w:kern w:val="0"/>
                <w:sz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noWrap/>
            <w:vAlign w:val="center"/>
          </w:tcPr>
          <w:p>
            <w:pPr>
              <w:widowControl/>
              <w:jc w:val="center"/>
              <w:rPr>
                <w:rFonts w:ascii="仿宋_GB2312" w:hAnsi="宋体" w:eastAsia="仿宋_GB2312" w:cs="宋体"/>
                <w:kern w:val="0"/>
                <w:sz w:val="20"/>
                <w:szCs w:val="20"/>
              </w:rPr>
            </w:pPr>
          </w:p>
        </w:tc>
        <w:tc>
          <w:tcPr>
            <w:tcW w:w="567" w:type="dxa"/>
            <w:vMerge w:val="continue"/>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非税收入完成率=（2021年度非税实际收入完成数/2021年度非税收入预算数）×100%，有减免因素的，以非税局确定的为准。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noWrap/>
            <w:textDirection w:val="tbRlV"/>
            <w:vAlign w:val="center"/>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widowControl/>
              <w:jc w:val="left"/>
              <w:rPr>
                <w:rFonts w:ascii="仿宋_GB2312" w:hAnsi="宋体" w:eastAsia="仿宋_GB2312" w:cs="宋体"/>
                <w:kern w:val="0"/>
                <w:sz w:val="20"/>
                <w:szCs w:val="20"/>
              </w:rPr>
            </w:pP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noWrap/>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rPr>
                <w:rFonts w:ascii="仿宋_GB2312" w:hAnsi="宋体" w:eastAsia="仿宋_GB2312" w:cs="宋体"/>
                <w:kern w:val="0"/>
                <w:sz w:val="20"/>
                <w:szCs w:val="20"/>
              </w:rPr>
            </w:pPr>
          </w:p>
        </w:tc>
        <w:tc>
          <w:tcPr>
            <w:tcW w:w="3118" w:type="dxa"/>
            <w:tcBorders>
              <w:top w:val="single" w:color="auto" w:sz="4" w:space="0"/>
            </w:tcBorders>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②建立健全单位内部控制制度，1分；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tcBorders>
            <w:noWrap/>
            <w:vAlign w:val="center"/>
          </w:tcPr>
          <w:p>
            <w:pPr>
              <w:jc w:val="center"/>
              <w:rPr>
                <w:rFonts w:ascii="仿宋_GB2312" w:hAnsi="宋体" w:eastAsia="仿宋_GB2312" w:cs="宋体"/>
                <w:kern w:val="0"/>
                <w:sz w:val="20"/>
                <w:szCs w:val="20"/>
              </w:rPr>
            </w:pPr>
          </w:p>
        </w:tc>
        <w:tc>
          <w:tcPr>
            <w:tcW w:w="851"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noWrap/>
            <w:vAlign w:val="center"/>
          </w:tcPr>
          <w:p>
            <w:pPr>
              <w:widowControl/>
              <w:jc w:val="left"/>
              <w:rPr>
                <w:rFonts w:ascii="仿宋_GB2312" w:hAnsi="宋体" w:eastAsia="仿宋_GB2312" w:cs="宋体"/>
                <w:kern w:val="0"/>
                <w:sz w:val="20"/>
                <w:szCs w:val="20"/>
              </w:rPr>
            </w:pPr>
          </w:p>
        </w:tc>
        <w:tc>
          <w:tcPr>
            <w:tcW w:w="617" w:type="dxa"/>
            <w:tcBorders>
              <w:top w:val="single" w:color="auto" w:sz="4" w:space="0"/>
            </w:tcBorders>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noWrap/>
            <w:vAlign w:val="center"/>
          </w:tcPr>
          <w:p>
            <w:pPr>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以上情况每出现一例不符合要求的扣2分；⑨未按时报送2018年行政事业单位资产报表的，每延迟一天，扣1分，扣完为止。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noWrap/>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noWrap/>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2021年度部门整体支出绩效目标的，2分；③在规定时间内报送、公开以上目标的，2分，否则不得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noWrap/>
            <w:vAlign w:val="center"/>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开展2019年度专项资金绩效自评的，2分，每少一个专项资金的自评扣1分，扣完为止；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开展2019年度已完工项目绩效自评的，2分，每少一个项目扣1分，扣完为止；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开展2019年度部门整体支出绩效自评的，1分；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noWrap/>
            <w:vAlign w:val="center"/>
          </w:tcPr>
          <w:p>
            <w:pPr>
              <w:jc w:val="center"/>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 w:hAnsi="仿宋" w:eastAsia="仿宋" w:cs="宋体"/>
                <w:sz w:val="20"/>
                <w:szCs w:val="20"/>
              </w:rPr>
            </w:pPr>
            <w:r>
              <w:rPr>
                <w:rFonts w:hint="eastAsia" w:ascii="仿宋_GB2312" w:hAnsi="宋体" w:eastAsia="仿宋_GB2312" w:cs="宋体"/>
                <w:kern w:val="0"/>
                <w:sz w:val="20"/>
                <w:szCs w:val="20"/>
              </w:rPr>
              <w:t>根据2019年度财政重点绩效评价和单位自评情况，向财政报送整改结果并整改到位的，2分，否则不得分。</w:t>
            </w:r>
          </w:p>
        </w:tc>
        <w:tc>
          <w:tcPr>
            <w:tcW w:w="3472" w:type="dxa"/>
            <w:noWrap/>
            <w:vAlign w:val="center"/>
          </w:tcPr>
          <w:p>
            <w:pPr>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noWrap/>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noWrap/>
            <w:textDirection w:val="tbRlV"/>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noWrap/>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noWrap/>
            <w:vAlign w:val="center"/>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noWrap/>
            <w:vAlign w:val="center"/>
          </w:tcPr>
          <w:p>
            <w:pPr>
              <w:autoSpaceDN w:val="0"/>
              <w:jc w:val="left"/>
              <w:textAlignment w:val="center"/>
              <w:rPr>
                <w:rFonts w:ascii="仿宋_GB2312" w:hAnsi="宋体" w:eastAsia="仿宋_GB2312" w:cs="宋体"/>
                <w:kern w:val="0"/>
                <w:sz w:val="20"/>
                <w:szCs w:val="20"/>
              </w:rPr>
            </w:pPr>
          </w:p>
        </w:tc>
        <w:tc>
          <w:tcPr>
            <w:tcW w:w="617" w:type="dxa"/>
            <w:noWrap/>
            <w:vAlign w:val="center"/>
          </w:tcPr>
          <w:p>
            <w:pPr>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noWrap/>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此三项指标可根据部门实际并结合2021年度部门整体支出绩效目标设立情况有选择的进行评价。</w:t>
            </w:r>
          </w:p>
        </w:tc>
        <w:tc>
          <w:tcPr>
            <w:tcW w:w="617" w:type="dxa"/>
            <w:vMerge w:val="restart"/>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noWrap/>
            <w:vAlign w:val="center"/>
          </w:tcPr>
          <w:p>
            <w:pPr>
              <w:widowControl/>
              <w:rPr>
                <w:rFonts w:ascii="仿宋_GB2312" w:hAnsi="宋体" w:eastAsia="仿宋_GB2312" w:cs="宋体"/>
                <w:kern w:val="0"/>
                <w:sz w:val="20"/>
                <w:szCs w:val="20"/>
              </w:rPr>
            </w:pPr>
          </w:p>
        </w:tc>
        <w:tc>
          <w:tcPr>
            <w:tcW w:w="6590" w:type="dxa"/>
            <w:gridSpan w:val="2"/>
            <w:vMerge w:val="continue"/>
            <w:noWrap/>
            <w:vAlign w:val="center"/>
          </w:tcPr>
          <w:p>
            <w:pPr>
              <w:widowControl/>
              <w:jc w:val="left"/>
              <w:rPr>
                <w:rFonts w:ascii="仿宋_GB2312" w:hAnsi="宋体" w:eastAsia="仿宋_GB2312" w:cs="宋体"/>
                <w:kern w:val="0"/>
                <w:sz w:val="20"/>
                <w:szCs w:val="20"/>
              </w:rPr>
            </w:pPr>
          </w:p>
        </w:tc>
        <w:tc>
          <w:tcPr>
            <w:tcW w:w="617" w:type="dxa"/>
            <w:vMerge w:val="continue"/>
            <w:noWrap/>
            <w:vAlign w:val="center"/>
          </w:tcPr>
          <w:p>
            <w:pPr>
              <w:widowControl/>
              <w:jc w:val="center"/>
              <w:rPr>
                <w:rFonts w:ascii="宋体" w:hAnsi="宋体" w:eastAsia="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noWrap/>
            <w:vAlign w:val="center"/>
          </w:tcPr>
          <w:p>
            <w:pPr>
              <w:widowControl/>
              <w:jc w:val="center"/>
              <w:rPr>
                <w:rFonts w:ascii="仿宋_GB2312" w:hAnsi="宋体" w:eastAsia="仿宋_GB2312" w:cs="宋体"/>
                <w:kern w:val="0"/>
                <w:sz w:val="20"/>
                <w:szCs w:val="20"/>
              </w:rPr>
            </w:pPr>
          </w:p>
        </w:tc>
        <w:tc>
          <w:tcPr>
            <w:tcW w:w="851"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noWrap/>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noWrap/>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noWrap/>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noWrap/>
            <w:vAlign w:val="center"/>
          </w:tcPr>
          <w:p>
            <w:pPr>
              <w:widowControl/>
              <w:jc w:val="left"/>
              <w:rPr>
                <w:rFonts w:ascii="仿宋_GB2312" w:hAnsi="宋体" w:eastAsia="仿宋_GB2312" w:cs="宋体"/>
                <w:kern w:val="0"/>
                <w:sz w:val="20"/>
                <w:szCs w:val="20"/>
              </w:rPr>
            </w:pPr>
          </w:p>
        </w:tc>
        <w:tc>
          <w:tcPr>
            <w:tcW w:w="617" w:type="dxa"/>
            <w:noWrap/>
            <w:vAlign w:val="center"/>
          </w:tcPr>
          <w:p>
            <w:pPr>
              <w:widowControl/>
              <w:jc w:val="center"/>
              <w:rPr>
                <w:rFonts w:ascii="宋体" w:hAnsi="宋体" w:eastAsia="宋体" w:cs="宋体"/>
                <w:kern w:val="0"/>
                <w:sz w:val="24"/>
              </w:rPr>
            </w:pPr>
            <w:r>
              <w:rPr>
                <w:rFonts w:hint="eastAsia" w:ascii="宋体" w:hAnsi="宋体" w:eastAsia="宋体" w:cs="宋体"/>
                <w:kern w:val="0"/>
                <w:sz w:val="24"/>
              </w:rPr>
              <w:t>92</w:t>
            </w:r>
          </w:p>
        </w:tc>
      </w:tr>
    </w:tbl>
    <w:p>
      <w:pPr>
        <w:spacing w:line="600" w:lineRule="exact"/>
        <w:rPr>
          <w:rFonts w:ascii="宋体" w:hAnsi="宋体" w:cs="宋体"/>
          <w:kern w:val="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NhM2ZmMTVmYTllNzRiYzA0YjM4OTkwOWUwMmQzMjgifQ=="/>
  </w:docVars>
  <w:rsids>
    <w:rsidRoot w:val="00790FB0"/>
    <w:rsid w:val="00047AAA"/>
    <w:rsid w:val="000E58B2"/>
    <w:rsid w:val="000E7771"/>
    <w:rsid w:val="001007F7"/>
    <w:rsid w:val="00101252"/>
    <w:rsid w:val="002620DD"/>
    <w:rsid w:val="002C28E1"/>
    <w:rsid w:val="002D6A96"/>
    <w:rsid w:val="002E02C4"/>
    <w:rsid w:val="0030261C"/>
    <w:rsid w:val="00351EDB"/>
    <w:rsid w:val="003F7CA5"/>
    <w:rsid w:val="006167F4"/>
    <w:rsid w:val="006277B1"/>
    <w:rsid w:val="006A6546"/>
    <w:rsid w:val="006F1EFC"/>
    <w:rsid w:val="00716DE9"/>
    <w:rsid w:val="007771C0"/>
    <w:rsid w:val="00785E7D"/>
    <w:rsid w:val="0078610D"/>
    <w:rsid w:val="00790FB0"/>
    <w:rsid w:val="0089750B"/>
    <w:rsid w:val="008976DC"/>
    <w:rsid w:val="00C00B5E"/>
    <w:rsid w:val="00C44C37"/>
    <w:rsid w:val="00CD1E6C"/>
    <w:rsid w:val="00D5481C"/>
    <w:rsid w:val="00D6753C"/>
    <w:rsid w:val="00E566C8"/>
    <w:rsid w:val="00E818F8"/>
    <w:rsid w:val="00ED6906"/>
    <w:rsid w:val="00FA28C5"/>
    <w:rsid w:val="1EAC476E"/>
    <w:rsid w:val="22C86D7C"/>
    <w:rsid w:val="28F32E41"/>
    <w:rsid w:val="45AD0E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4">
    <w:name w:val="Normal (Web)"/>
    <w:basedOn w:val="1"/>
    <w:uiPriority w:val="0"/>
    <w:rPr>
      <w:sz w:val="24"/>
    </w:rPr>
  </w:style>
  <w:style w:type="character" w:styleId="7">
    <w:name w:val="page number"/>
    <w:basedOn w:val="6"/>
    <w:autoRedefine/>
    <w:qFormat/>
    <w:uiPriority w:val="0"/>
  </w:style>
  <w:style w:type="character" w:styleId="8">
    <w:name w:val="FollowedHyperlink"/>
    <w:basedOn w:val="6"/>
    <w:uiPriority w:val="0"/>
    <w:rPr>
      <w:color w:val="444444"/>
      <w:u w:val="none"/>
    </w:rPr>
  </w:style>
  <w:style w:type="character" w:styleId="9">
    <w:name w:val="Hyperlink"/>
    <w:basedOn w:val="6"/>
    <w:uiPriority w:val="0"/>
    <w:rPr>
      <w:color w:val="444444"/>
      <w:u w:val="none"/>
    </w:rPr>
  </w:style>
  <w:style w:type="character" w:customStyle="1" w:styleId="10">
    <w:name w:val="gai"/>
    <w:basedOn w:val="6"/>
    <w:uiPriority w:val="0"/>
  </w:style>
  <w:style w:type="character" w:customStyle="1" w:styleId="11">
    <w:name w:val="gai1"/>
    <w:basedOn w:val="6"/>
    <w:autoRedefine/>
    <w:qFormat/>
    <w:uiPriority w:val="0"/>
  </w:style>
  <w:style w:type="character" w:customStyle="1" w:styleId="12">
    <w:name w:val="gai2"/>
    <w:basedOn w:val="6"/>
    <w:qFormat/>
    <w:uiPriority w:val="0"/>
  </w:style>
  <w:style w:type="character" w:customStyle="1" w:styleId="13">
    <w:name w:val="gai3"/>
    <w:basedOn w:val="6"/>
    <w:autoRedefine/>
    <w:qFormat/>
    <w:uiPriority w:val="0"/>
  </w:style>
  <w:style w:type="character" w:customStyle="1" w:styleId="14">
    <w:name w:val="gai4"/>
    <w:basedOn w:val="6"/>
    <w:autoRedefine/>
    <w:qFormat/>
    <w:uiPriority w:val="0"/>
  </w:style>
  <w:style w:type="character" w:customStyle="1" w:styleId="15">
    <w:name w:val="you"/>
    <w:basedOn w:val="6"/>
    <w:autoRedefine/>
    <w:qFormat/>
    <w:uiPriority w:val="0"/>
  </w:style>
  <w:style w:type="character" w:customStyle="1" w:styleId="16">
    <w:name w:val="info-valid"/>
    <w:basedOn w:val="6"/>
    <w:autoRedefine/>
    <w:qFormat/>
    <w:uiPriority w:val="0"/>
    <w:rPr>
      <w:color w:val="444444"/>
    </w:rPr>
  </w:style>
  <w:style w:type="character" w:customStyle="1" w:styleId="17">
    <w:name w:val="tit2"/>
    <w:basedOn w:val="6"/>
    <w:autoRedefine/>
    <w:qFormat/>
    <w:uiPriority w:val="0"/>
    <w:rPr>
      <w:color w:val="1D0000"/>
      <w:sz w:val="33"/>
      <w:szCs w:val="33"/>
    </w:rPr>
  </w:style>
  <w:style w:type="character" w:customStyle="1" w:styleId="18">
    <w:name w:val="tianqi"/>
    <w:basedOn w:val="6"/>
    <w:autoRedefine/>
    <w:qFormat/>
    <w:uiPriority w:val="0"/>
  </w:style>
  <w:style w:type="character" w:customStyle="1" w:styleId="19">
    <w:name w:val="sjzs"/>
    <w:basedOn w:val="6"/>
    <w:autoRedefine/>
    <w:qFormat/>
    <w:uiPriority w:val="0"/>
    <w:rPr>
      <w:sz w:val="27"/>
      <w:szCs w:val="27"/>
    </w:rPr>
  </w:style>
  <w:style w:type="character" w:customStyle="1" w:styleId="20">
    <w:name w:val="quanp"/>
    <w:basedOn w:val="6"/>
    <w:autoRedefine/>
    <w:qFormat/>
    <w:uiPriority w:val="0"/>
    <w:rPr>
      <w:color w:val="FFFFFF"/>
      <w:shd w:val="clear" w:color="auto" w:fill="7CB8FE"/>
    </w:rPr>
  </w:style>
  <w:style w:type="character" w:customStyle="1" w:styleId="21">
    <w:name w:val="lname"/>
    <w:basedOn w:val="6"/>
    <w:autoRedefine/>
    <w:qFormat/>
    <w:uiPriority w:val="0"/>
    <w:rPr>
      <w:color w:val="000000"/>
      <w:sz w:val="30"/>
      <w:szCs w:val="30"/>
    </w:rPr>
  </w:style>
  <w:style w:type="character" w:customStyle="1" w:styleId="22">
    <w:name w:val="first-child4"/>
    <w:basedOn w:val="6"/>
    <w:autoRedefine/>
    <w:qFormat/>
    <w:uiPriority w:val="0"/>
    <w:rPr>
      <w:color w:val="BD1B09"/>
    </w:rPr>
  </w:style>
  <w:style w:type="character" w:customStyle="1" w:styleId="23">
    <w:name w:val="first-child5"/>
    <w:basedOn w:val="6"/>
    <w:autoRedefine/>
    <w:qFormat/>
    <w:uiPriority w:val="0"/>
    <w:rPr>
      <w:color w:val="878787"/>
      <w:sz w:val="36"/>
      <w:szCs w:val="36"/>
      <w:shd w:val="clear" w:color="auto" w:fill="FFFFFF"/>
    </w:rPr>
  </w:style>
  <w:style w:type="character" w:customStyle="1" w:styleId="24">
    <w:name w:val="ldjs"/>
    <w:basedOn w:val="6"/>
    <w:autoRedefine/>
    <w:qFormat/>
    <w:uiPriority w:val="0"/>
    <w:rPr>
      <w:color w:val="666666"/>
      <w:sz w:val="24"/>
      <w:szCs w:val="24"/>
    </w:rPr>
  </w:style>
  <w:style w:type="character" w:customStyle="1" w:styleId="25">
    <w:name w:val="quanp2"/>
    <w:basedOn w:val="6"/>
    <w:autoRedefine/>
    <w:qFormat/>
    <w:uiPriority w:val="0"/>
    <w:rPr>
      <w:color w:val="FFFFFF"/>
      <w:sz w:val="0"/>
      <w:szCs w:val="0"/>
      <w:shd w:val="clear" w:color="auto" w:fill="7CB8FE"/>
    </w:rPr>
  </w:style>
  <w:style w:type="character" w:customStyle="1" w:styleId="26">
    <w:name w:val="jiaoluo"/>
    <w:basedOn w:val="6"/>
    <w:autoRedefine/>
    <w:qFormat/>
    <w:uiPriority w:val="0"/>
  </w:style>
  <w:style w:type="character" w:customStyle="1" w:styleId="27">
    <w:name w:val="last3"/>
    <w:basedOn w:val="6"/>
    <w:autoRedefine/>
    <w:qFormat/>
    <w:uiPriority w:val="0"/>
  </w:style>
  <w:style w:type="character" w:customStyle="1" w:styleId="28">
    <w:name w:val="last4"/>
    <w:basedOn w:val="6"/>
    <w:autoRedefine/>
    <w:qFormat/>
    <w:uiPriority w:val="0"/>
  </w:style>
  <w:style w:type="character" w:customStyle="1" w:styleId="29">
    <w:name w:val="fanhui"/>
    <w:basedOn w:val="6"/>
    <w:autoRedefine/>
    <w:qFormat/>
    <w:uiPriority w:val="0"/>
    <w:rPr>
      <w:color w:val="FFFFFF"/>
      <w:sz w:val="24"/>
      <w:szCs w:val="24"/>
    </w:rPr>
  </w:style>
  <w:style w:type="character" w:customStyle="1" w:styleId="30">
    <w:name w:val="jiaoluo2"/>
    <w:basedOn w:val="6"/>
    <w:autoRedefine/>
    <w:qFormat/>
    <w:uiPriority w:val="0"/>
  </w:style>
  <w:style w:type="character" w:customStyle="1" w:styleId="31">
    <w:name w:val="zuo"/>
    <w:basedOn w:val="6"/>
    <w:autoRedefine/>
    <w:qFormat/>
    <w:uiPriority w:val="0"/>
  </w:style>
  <w:style w:type="character" w:customStyle="1" w:styleId="32">
    <w:name w:val="dcs"/>
    <w:basedOn w:val="6"/>
    <w:autoRedefine/>
    <w:qFormat/>
    <w:uiPriority w:val="0"/>
    <w:rPr>
      <w:color w:val="BD1B09"/>
    </w:rPr>
  </w:style>
  <w:style w:type="character" w:customStyle="1" w:styleId="33">
    <w:name w:val="time"/>
    <w:basedOn w:val="6"/>
    <w:autoRedefine/>
    <w:qFormat/>
    <w:uiPriority w:val="0"/>
    <w:rPr>
      <w:color w:val="999999"/>
    </w:rPr>
  </w:style>
  <w:style w:type="character" w:customStyle="1" w:styleId="34">
    <w:name w:val="time1"/>
    <w:basedOn w:val="6"/>
    <w:autoRedefine/>
    <w:qFormat/>
    <w:uiPriority w:val="0"/>
    <w:rPr>
      <w:color w:val="999999"/>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12</Pages>
  <Words>6786</Words>
  <Characters>817</Characters>
  <Lines>6</Lines>
  <Paragraphs>15</Paragraphs>
  <TotalTime>0</TotalTime>
  <ScaleCrop>false</ScaleCrop>
  <LinksUpToDate>false</LinksUpToDate>
  <CharactersWithSpaces>7588</CharactersWithSpaces>
  <Application>WPS Office_12.1.0.16120_F1E327BC-269C-435d-A152-05C5408002CA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2023-04-14T01:31:00Z</dcterms:created>
  <dc:creator>Administrator</dc:creator>
  <cp:lastModifiedBy>企业用户_314885341</cp:lastModifiedBy>
  <dcterms:modified xsi:type="dcterms:W3CDTF">2024-02-21T07:56:16Z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2F54F18A2CE84DADA1B21E746E2F1685</vt:lpwstr>
  </property>
</Properties>
</file>