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FB0" w:rsidRDefault="002D6A96">
      <w:pPr>
        <w:pStyle w:val="a5"/>
        <w:widowControl/>
        <w:spacing w:after="300" w:line="600" w:lineRule="atLeast"/>
        <w:jc w:val="center"/>
      </w:pPr>
      <w:r>
        <w:rPr>
          <w:rFonts w:ascii="宋体" w:eastAsia="宋体" w:hAnsi="宋体" w:cs="宋体" w:hint="eastAsia"/>
          <w:color w:val="444444"/>
          <w:sz w:val="28"/>
          <w:szCs w:val="28"/>
          <w:shd w:val="clear" w:color="auto" w:fill="FFFFFF"/>
        </w:rPr>
        <w:t> </w:t>
      </w:r>
    </w:p>
    <w:p w:rsidR="00790FB0" w:rsidRDefault="002D6A96">
      <w:pPr>
        <w:pStyle w:val="a5"/>
        <w:widowControl/>
        <w:spacing w:after="300" w:line="600" w:lineRule="atLeast"/>
        <w:jc w:val="center"/>
      </w:pPr>
      <w:r>
        <w:rPr>
          <w:rFonts w:ascii="宋体" w:eastAsia="宋体" w:hAnsi="宋体" w:cs="宋体" w:hint="eastAsia"/>
          <w:color w:val="444444"/>
          <w:kern w:val="0"/>
          <w:sz w:val="28"/>
          <w:szCs w:val="28"/>
          <w:shd w:val="clear" w:color="auto" w:fill="FFFFFF"/>
        </w:rPr>
        <w:t>第五部分</w:t>
      </w:r>
    </w:p>
    <w:p w:rsidR="00790FB0" w:rsidRDefault="002D6A96">
      <w:pPr>
        <w:pStyle w:val="a5"/>
        <w:widowControl/>
        <w:spacing w:after="300" w:line="600" w:lineRule="atLeast"/>
        <w:jc w:val="center"/>
      </w:pPr>
      <w:r>
        <w:rPr>
          <w:rFonts w:ascii="宋体" w:eastAsia="宋体" w:hAnsi="宋体" w:cs="宋体" w:hint="eastAsia"/>
          <w:color w:val="444444"/>
          <w:sz w:val="28"/>
          <w:szCs w:val="28"/>
          <w:shd w:val="clear" w:color="auto" w:fill="FFFFFF"/>
        </w:rPr>
        <w:t> </w:t>
      </w:r>
    </w:p>
    <w:p w:rsidR="00790FB0" w:rsidRDefault="002D6A96">
      <w:pPr>
        <w:pStyle w:val="a5"/>
        <w:widowControl/>
        <w:spacing w:after="300" w:line="600" w:lineRule="atLeast"/>
        <w:jc w:val="center"/>
      </w:pPr>
      <w:r>
        <w:rPr>
          <w:rFonts w:ascii="宋体" w:eastAsia="宋体" w:hAnsi="宋体" w:cs="宋体" w:hint="eastAsia"/>
          <w:color w:val="444444"/>
          <w:kern w:val="0"/>
          <w:sz w:val="28"/>
          <w:szCs w:val="28"/>
          <w:shd w:val="clear" w:color="auto" w:fill="FFFFFF"/>
        </w:rPr>
        <w:t>附件</w:t>
      </w:r>
    </w:p>
    <w:p w:rsidR="00790FB0" w:rsidRDefault="002D6A96">
      <w:pPr>
        <w:pStyle w:val="a5"/>
        <w:widowControl/>
        <w:spacing w:after="300" w:line="600" w:lineRule="atLeast"/>
        <w:jc w:val="left"/>
      </w:pPr>
      <w:r>
        <w:rPr>
          <w:rFonts w:ascii="宋体" w:eastAsia="宋体" w:hAnsi="宋体" w:cs="宋体" w:hint="eastAsia"/>
          <w:color w:val="444444"/>
          <w:sz w:val="28"/>
          <w:szCs w:val="28"/>
          <w:shd w:val="clear" w:color="auto" w:fill="FFFFFF"/>
        </w:rPr>
        <w:t> </w:t>
      </w:r>
    </w:p>
    <w:p w:rsidR="00790FB0" w:rsidRDefault="002D6A96">
      <w:pPr>
        <w:pStyle w:val="a5"/>
        <w:widowControl/>
        <w:spacing w:after="300" w:line="600" w:lineRule="atLeast"/>
        <w:jc w:val="center"/>
      </w:pPr>
      <w:r>
        <w:rPr>
          <w:rFonts w:ascii="宋体" w:eastAsia="宋体" w:hAnsi="宋体" w:cs="宋体" w:hint="eastAsia"/>
          <w:color w:val="444444"/>
          <w:sz w:val="28"/>
          <w:szCs w:val="28"/>
          <w:shd w:val="clear" w:color="auto" w:fill="FFFFFF"/>
        </w:rPr>
        <w:t> </w:t>
      </w:r>
    </w:p>
    <w:p w:rsidR="00790FB0" w:rsidRPr="007771C0" w:rsidRDefault="002D6A96">
      <w:pPr>
        <w:pStyle w:val="a5"/>
        <w:widowControl/>
        <w:spacing w:after="300" w:line="600" w:lineRule="atLeast"/>
        <w:jc w:val="center"/>
        <w:rPr>
          <w:rFonts w:eastAsia="宋体"/>
          <w:b/>
          <w:sz w:val="40"/>
        </w:rPr>
      </w:pPr>
      <w:r w:rsidRPr="007771C0">
        <w:rPr>
          <w:rFonts w:ascii="Times New Roman" w:eastAsia="微软雅黑" w:hAnsi="Times New Roman" w:cs="Times New Roman"/>
          <w:b/>
          <w:bCs/>
          <w:color w:val="444444"/>
          <w:sz w:val="44"/>
          <w:szCs w:val="28"/>
          <w:shd w:val="clear" w:color="auto" w:fill="FFFFFF"/>
        </w:rPr>
        <w:t>2021</w:t>
      </w:r>
      <w:r w:rsidRPr="007771C0">
        <w:rPr>
          <w:rFonts w:ascii="宋体" w:eastAsia="宋体" w:hAnsi="宋体" w:cs="宋体" w:hint="eastAsia"/>
          <w:b/>
          <w:bCs/>
          <w:color w:val="444444"/>
          <w:sz w:val="44"/>
          <w:szCs w:val="28"/>
          <w:shd w:val="clear" w:color="auto" w:fill="FFFFFF"/>
        </w:rPr>
        <w:t>年度部门整体支出绩效评价报告</w:t>
      </w:r>
    </w:p>
    <w:p w:rsidR="00790FB0" w:rsidRPr="007771C0" w:rsidRDefault="002D6A96">
      <w:pPr>
        <w:pStyle w:val="a5"/>
        <w:widowControl/>
        <w:spacing w:after="300" w:line="600" w:lineRule="atLeast"/>
        <w:jc w:val="left"/>
        <w:rPr>
          <w:rFonts w:ascii="宋体" w:eastAsia="宋体" w:hAnsi="宋体" w:cs="宋体"/>
          <w:b/>
          <w:color w:val="444444"/>
          <w:kern w:val="0"/>
          <w:sz w:val="28"/>
          <w:szCs w:val="28"/>
          <w:shd w:val="clear" w:color="auto" w:fill="FFFFFF"/>
        </w:rPr>
      </w:pPr>
      <w:r w:rsidRPr="007771C0">
        <w:rPr>
          <w:rFonts w:ascii="宋体" w:eastAsia="宋体" w:hAnsi="宋体" w:cs="宋体" w:hint="eastAsia"/>
          <w:b/>
          <w:color w:val="444444"/>
          <w:kern w:val="0"/>
          <w:sz w:val="28"/>
          <w:szCs w:val="28"/>
          <w:shd w:val="clear" w:color="auto" w:fill="FFFFFF"/>
        </w:rPr>
        <w:t>一、部门概况</w:t>
      </w:r>
    </w:p>
    <w:p w:rsidR="0030261C" w:rsidRPr="0030261C" w:rsidRDefault="0030261C">
      <w:pPr>
        <w:pStyle w:val="a5"/>
        <w:widowControl/>
        <w:spacing w:after="300" w:line="600" w:lineRule="atLeast"/>
        <w:jc w:val="left"/>
      </w:pPr>
      <w:r>
        <w:rPr>
          <w:rFonts w:hint="eastAsia"/>
          <w:color w:val="1E1E1E"/>
        </w:rPr>
        <w:t>中共邵阳市北塔区委网络安全和信息化委员会办公室</w:t>
      </w:r>
      <w:r>
        <w:rPr>
          <w:rFonts w:hint="eastAsia"/>
          <w:color w:val="1E1E1E"/>
        </w:rPr>
        <w:t>(</w:t>
      </w:r>
      <w:r>
        <w:rPr>
          <w:rFonts w:hint="eastAsia"/>
          <w:color w:val="1E1E1E"/>
        </w:rPr>
        <w:t>以下简称区委网信办</w:t>
      </w:r>
      <w:r>
        <w:rPr>
          <w:rFonts w:hint="eastAsia"/>
          <w:color w:val="1E1E1E"/>
        </w:rPr>
        <w:t>)</w:t>
      </w:r>
      <w:r>
        <w:rPr>
          <w:rFonts w:hint="eastAsia"/>
          <w:color w:val="1E1E1E"/>
        </w:rPr>
        <w:t>是区委工作部门，为正科级，由区委统一领导和管理。</w:t>
      </w:r>
    </w:p>
    <w:p w:rsidR="00790FB0" w:rsidRDefault="002D6A96">
      <w:pPr>
        <w:pStyle w:val="a5"/>
        <w:widowControl/>
        <w:spacing w:after="300" w:line="600" w:lineRule="atLeast"/>
        <w:jc w:val="left"/>
      </w:pPr>
      <w:r w:rsidRPr="0030261C">
        <w:rPr>
          <w:rFonts w:ascii="宋体" w:eastAsia="宋体" w:hAnsi="宋体" w:cs="宋体" w:hint="eastAsia"/>
          <w:b/>
          <w:color w:val="444444"/>
          <w:kern w:val="0"/>
          <w:sz w:val="28"/>
          <w:szCs w:val="28"/>
          <w:shd w:val="clear" w:color="auto" w:fill="FFFFFF"/>
        </w:rPr>
        <w:t>（一）基本情况</w:t>
      </w:r>
      <w:r>
        <w:rPr>
          <w:rFonts w:ascii="宋体" w:eastAsia="宋体" w:hAnsi="宋体" w:cs="宋体" w:hint="eastAsia"/>
          <w:color w:val="444444"/>
          <w:kern w:val="0"/>
          <w:sz w:val="28"/>
          <w:szCs w:val="28"/>
          <w:shd w:val="clear" w:color="auto" w:fill="FFFFFF"/>
        </w:rPr>
        <w:t>。</w:t>
      </w:r>
    </w:p>
    <w:p w:rsidR="00790FB0" w:rsidRDefault="002D6A96">
      <w:pPr>
        <w:pStyle w:val="a5"/>
        <w:widowControl/>
        <w:spacing w:after="300" w:line="600" w:lineRule="atLeast"/>
        <w:jc w:val="left"/>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1．主要职能。</w:t>
      </w:r>
    </w:p>
    <w:p w:rsidR="0089750B" w:rsidRDefault="0089750B" w:rsidP="0089750B">
      <w:pPr>
        <w:spacing w:line="480" w:lineRule="exact"/>
        <w:ind w:firstLineChars="200" w:firstLine="480"/>
        <w:rPr>
          <w:rFonts w:ascii="宋体" w:hAnsi="宋体" w:cs="宋体"/>
          <w:sz w:val="24"/>
        </w:rPr>
      </w:pPr>
      <w:r>
        <w:rPr>
          <w:rFonts w:ascii="宋体" w:hAnsi="宋体" w:cs="宋体" w:hint="eastAsia"/>
          <w:sz w:val="24"/>
        </w:rPr>
        <w:t>1.负责处理委员会日常事务工作，协调督促有关方面落实委员会的决定事项、工作部署和要求；组织开展对涉及全区领域的网络安全和信息化重大问题研究，向委员会提出工作建议；组织实施网络意识形态工作责任制、网络安全工作责任制考核。</w:t>
      </w:r>
    </w:p>
    <w:p w:rsidR="0089750B" w:rsidRDefault="0089750B" w:rsidP="0089750B">
      <w:pPr>
        <w:spacing w:line="480" w:lineRule="exact"/>
        <w:ind w:firstLineChars="200" w:firstLine="480"/>
        <w:rPr>
          <w:rFonts w:ascii="宋体" w:hAnsi="宋体" w:cs="宋体"/>
          <w:sz w:val="24"/>
        </w:rPr>
      </w:pPr>
      <w:r>
        <w:rPr>
          <w:rFonts w:ascii="宋体" w:hAnsi="宋体" w:cs="宋体" w:hint="eastAsia"/>
          <w:sz w:val="24"/>
        </w:rPr>
        <w:t>2.组织研究起草全区网络安全和信息化发展战略、宏观规划和重大政策；协调推进全区网络安全和信息化法制、标准建设，根据职责权限拟定网络安全和信</w:t>
      </w:r>
      <w:r>
        <w:rPr>
          <w:rFonts w:ascii="宋体" w:hAnsi="宋体" w:cs="宋体" w:hint="eastAsia"/>
          <w:sz w:val="24"/>
        </w:rPr>
        <w:lastRenderedPageBreak/>
        <w:t>息化领域有关标准并监督实施；依法完善与信息化有关的统计调查制度。</w:t>
      </w:r>
    </w:p>
    <w:p w:rsidR="0089750B" w:rsidRDefault="0089750B" w:rsidP="0089750B">
      <w:pPr>
        <w:spacing w:line="480" w:lineRule="exact"/>
        <w:ind w:firstLineChars="200" w:firstLine="480"/>
        <w:rPr>
          <w:rFonts w:ascii="宋体" w:hAnsi="宋体" w:cs="宋体"/>
          <w:sz w:val="24"/>
        </w:rPr>
      </w:pPr>
      <w:r>
        <w:rPr>
          <w:rFonts w:ascii="宋体" w:hAnsi="宋体" w:cs="宋体" w:hint="eastAsia"/>
          <w:sz w:val="24"/>
        </w:rPr>
        <w:t>3.统筹协调全区网络安全保障体系和可信体系建设，牵头协调有关部门制定相关行业网络安全规划及保障评价指标体系，协调信息安全保护工作；指导推进党政部门、重点行业网络安全保障和信息化工作，协调推动网络安全和信息化核心技术、关键设备等重大科技攻关，统筹推进网络安全和信息化军民融合深度发展；推进网络强区有关工程建设，协同有关部门共同推进电子政务建设，协调推动公共服务和社会治理信息化，协调促进智慧城市建设；指导网络安全信息共享和通报。</w:t>
      </w:r>
    </w:p>
    <w:p w:rsidR="0089750B" w:rsidRDefault="0089750B" w:rsidP="0089750B">
      <w:pPr>
        <w:spacing w:line="480" w:lineRule="exact"/>
        <w:ind w:firstLineChars="200" w:firstLine="480"/>
        <w:rPr>
          <w:rFonts w:ascii="宋体" w:hAnsi="宋体" w:cs="宋体"/>
          <w:sz w:val="24"/>
        </w:rPr>
      </w:pPr>
      <w:r>
        <w:rPr>
          <w:rFonts w:ascii="宋体" w:hAnsi="宋体" w:cs="宋体" w:hint="eastAsia"/>
          <w:sz w:val="24"/>
        </w:rPr>
        <w:t>4.督促落实全区网络安全和信息化有关重大事项；负责协调处理网络安全和信息化重大突发事件与有关应急处置工作。</w:t>
      </w:r>
    </w:p>
    <w:p w:rsidR="0089750B" w:rsidRDefault="0089750B" w:rsidP="0089750B">
      <w:pPr>
        <w:spacing w:line="480" w:lineRule="exact"/>
        <w:ind w:firstLineChars="200" w:firstLine="480"/>
        <w:rPr>
          <w:rFonts w:ascii="宋体" w:hAnsi="宋体" w:cs="宋体"/>
          <w:sz w:val="24"/>
        </w:rPr>
      </w:pPr>
      <w:r>
        <w:rPr>
          <w:rFonts w:ascii="宋体" w:hAnsi="宋体" w:cs="宋体" w:hint="eastAsia"/>
          <w:sz w:val="24"/>
        </w:rPr>
        <w:t>5.负责全区互联网信息内容管理，统筹协调组织互联网宣传管理和舆论引导工作，维护互联网意识形态安全；贯彻落实党和国家互联网新闻信息传播方针政策；负责互联网信息内容监督管理执法，组织开展网络舆论生态治理，处理和封堵网上有害信息，依照相关法律和规定查处有关违法违规行为和网站。</w:t>
      </w:r>
    </w:p>
    <w:p w:rsidR="0089750B" w:rsidRDefault="0089750B" w:rsidP="0089750B">
      <w:pPr>
        <w:spacing w:line="480" w:lineRule="exact"/>
        <w:ind w:firstLineChars="200" w:firstLine="480"/>
        <w:rPr>
          <w:rFonts w:ascii="宋体" w:hAnsi="宋体" w:cs="宋体"/>
          <w:sz w:val="24"/>
        </w:rPr>
      </w:pPr>
      <w:r>
        <w:rPr>
          <w:rFonts w:ascii="宋体" w:hAnsi="宋体" w:cs="宋体" w:hint="eastAsia"/>
          <w:sz w:val="24"/>
        </w:rPr>
        <w:t>6.负责指导协调全区网络舆情信息工作，组织开展网络舆情信息收集分析研判工作，跟踪了解和掌握网络舆情动态；依法规范互联网舆情服务市场。</w:t>
      </w:r>
    </w:p>
    <w:p w:rsidR="0089750B" w:rsidRDefault="0089750B" w:rsidP="0089750B">
      <w:pPr>
        <w:spacing w:line="480" w:lineRule="exact"/>
        <w:ind w:firstLineChars="200" w:firstLine="480"/>
        <w:rPr>
          <w:rFonts w:ascii="宋体" w:hAnsi="宋体" w:cs="宋体"/>
          <w:sz w:val="24"/>
        </w:rPr>
      </w:pPr>
      <w:r>
        <w:rPr>
          <w:rFonts w:ascii="宋体" w:hAnsi="宋体" w:cs="宋体" w:hint="eastAsia"/>
          <w:sz w:val="24"/>
        </w:rPr>
        <w:t>7.推动全区网络阵地建设，负责重点新闻网站规划建设，指导协调网络游戏、网络视听、网络出版等相关业务，推动移动互联网发展，会同有关部门推动传统媒体与新兴媒体融合发展；负责网站转载新闻稿源的管理。</w:t>
      </w:r>
    </w:p>
    <w:p w:rsidR="0089750B" w:rsidRDefault="0089750B" w:rsidP="0089750B">
      <w:pPr>
        <w:spacing w:line="480" w:lineRule="exact"/>
        <w:ind w:firstLineChars="200" w:firstLine="480"/>
        <w:rPr>
          <w:rFonts w:ascii="宋体" w:hAnsi="宋体" w:cs="宋体"/>
          <w:sz w:val="24"/>
        </w:rPr>
      </w:pPr>
      <w:r>
        <w:rPr>
          <w:rFonts w:ascii="宋体" w:hAnsi="宋体" w:cs="宋体" w:hint="eastAsia"/>
          <w:sz w:val="24"/>
        </w:rPr>
        <w:t>8.推动全区网络社会工作和网络文化、网络文明建设；发展、联系、服务互联网相关社会组织，指导互联网行业自律，负责指导全区互联网行业党建工作。</w:t>
      </w:r>
    </w:p>
    <w:p w:rsidR="0089750B" w:rsidRDefault="0089750B" w:rsidP="0089750B">
      <w:pPr>
        <w:spacing w:line="480" w:lineRule="exact"/>
        <w:ind w:firstLineChars="200" w:firstLine="480"/>
        <w:rPr>
          <w:rFonts w:ascii="宋体" w:hAnsi="宋体" w:cs="宋体"/>
          <w:sz w:val="24"/>
        </w:rPr>
      </w:pPr>
      <w:r>
        <w:rPr>
          <w:rFonts w:ascii="宋体" w:hAnsi="宋体" w:cs="宋体" w:hint="eastAsia"/>
          <w:sz w:val="24"/>
        </w:rPr>
        <w:t>9.贯彻落实互联网信息服务资本准入和信息网络行为安全审查的有关政策；依法负责全区网络新闻业务向社会公众提供互联网新闻信息服务的许可及日常监管；指导有关部门督促电信运营企业、接入服务企业、域名注册管理和服务机构等做好域名注册、互联网地址（IP地址）分配、网站登记备案、接入以及网络行为为主体身体信息核对等基础管理工作；指导推进全区新技术新应用安全评估工作。负责统筹推进网络安全审查工作，组织实施关键信息基础设施网络安全的抽查监测和应急演练。</w:t>
      </w:r>
    </w:p>
    <w:p w:rsidR="0089750B" w:rsidRDefault="0089750B" w:rsidP="0089750B">
      <w:pPr>
        <w:spacing w:line="480" w:lineRule="exact"/>
        <w:ind w:firstLineChars="200" w:firstLine="480"/>
        <w:rPr>
          <w:rFonts w:ascii="宋体" w:hAnsi="宋体" w:cs="宋体"/>
          <w:sz w:val="24"/>
        </w:rPr>
      </w:pPr>
      <w:r>
        <w:rPr>
          <w:rFonts w:ascii="宋体" w:hAnsi="宋体" w:cs="宋体" w:hint="eastAsia"/>
          <w:sz w:val="24"/>
        </w:rPr>
        <w:t>10.协调拟定扶持信息网络行业自主创新和发展的政策体系，开展互联网经</w:t>
      </w:r>
      <w:r>
        <w:rPr>
          <w:rFonts w:ascii="宋体" w:hAnsi="宋体" w:cs="宋体" w:hint="eastAsia"/>
          <w:sz w:val="24"/>
        </w:rPr>
        <w:lastRenderedPageBreak/>
        <w:t>济和发展态势研究，协调协动建立健全信息网络行业投融资支持服务体系、技术创新服务体系，统筹协调全区重要信息资源的开发利用与共享。</w:t>
      </w:r>
    </w:p>
    <w:p w:rsidR="0089750B" w:rsidRDefault="0089750B" w:rsidP="0089750B">
      <w:pPr>
        <w:spacing w:line="480" w:lineRule="exact"/>
        <w:ind w:firstLineChars="200" w:firstLine="480"/>
        <w:rPr>
          <w:rFonts w:ascii="宋体" w:hAnsi="宋体" w:cs="宋体"/>
          <w:sz w:val="24"/>
        </w:rPr>
      </w:pPr>
      <w:r>
        <w:rPr>
          <w:rFonts w:ascii="宋体" w:hAnsi="宋体" w:cs="宋体" w:hint="eastAsia"/>
          <w:sz w:val="24"/>
        </w:rPr>
        <w:t>11.协同有关部门指导区内机构开展金融信息服务业务；配合有关部门负责对金融信息服务等业务进行监管；协调建立网络金融信息发布、传播监管制度及工作机制。</w:t>
      </w:r>
    </w:p>
    <w:p w:rsidR="0089750B" w:rsidRDefault="0089750B" w:rsidP="0089750B">
      <w:pPr>
        <w:spacing w:line="480" w:lineRule="exact"/>
        <w:ind w:firstLineChars="200" w:firstLine="480"/>
        <w:rPr>
          <w:rFonts w:ascii="宋体" w:hAnsi="宋体" w:cs="宋体"/>
          <w:sz w:val="24"/>
        </w:rPr>
      </w:pPr>
      <w:r>
        <w:rPr>
          <w:rFonts w:ascii="宋体" w:hAnsi="宋体" w:cs="宋体" w:hint="eastAsia"/>
          <w:sz w:val="24"/>
        </w:rPr>
        <w:t>12.组织拟订全区网络安全和信息化干部人才队伍发展规划，开展网络安全和信息化干部教育培训和人才队伍建设，规划指导互联网新闻信息服务从业人员教育培训和考评工作，开展网络媒体素养教育。</w:t>
      </w:r>
    </w:p>
    <w:p w:rsidR="0089750B" w:rsidRDefault="0089750B" w:rsidP="0089750B">
      <w:pPr>
        <w:spacing w:line="480" w:lineRule="exact"/>
        <w:ind w:firstLineChars="200" w:firstLine="480"/>
        <w:rPr>
          <w:rFonts w:ascii="宋体" w:hAnsi="宋体" w:cs="宋体"/>
          <w:sz w:val="24"/>
        </w:rPr>
      </w:pPr>
      <w:r>
        <w:rPr>
          <w:rFonts w:ascii="宋体" w:hAnsi="宋体" w:cs="宋体" w:hint="eastAsia"/>
          <w:sz w:val="24"/>
        </w:rPr>
        <w:t>13.指导、协调全区网络安全和信息化领域的对外交流和合作。</w:t>
      </w:r>
    </w:p>
    <w:p w:rsidR="0089750B" w:rsidRDefault="0089750B" w:rsidP="0089750B">
      <w:pPr>
        <w:spacing w:line="480" w:lineRule="exact"/>
        <w:ind w:firstLineChars="200" w:firstLine="480"/>
        <w:rPr>
          <w:rFonts w:ascii="宋体" w:hAnsi="宋体" w:cs="宋体"/>
          <w:sz w:val="24"/>
        </w:rPr>
      </w:pPr>
      <w:r>
        <w:rPr>
          <w:rFonts w:ascii="宋体" w:hAnsi="宋体" w:cs="宋体" w:hint="eastAsia"/>
          <w:sz w:val="24"/>
        </w:rPr>
        <w:t>14.指导、检查、推动各乡镇街道和有关部门网络安全和信息化。</w:t>
      </w:r>
    </w:p>
    <w:p w:rsidR="0089750B" w:rsidRDefault="0089750B" w:rsidP="0089750B">
      <w:pPr>
        <w:spacing w:line="480" w:lineRule="exact"/>
        <w:ind w:firstLineChars="200" w:firstLine="480"/>
        <w:rPr>
          <w:rFonts w:ascii="宋体" w:hAnsi="宋体" w:cs="宋体"/>
          <w:sz w:val="24"/>
        </w:rPr>
      </w:pPr>
      <w:r>
        <w:rPr>
          <w:rFonts w:ascii="宋体" w:hAnsi="宋体" w:cs="宋体" w:hint="eastAsia"/>
          <w:sz w:val="24"/>
        </w:rPr>
        <w:t>15.完成区委、区政府和区委网络安全和信息化委员会交办的其他事项。</w:t>
      </w:r>
    </w:p>
    <w:p w:rsidR="0089750B" w:rsidRDefault="002D6A96" w:rsidP="0089750B">
      <w:pPr>
        <w:spacing w:line="480" w:lineRule="exact"/>
        <w:ind w:firstLineChars="200" w:firstLine="560"/>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2.机构情况。</w:t>
      </w:r>
    </w:p>
    <w:p w:rsidR="0089750B" w:rsidRPr="0089750B" w:rsidRDefault="0089750B" w:rsidP="0089750B">
      <w:pPr>
        <w:spacing w:line="480" w:lineRule="exact"/>
        <w:ind w:firstLineChars="200" w:firstLine="480"/>
        <w:rPr>
          <w:rFonts w:ascii="宋体" w:hAnsi="宋体" w:cs="宋体"/>
          <w:sz w:val="24"/>
        </w:rPr>
      </w:pPr>
      <w:r>
        <w:rPr>
          <w:rFonts w:ascii="宋体" w:hAnsi="宋体" w:cs="宋体" w:hint="eastAsia"/>
          <w:sz w:val="24"/>
        </w:rPr>
        <w:t>北塔区委网信办单位内设机构包括：内设三股及一个事业机构，三股为：综  合股、网络宣传与舆情应急股、网络管理和执法股。一个事业机构为北塔区互联网信息服务中心。</w:t>
      </w:r>
    </w:p>
    <w:p w:rsidR="0089750B" w:rsidRDefault="002D6A96" w:rsidP="0089750B">
      <w:pPr>
        <w:spacing w:line="480" w:lineRule="exact"/>
        <w:ind w:firstLineChars="200" w:firstLine="560"/>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3.人员情况。</w:t>
      </w:r>
    </w:p>
    <w:p w:rsidR="00790FB0" w:rsidRPr="0089750B" w:rsidRDefault="0089750B" w:rsidP="0089750B">
      <w:pPr>
        <w:spacing w:line="480" w:lineRule="exact"/>
        <w:ind w:firstLineChars="200" w:firstLine="480"/>
        <w:rPr>
          <w:rFonts w:ascii="宋体" w:hAnsi="宋体" w:cs="宋体"/>
          <w:sz w:val="24"/>
        </w:rPr>
      </w:pPr>
      <w:r>
        <w:rPr>
          <w:rFonts w:ascii="宋体" w:hAnsi="宋体" w:cs="宋体" w:hint="eastAsia"/>
          <w:sz w:val="24"/>
        </w:rPr>
        <w:t>中共邵阳市北塔区委网络安全和信息化委员会办公室编制人数</w:t>
      </w:r>
      <w:r w:rsidR="00CD1E6C">
        <w:rPr>
          <w:rFonts w:ascii="宋体" w:hAnsi="宋体" w:cs="宋体" w:hint="eastAsia"/>
          <w:sz w:val="24"/>
        </w:rPr>
        <w:t>7</w:t>
      </w:r>
      <w:r>
        <w:rPr>
          <w:rFonts w:ascii="宋体" w:hAnsi="宋体" w:cs="宋体" w:hint="eastAsia"/>
          <w:sz w:val="24"/>
        </w:rPr>
        <w:t>人，实际人数</w:t>
      </w:r>
      <w:r w:rsidR="00CD1E6C">
        <w:rPr>
          <w:rFonts w:ascii="宋体" w:hAnsi="宋体" w:cs="宋体" w:hint="eastAsia"/>
          <w:sz w:val="24"/>
        </w:rPr>
        <w:t>7</w:t>
      </w:r>
      <w:r>
        <w:rPr>
          <w:rFonts w:ascii="宋体" w:hAnsi="宋体" w:cs="宋体" w:hint="eastAsia"/>
          <w:sz w:val="24"/>
        </w:rPr>
        <w:t>人，其中在职人数</w:t>
      </w:r>
      <w:r w:rsidR="00CD1E6C">
        <w:rPr>
          <w:rFonts w:ascii="宋体" w:hAnsi="宋体" w:cs="宋体" w:hint="eastAsia"/>
          <w:sz w:val="24"/>
        </w:rPr>
        <w:t>7</w:t>
      </w:r>
      <w:r>
        <w:rPr>
          <w:rFonts w:ascii="宋体" w:hAnsi="宋体" w:cs="宋体" w:hint="eastAsia"/>
          <w:sz w:val="24"/>
        </w:rPr>
        <w:t>人，离退休0人，遗属补助人数0人，小车编制数0台，无房屋。</w:t>
      </w:r>
    </w:p>
    <w:p w:rsidR="00790FB0" w:rsidRPr="007771C0" w:rsidRDefault="002D6A96">
      <w:pPr>
        <w:pStyle w:val="a5"/>
        <w:widowControl/>
        <w:spacing w:after="300" w:line="600" w:lineRule="atLeast"/>
        <w:jc w:val="left"/>
        <w:rPr>
          <w:b/>
        </w:rPr>
      </w:pPr>
      <w:r w:rsidRPr="007771C0">
        <w:rPr>
          <w:rFonts w:ascii="宋体" w:eastAsia="宋体" w:hAnsi="宋体" w:cs="宋体" w:hint="eastAsia"/>
          <w:b/>
          <w:color w:val="444444"/>
          <w:kern w:val="0"/>
          <w:sz w:val="28"/>
          <w:szCs w:val="28"/>
          <w:shd w:val="clear" w:color="auto" w:fill="FFFFFF"/>
        </w:rPr>
        <w:t>二、部门整体支出管理及使用情况</w:t>
      </w:r>
    </w:p>
    <w:p w:rsidR="00790FB0" w:rsidRDefault="002D6A96">
      <w:pPr>
        <w:pStyle w:val="a5"/>
        <w:widowControl/>
        <w:spacing w:after="300" w:line="600" w:lineRule="atLeast"/>
        <w:jc w:val="left"/>
      </w:pPr>
      <w:r>
        <w:rPr>
          <w:rFonts w:ascii="宋体" w:eastAsia="宋体" w:hAnsi="宋体" w:cs="宋体" w:hint="eastAsia"/>
          <w:color w:val="444444"/>
          <w:kern w:val="0"/>
          <w:sz w:val="28"/>
          <w:szCs w:val="28"/>
          <w:shd w:val="clear" w:color="auto" w:fill="FFFFFF"/>
        </w:rPr>
        <w:t>（一）基本支出</w:t>
      </w:r>
    </w:p>
    <w:p w:rsidR="00790FB0" w:rsidRDefault="0089750B">
      <w:pPr>
        <w:pStyle w:val="a5"/>
        <w:widowControl/>
        <w:spacing w:after="300" w:line="600" w:lineRule="atLeast"/>
        <w:jc w:val="left"/>
      </w:pPr>
      <w:r>
        <w:rPr>
          <w:rFonts w:ascii="宋体" w:eastAsia="宋体" w:hAnsi="宋体" w:cs="宋体" w:hint="eastAsia"/>
          <w:color w:val="444444"/>
          <w:kern w:val="0"/>
          <w:sz w:val="28"/>
          <w:szCs w:val="28"/>
          <w:shd w:val="clear" w:color="auto" w:fill="FFFFFF"/>
        </w:rPr>
        <w:t>基本支出系保障我办</w:t>
      </w:r>
      <w:r w:rsidR="002D6A96">
        <w:rPr>
          <w:rFonts w:ascii="宋体" w:eastAsia="宋体" w:hAnsi="宋体" w:cs="宋体" w:hint="eastAsia"/>
          <w:color w:val="444444"/>
          <w:kern w:val="0"/>
          <w:sz w:val="28"/>
          <w:szCs w:val="28"/>
          <w:shd w:val="clear" w:color="auto" w:fill="FFFFFF"/>
        </w:rPr>
        <w:t>机构正常运转、完成日常工作任务而发生的人员支出和公用支出，包括用于在职和离退休人员基本工资、津贴补贴等人员经费以及办公费、印刷费、水电费、办公设备购置等日常公用经费。2021年我</w:t>
      </w:r>
      <w:r w:rsidR="000E58B2">
        <w:rPr>
          <w:rFonts w:ascii="宋体" w:eastAsia="宋体" w:hAnsi="宋体" w:cs="宋体" w:hint="eastAsia"/>
          <w:color w:val="444444"/>
          <w:kern w:val="0"/>
          <w:sz w:val="28"/>
          <w:szCs w:val="28"/>
          <w:shd w:val="clear" w:color="auto" w:fill="FFFFFF"/>
        </w:rPr>
        <w:t>办</w:t>
      </w:r>
      <w:r w:rsidR="002D6A96">
        <w:rPr>
          <w:rFonts w:ascii="宋体" w:eastAsia="宋体" w:hAnsi="宋体" w:cs="宋体" w:hint="eastAsia"/>
          <w:color w:val="444444"/>
          <w:kern w:val="0"/>
          <w:sz w:val="28"/>
          <w:szCs w:val="28"/>
          <w:shd w:val="clear" w:color="auto" w:fill="FFFFFF"/>
        </w:rPr>
        <w:t>基本支出</w:t>
      </w:r>
      <w:r w:rsidR="001007F7">
        <w:rPr>
          <w:rFonts w:ascii="宋体" w:eastAsia="宋体" w:hAnsi="宋体" w:cs="宋体" w:hint="eastAsia"/>
          <w:color w:val="444444"/>
          <w:kern w:val="0"/>
          <w:sz w:val="28"/>
          <w:szCs w:val="28"/>
          <w:shd w:val="clear" w:color="auto" w:fill="FFFFFF"/>
        </w:rPr>
        <w:t>137.56</w:t>
      </w:r>
      <w:r w:rsidR="002D6A96">
        <w:rPr>
          <w:rFonts w:ascii="宋体" w:eastAsia="宋体" w:hAnsi="宋体" w:cs="宋体" w:hint="eastAsia"/>
          <w:color w:val="444444"/>
          <w:kern w:val="0"/>
          <w:sz w:val="28"/>
          <w:szCs w:val="28"/>
          <w:shd w:val="clear" w:color="auto" w:fill="FFFFFF"/>
        </w:rPr>
        <w:t>万元，比上年同口径增加</w:t>
      </w:r>
      <w:r w:rsidR="00351EDB">
        <w:rPr>
          <w:rFonts w:ascii="宋体" w:eastAsia="宋体" w:hAnsi="宋体" w:cs="宋体" w:hint="eastAsia"/>
          <w:color w:val="444444"/>
          <w:kern w:val="0"/>
          <w:sz w:val="28"/>
          <w:szCs w:val="28"/>
          <w:shd w:val="clear" w:color="auto" w:fill="FFFFFF"/>
        </w:rPr>
        <w:t>39.35</w:t>
      </w:r>
      <w:r w:rsidR="002D6A96">
        <w:rPr>
          <w:rFonts w:ascii="宋体" w:eastAsia="宋体" w:hAnsi="宋体" w:cs="宋体" w:hint="eastAsia"/>
          <w:color w:val="444444"/>
          <w:kern w:val="0"/>
          <w:sz w:val="28"/>
          <w:szCs w:val="28"/>
          <w:shd w:val="clear" w:color="auto" w:fill="FFFFFF"/>
        </w:rPr>
        <w:t>万</w:t>
      </w:r>
      <w:r w:rsidR="002D6A96">
        <w:rPr>
          <w:rFonts w:ascii="宋体" w:eastAsia="宋体" w:hAnsi="宋体" w:cs="宋体" w:hint="eastAsia"/>
          <w:color w:val="444444"/>
          <w:kern w:val="0"/>
          <w:sz w:val="28"/>
          <w:szCs w:val="28"/>
          <w:shd w:val="clear" w:color="auto" w:fill="FFFFFF"/>
        </w:rPr>
        <w:lastRenderedPageBreak/>
        <w:t>元，增长</w:t>
      </w:r>
      <w:r w:rsidR="00351EDB">
        <w:rPr>
          <w:rFonts w:ascii="宋体" w:eastAsia="宋体" w:hAnsi="宋体" w:cs="宋体" w:hint="eastAsia"/>
          <w:color w:val="444444"/>
          <w:kern w:val="0"/>
          <w:sz w:val="28"/>
          <w:szCs w:val="28"/>
          <w:shd w:val="clear" w:color="auto" w:fill="FFFFFF"/>
        </w:rPr>
        <w:t>40.07</w:t>
      </w:r>
      <w:r w:rsidR="002D6A96">
        <w:rPr>
          <w:rFonts w:ascii="宋体" w:eastAsia="宋体" w:hAnsi="宋体" w:cs="宋体" w:hint="eastAsia"/>
          <w:color w:val="444444"/>
          <w:kern w:val="0"/>
          <w:sz w:val="28"/>
          <w:szCs w:val="28"/>
          <w:shd w:val="clear" w:color="auto" w:fill="FFFFFF"/>
        </w:rPr>
        <w:t>%。其中：工资福利支出</w:t>
      </w:r>
      <w:r w:rsidR="001007F7">
        <w:rPr>
          <w:rFonts w:ascii="宋体" w:eastAsia="宋体" w:hAnsi="宋体" w:cs="宋体" w:hint="eastAsia"/>
          <w:color w:val="444444"/>
          <w:kern w:val="0"/>
          <w:sz w:val="28"/>
          <w:szCs w:val="28"/>
          <w:shd w:val="clear" w:color="auto" w:fill="FFFFFF"/>
        </w:rPr>
        <w:t>82.98</w:t>
      </w:r>
      <w:r w:rsidR="002D6A96">
        <w:rPr>
          <w:rFonts w:ascii="宋体" w:eastAsia="宋体" w:hAnsi="宋体" w:cs="宋体" w:hint="eastAsia"/>
          <w:color w:val="444444"/>
          <w:kern w:val="0"/>
          <w:sz w:val="28"/>
          <w:szCs w:val="28"/>
          <w:shd w:val="clear" w:color="auto" w:fill="FFFFFF"/>
        </w:rPr>
        <w:t>万元，商品和服务支出</w:t>
      </w:r>
      <w:r w:rsidR="001007F7">
        <w:rPr>
          <w:rFonts w:ascii="宋体" w:eastAsia="宋体" w:hAnsi="宋体" w:cs="宋体" w:hint="eastAsia"/>
          <w:color w:val="444444"/>
          <w:kern w:val="0"/>
          <w:sz w:val="28"/>
          <w:szCs w:val="28"/>
          <w:shd w:val="clear" w:color="auto" w:fill="FFFFFF"/>
        </w:rPr>
        <w:t>22.57</w:t>
      </w:r>
      <w:r w:rsidR="002D6A96">
        <w:rPr>
          <w:rFonts w:ascii="宋体" w:eastAsia="宋体" w:hAnsi="宋体" w:cs="宋体" w:hint="eastAsia"/>
          <w:color w:val="444444"/>
          <w:kern w:val="0"/>
          <w:sz w:val="28"/>
          <w:szCs w:val="28"/>
          <w:shd w:val="clear" w:color="auto" w:fill="FFFFFF"/>
        </w:rPr>
        <w:t>万元，对个人和家庭的补助</w:t>
      </w:r>
      <w:r w:rsidR="001007F7">
        <w:rPr>
          <w:rFonts w:ascii="宋体" w:eastAsia="宋体" w:hAnsi="宋体" w:cs="宋体" w:hint="eastAsia"/>
          <w:color w:val="444444"/>
          <w:kern w:val="0"/>
          <w:sz w:val="28"/>
          <w:szCs w:val="28"/>
          <w:shd w:val="clear" w:color="auto" w:fill="FFFFFF"/>
        </w:rPr>
        <w:t>0</w:t>
      </w:r>
      <w:r w:rsidR="002D6A96">
        <w:rPr>
          <w:rFonts w:ascii="宋体" w:eastAsia="宋体" w:hAnsi="宋体" w:cs="宋体" w:hint="eastAsia"/>
          <w:color w:val="444444"/>
          <w:kern w:val="0"/>
          <w:sz w:val="28"/>
          <w:szCs w:val="28"/>
          <w:shd w:val="clear" w:color="auto" w:fill="FFFFFF"/>
        </w:rPr>
        <w:t>万元，资本性支出</w:t>
      </w:r>
      <w:r w:rsidR="001007F7">
        <w:rPr>
          <w:rFonts w:ascii="宋体" w:eastAsia="宋体" w:hAnsi="宋体" w:cs="宋体" w:hint="eastAsia"/>
          <w:color w:val="444444"/>
          <w:kern w:val="0"/>
          <w:sz w:val="28"/>
          <w:szCs w:val="28"/>
          <w:shd w:val="clear" w:color="auto" w:fill="FFFFFF"/>
        </w:rPr>
        <w:t>32</w:t>
      </w:r>
      <w:r w:rsidR="002D6A96">
        <w:rPr>
          <w:rFonts w:ascii="宋体" w:eastAsia="宋体" w:hAnsi="宋体" w:cs="宋体" w:hint="eastAsia"/>
          <w:color w:val="444444"/>
          <w:kern w:val="0"/>
          <w:sz w:val="28"/>
          <w:szCs w:val="28"/>
          <w:shd w:val="clear" w:color="auto" w:fill="FFFFFF"/>
        </w:rPr>
        <w:t>万元。</w:t>
      </w:r>
    </w:p>
    <w:p w:rsidR="00790FB0" w:rsidRDefault="002D6A96">
      <w:pPr>
        <w:pStyle w:val="a5"/>
        <w:widowControl/>
        <w:spacing w:after="300" w:line="600" w:lineRule="atLeast"/>
        <w:jc w:val="left"/>
      </w:pPr>
      <w:r>
        <w:rPr>
          <w:rFonts w:ascii="宋体" w:eastAsia="宋体" w:hAnsi="宋体" w:cs="宋体" w:hint="eastAsia"/>
          <w:color w:val="444444"/>
          <w:kern w:val="0"/>
          <w:sz w:val="28"/>
          <w:szCs w:val="28"/>
          <w:shd w:val="clear" w:color="auto" w:fill="FFFFFF"/>
        </w:rPr>
        <w:t>2021年“三公”经费实际开支总额</w:t>
      </w:r>
      <w:r w:rsidR="0089750B">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万元。其中：因公出国（境）费支出本年未发生。公务用车购置及运行维护费实际开支</w:t>
      </w:r>
      <w:r w:rsidR="0089750B">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万元（公务用车购置费未发生，公务用车运行维护费</w:t>
      </w:r>
      <w:r w:rsidR="0089750B">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万元），公务用车保有量</w:t>
      </w:r>
      <w:r w:rsidR="0089750B">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辆；公务接待费实际开支</w:t>
      </w:r>
      <w:r w:rsidR="0089750B">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万元，公务接待X批次</w:t>
      </w:r>
      <w:r w:rsidR="0089750B">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人次。2021年“三公”经费实际开支总额比2020年同口径减少</w:t>
      </w:r>
      <w:r w:rsidR="006A6546">
        <w:rPr>
          <w:rFonts w:ascii="宋体" w:eastAsia="宋体" w:hAnsi="宋体" w:cs="宋体" w:hint="eastAsia"/>
          <w:color w:val="444444"/>
          <w:kern w:val="0"/>
          <w:sz w:val="28"/>
          <w:szCs w:val="28"/>
          <w:shd w:val="clear" w:color="auto" w:fill="FFFFFF"/>
        </w:rPr>
        <w:t>0.13</w:t>
      </w:r>
      <w:r>
        <w:rPr>
          <w:rFonts w:ascii="宋体" w:eastAsia="宋体" w:hAnsi="宋体" w:cs="宋体" w:hint="eastAsia"/>
          <w:color w:val="444444"/>
          <w:kern w:val="0"/>
          <w:sz w:val="28"/>
          <w:szCs w:val="28"/>
          <w:shd w:val="clear" w:color="auto" w:fill="FFFFFF"/>
        </w:rPr>
        <w:t>万元，下降</w:t>
      </w:r>
      <w:r w:rsidR="006A6546">
        <w:rPr>
          <w:rFonts w:ascii="宋体" w:eastAsia="宋体" w:hAnsi="宋体" w:cs="宋体" w:hint="eastAsia"/>
          <w:color w:val="444444"/>
          <w:kern w:val="0"/>
          <w:sz w:val="28"/>
          <w:szCs w:val="28"/>
          <w:shd w:val="clear" w:color="auto" w:fill="FFFFFF"/>
        </w:rPr>
        <w:t>-100</w:t>
      </w:r>
      <w:r>
        <w:rPr>
          <w:rFonts w:ascii="宋体" w:eastAsia="宋体" w:hAnsi="宋体" w:cs="宋体" w:hint="eastAsia"/>
          <w:color w:val="444444"/>
          <w:kern w:val="0"/>
          <w:sz w:val="28"/>
          <w:szCs w:val="28"/>
          <w:shd w:val="clear" w:color="auto" w:fill="FFFFFF"/>
        </w:rPr>
        <w:t>%。原因为</w:t>
      </w:r>
      <w:r w:rsidR="006A6546">
        <w:rPr>
          <w:rFonts w:ascii="宋体" w:eastAsia="宋体" w:hAnsi="宋体" w:cs="宋体" w:hint="eastAsia"/>
          <w:color w:val="444444"/>
          <w:kern w:val="0"/>
          <w:sz w:val="28"/>
          <w:szCs w:val="28"/>
          <w:shd w:val="clear" w:color="auto" w:fill="FFFFFF"/>
        </w:rPr>
        <w:t>厉行节约，减少开支</w:t>
      </w:r>
      <w:r>
        <w:rPr>
          <w:rFonts w:ascii="宋体" w:eastAsia="宋体" w:hAnsi="宋体" w:cs="宋体" w:hint="eastAsia"/>
          <w:color w:val="444444"/>
          <w:kern w:val="0"/>
          <w:sz w:val="28"/>
          <w:szCs w:val="28"/>
          <w:shd w:val="clear" w:color="auto" w:fill="FFFFFF"/>
        </w:rPr>
        <w:t>。</w:t>
      </w:r>
    </w:p>
    <w:p w:rsidR="00790FB0" w:rsidRDefault="002D6A96">
      <w:pPr>
        <w:pStyle w:val="a5"/>
        <w:widowControl/>
        <w:spacing w:after="300" w:line="600" w:lineRule="atLeast"/>
        <w:jc w:val="left"/>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（二）专项支出</w:t>
      </w:r>
    </w:p>
    <w:p w:rsidR="00E566C8" w:rsidRDefault="00E566C8">
      <w:pPr>
        <w:pStyle w:val="a5"/>
        <w:widowControl/>
        <w:spacing w:after="300" w:line="600" w:lineRule="atLeast"/>
        <w:jc w:val="left"/>
      </w:pPr>
      <w:r>
        <w:rPr>
          <w:rFonts w:hint="eastAsia"/>
          <w:color w:val="1E1E1E"/>
        </w:rPr>
        <w:t>2020</w:t>
      </w:r>
      <w:r>
        <w:rPr>
          <w:rFonts w:hint="eastAsia"/>
          <w:color w:val="1E1E1E"/>
        </w:rPr>
        <w:t>年我办项目支出</w:t>
      </w:r>
      <w:r>
        <w:rPr>
          <w:rFonts w:hint="eastAsia"/>
          <w:color w:val="1E1E1E"/>
        </w:rPr>
        <w:t>0</w:t>
      </w:r>
      <w:r>
        <w:rPr>
          <w:rFonts w:hint="eastAsia"/>
          <w:color w:val="1E1E1E"/>
        </w:rPr>
        <w:t>万元。</w:t>
      </w:r>
    </w:p>
    <w:p w:rsidR="00790FB0" w:rsidRPr="007771C0" w:rsidRDefault="002D6A96">
      <w:pPr>
        <w:pStyle w:val="a5"/>
        <w:widowControl/>
        <w:spacing w:after="300" w:line="600" w:lineRule="atLeast"/>
        <w:jc w:val="left"/>
        <w:rPr>
          <w:b/>
        </w:rPr>
      </w:pPr>
      <w:r w:rsidRPr="007771C0">
        <w:rPr>
          <w:rFonts w:ascii="宋体" w:eastAsia="宋体" w:hAnsi="宋体" w:cs="宋体" w:hint="eastAsia"/>
          <w:b/>
          <w:color w:val="444444"/>
          <w:kern w:val="0"/>
          <w:sz w:val="28"/>
          <w:szCs w:val="28"/>
          <w:shd w:val="clear" w:color="auto" w:fill="FFFFFF"/>
        </w:rPr>
        <w:t>三、资产管理情况</w:t>
      </w:r>
    </w:p>
    <w:p w:rsidR="00790FB0" w:rsidRDefault="0089750B">
      <w:pPr>
        <w:pStyle w:val="a5"/>
        <w:widowControl/>
        <w:spacing w:after="300" w:line="600" w:lineRule="atLeast"/>
        <w:jc w:val="left"/>
        <w:rPr>
          <w:rFonts w:eastAsia="宋体"/>
        </w:rPr>
      </w:pPr>
      <w:r>
        <w:rPr>
          <w:rFonts w:ascii="仿宋" w:eastAsia="仿宋" w:hAnsi="仿宋" w:cs="仿宋"/>
          <w:sz w:val="32"/>
          <w:szCs w:val="32"/>
        </w:rPr>
        <w:t>我</w:t>
      </w:r>
      <w:r>
        <w:rPr>
          <w:rFonts w:ascii="仿宋" w:eastAsia="仿宋" w:hAnsi="仿宋" w:cs="仿宋" w:hint="eastAsia"/>
          <w:sz w:val="32"/>
          <w:szCs w:val="32"/>
        </w:rPr>
        <w:t>办</w:t>
      </w:r>
      <w:r w:rsidR="002D6A96">
        <w:rPr>
          <w:rFonts w:ascii="仿宋" w:eastAsia="仿宋" w:hAnsi="仿宋" w:cs="仿宋"/>
          <w:sz w:val="32"/>
          <w:szCs w:val="32"/>
        </w:rPr>
        <w:t>资产管理由办公室负责，资产采购按程序实行报批采购，</w:t>
      </w:r>
      <w:r w:rsidR="002D6A96">
        <w:rPr>
          <w:rFonts w:ascii="仿宋" w:eastAsia="仿宋" w:hAnsi="仿宋" w:cs="仿宋" w:hint="eastAsia"/>
          <w:sz w:val="32"/>
          <w:szCs w:val="32"/>
        </w:rPr>
        <w:t>统一在政采云平台下单，</w:t>
      </w:r>
      <w:r w:rsidR="002D6A96">
        <w:rPr>
          <w:rFonts w:ascii="仿宋" w:eastAsia="仿宋" w:hAnsi="仿宋" w:cs="仿宋"/>
          <w:sz w:val="32"/>
          <w:szCs w:val="32"/>
        </w:rPr>
        <w:t>采购后登记</w:t>
      </w:r>
      <w:r w:rsidR="002D6A96">
        <w:rPr>
          <w:rFonts w:ascii="仿宋" w:eastAsia="仿宋" w:hAnsi="仿宋" w:cs="仿宋" w:hint="eastAsia"/>
          <w:sz w:val="32"/>
          <w:szCs w:val="32"/>
        </w:rPr>
        <w:t>入账，录入资产信息系统</w:t>
      </w:r>
      <w:r w:rsidR="002D6A96">
        <w:rPr>
          <w:rFonts w:ascii="仿宋" w:eastAsia="仿宋" w:hAnsi="仿宋" w:cs="仿宋"/>
          <w:sz w:val="32"/>
          <w:szCs w:val="32"/>
        </w:rPr>
        <w:t>，再派发到相关科室。</w:t>
      </w:r>
      <w:r w:rsidR="002D6A96">
        <w:rPr>
          <w:rFonts w:ascii="仿宋" w:eastAsia="仿宋" w:hAnsi="仿宋" w:cs="仿宋" w:hint="eastAsia"/>
          <w:sz w:val="32"/>
          <w:szCs w:val="32"/>
        </w:rPr>
        <w:t>一是我</w:t>
      </w:r>
      <w:r w:rsidR="000E58B2">
        <w:rPr>
          <w:rFonts w:ascii="仿宋" w:eastAsia="仿宋" w:hAnsi="仿宋" w:cs="仿宋" w:hint="eastAsia"/>
          <w:sz w:val="32"/>
          <w:szCs w:val="32"/>
        </w:rPr>
        <w:t>办</w:t>
      </w:r>
      <w:r w:rsidR="002D6A96">
        <w:rPr>
          <w:rFonts w:ascii="仿宋" w:eastAsia="仿宋" w:hAnsi="仿宋" w:cs="仿宋" w:hint="eastAsia"/>
          <w:sz w:val="32"/>
          <w:szCs w:val="32"/>
        </w:rPr>
        <w:t>资产管理和使用坚持统一政策、统一领导、分级管理、责任到人、物尽其用的原则。</w:t>
      </w:r>
      <w:r w:rsidR="002D6A96">
        <w:rPr>
          <w:rFonts w:ascii="仿宋" w:eastAsia="仿宋" w:hAnsi="仿宋" w:cs="仿宋"/>
          <w:sz w:val="32"/>
          <w:szCs w:val="32"/>
        </w:rPr>
        <w:t>二是运用</w:t>
      </w:r>
      <w:r w:rsidR="002D6A96">
        <w:rPr>
          <w:rFonts w:ascii="仿宋" w:eastAsia="仿宋" w:hAnsi="仿宋" w:cs="仿宋" w:hint="eastAsia"/>
          <w:sz w:val="32"/>
          <w:szCs w:val="32"/>
        </w:rPr>
        <w:t>资产</w:t>
      </w:r>
      <w:r w:rsidR="002D6A96">
        <w:rPr>
          <w:rFonts w:ascii="仿宋" w:eastAsia="仿宋" w:hAnsi="仿宋" w:cs="仿宋"/>
          <w:sz w:val="32"/>
          <w:szCs w:val="32"/>
        </w:rPr>
        <w:t>信息管理系统加强资产管理。</w:t>
      </w:r>
      <w:r w:rsidR="002D6A96">
        <w:rPr>
          <w:rFonts w:ascii="仿宋" w:eastAsia="仿宋" w:hAnsi="仿宋" w:cs="仿宋" w:hint="eastAsia"/>
          <w:sz w:val="32"/>
          <w:szCs w:val="32"/>
        </w:rPr>
        <w:t>对</w:t>
      </w:r>
      <w:r w:rsidR="002D6A96">
        <w:rPr>
          <w:rFonts w:ascii="仿宋" w:eastAsia="仿宋" w:hAnsi="仿宋" w:cs="仿宋"/>
          <w:sz w:val="32"/>
          <w:szCs w:val="32"/>
        </w:rPr>
        <w:t>固定资产分别按使用部门、存放地点和</w:t>
      </w:r>
      <w:r w:rsidR="002D6A96">
        <w:rPr>
          <w:rFonts w:ascii="仿宋" w:eastAsia="仿宋" w:hAnsi="仿宋" w:cs="仿宋" w:hint="eastAsia"/>
          <w:sz w:val="32"/>
          <w:szCs w:val="32"/>
        </w:rPr>
        <w:t>使用</w:t>
      </w:r>
      <w:r w:rsidR="002D6A96">
        <w:rPr>
          <w:rFonts w:ascii="仿宋" w:eastAsia="仿宋" w:hAnsi="仿宋" w:cs="仿宋"/>
          <w:sz w:val="32"/>
          <w:szCs w:val="32"/>
        </w:rPr>
        <w:t>人顺序编排编码排序，统一录入“一物一条码”信息管理系统，分部门打印出条形码，发放到各部门按要求统一粘贴到固定资产上，并指定专人负责管理。三是每年组织一次固定资产资产清查工作，使固定资</w:t>
      </w:r>
      <w:r w:rsidR="002D6A96">
        <w:rPr>
          <w:rFonts w:ascii="仿宋" w:eastAsia="仿宋" w:hAnsi="仿宋" w:cs="仿宋"/>
          <w:sz w:val="32"/>
          <w:szCs w:val="32"/>
        </w:rPr>
        <w:lastRenderedPageBreak/>
        <w:t>产检查</w:t>
      </w:r>
      <w:r w:rsidR="002D6A96">
        <w:rPr>
          <w:rFonts w:ascii="仿宋" w:eastAsia="仿宋" w:hAnsi="仿宋" w:cs="仿宋" w:hint="eastAsia"/>
          <w:sz w:val="32"/>
          <w:szCs w:val="32"/>
        </w:rPr>
        <w:t>常态</w:t>
      </w:r>
      <w:r w:rsidR="002D6A96">
        <w:rPr>
          <w:rFonts w:ascii="仿宋" w:eastAsia="仿宋" w:hAnsi="仿宋" w:cs="仿宋"/>
          <w:sz w:val="32"/>
          <w:szCs w:val="32"/>
        </w:rPr>
        <w:t>化，确保账、卡、实相符。四是根据《湖南省财政厅关于做好行政事业性国有资产月报试编工作的通知》文件要求，每月及时通过财政部统一报表系统上报资产月报电子数据</w:t>
      </w:r>
      <w:r w:rsidR="002D6A96">
        <w:rPr>
          <w:rFonts w:ascii="仿宋" w:eastAsia="仿宋" w:hAnsi="仿宋" w:cs="仿宋" w:hint="eastAsia"/>
          <w:sz w:val="32"/>
          <w:szCs w:val="32"/>
        </w:rPr>
        <w:t>，每年编制一次固定资产年报</w:t>
      </w:r>
    </w:p>
    <w:p w:rsidR="00790FB0" w:rsidRDefault="002D6A96">
      <w:pPr>
        <w:pStyle w:val="a5"/>
        <w:widowControl/>
        <w:spacing w:after="300" w:line="600" w:lineRule="atLeast"/>
        <w:jc w:val="left"/>
      </w:pPr>
      <w:r>
        <w:rPr>
          <w:rFonts w:ascii="宋体" w:eastAsia="宋体" w:hAnsi="宋体" w:cs="宋体" w:hint="eastAsia"/>
          <w:color w:val="444444"/>
          <w:kern w:val="0"/>
          <w:sz w:val="28"/>
          <w:szCs w:val="28"/>
          <w:shd w:val="clear" w:color="auto" w:fill="FFFFFF"/>
        </w:rPr>
        <w:t>截至2021年12月31日，邵阳市</w:t>
      </w:r>
      <w:r w:rsidR="002C28E1">
        <w:rPr>
          <w:rFonts w:ascii="宋体" w:eastAsia="宋体" w:hAnsi="宋体" w:cs="宋体" w:hint="eastAsia"/>
          <w:color w:val="444444"/>
          <w:kern w:val="0"/>
          <w:sz w:val="28"/>
          <w:szCs w:val="28"/>
          <w:shd w:val="clear" w:color="auto" w:fill="FFFFFF"/>
        </w:rPr>
        <w:t>北塔区委网络安全和信息化委员会办公室</w:t>
      </w:r>
      <w:r>
        <w:rPr>
          <w:rFonts w:ascii="宋体" w:eastAsia="宋体" w:hAnsi="宋体" w:cs="宋体" w:hint="eastAsia"/>
          <w:color w:val="444444"/>
          <w:kern w:val="0"/>
          <w:sz w:val="28"/>
          <w:szCs w:val="28"/>
          <w:shd w:val="clear" w:color="auto" w:fill="FFFFFF"/>
        </w:rPr>
        <w:t>资产总额为</w:t>
      </w:r>
      <w:r w:rsidR="002C28E1">
        <w:rPr>
          <w:rFonts w:ascii="宋体" w:eastAsia="宋体" w:hAnsi="宋体" w:cs="宋体" w:hint="eastAsia"/>
          <w:color w:val="444444"/>
          <w:kern w:val="0"/>
          <w:sz w:val="28"/>
          <w:szCs w:val="28"/>
          <w:shd w:val="clear" w:color="auto" w:fill="FFFFFF"/>
        </w:rPr>
        <w:t>4.74</w:t>
      </w:r>
      <w:r>
        <w:rPr>
          <w:rFonts w:ascii="宋体" w:eastAsia="宋体" w:hAnsi="宋体" w:cs="宋体" w:hint="eastAsia"/>
          <w:color w:val="444444"/>
          <w:kern w:val="0"/>
          <w:sz w:val="28"/>
          <w:szCs w:val="28"/>
          <w:shd w:val="clear" w:color="auto" w:fill="FFFFFF"/>
        </w:rPr>
        <w:t>万元，主要由以下部分构成：流动资产</w:t>
      </w:r>
      <w:r w:rsidR="002C28E1">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万元,占资产总额的</w:t>
      </w:r>
      <w:r w:rsidR="002C28E1">
        <w:rPr>
          <w:rFonts w:ascii="宋体" w:eastAsia="宋体" w:hAnsi="宋体" w:cs="宋体" w:hint="eastAsia"/>
          <w:color w:val="444444"/>
          <w:kern w:val="0"/>
          <w:sz w:val="28"/>
          <w:szCs w:val="28"/>
          <w:shd w:val="clear" w:color="auto" w:fill="FFFFFF"/>
        </w:rPr>
        <w:t>0</w:t>
      </w:r>
      <w:r>
        <w:rPr>
          <w:rFonts w:ascii="宋体" w:eastAsia="宋体" w:hAnsi="宋体" w:cs="宋体" w:hint="eastAsia"/>
          <w:color w:val="444444"/>
          <w:kern w:val="0"/>
          <w:sz w:val="28"/>
          <w:szCs w:val="28"/>
          <w:shd w:val="clear" w:color="auto" w:fill="FFFFFF"/>
        </w:rPr>
        <w:t>%,主要为银行存款及其他应收款等;固定资产</w:t>
      </w:r>
      <w:r w:rsidR="002C28E1">
        <w:rPr>
          <w:rFonts w:ascii="宋体" w:eastAsia="宋体" w:hAnsi="宋体" w:cs="宋体" w:hint="eastAsia"/>
          <w:color w:val="444444"/>
          <w:kern w:val="0"/>
          <w:sz w:val="28"/>
          <w:szCs w:val="28"/>
          <w:shd w:val="clear" w:color="auto" w:fill="FFFFFF"/>
        </w:rPr>
        <w:t>4.74</w:t>
      </w:r>
      <w:r>
        <w:rPr>
          <w:rFonts w:ascii="宋体" w:eastAsia="宋体" w:hAnsi="宋体" w:cs="宋体" w:hint="eastAsia"/>
          <w:color w:val="444444"/>
          <w:kern w:val="0"/>
          <w:sz w:val="28"/>
          <w:szCs w:val="28"/>
          <w:shd w:val="clear" w:color="auto" w:fill="FFFFFF"/>
        </w:rPr>
        <w:t>万元,占资产总额的</w:t>
      </w:r>
      <w:r w:rsidR="002C28E1">
        <w:rPr>
          <w:rFonts w:ascii="宋体" w:eastAsia="宋体" w:hAnsi="宋体" w:cs="宋体" w:hint="eastAsia"/>
          <w:color w:val="444444"/>
          <w:kern w:val="0"/>
          <w:sz w:val="28"/>
          <w:szCs w:val="28"/>
          <w:shd w:val="clear" w:color="auto" w:fill="FFFFFF"/>
        </w:rPr>
        <w:t>100</w:t>
      </w:r>
      <w:r>
        <w:rPr>
          <w:rFonts w:ascii="宋体" w:eastAsia="宋体" w:hAnsi="宋体" w:cs="宋体" w:hint="eastAsia"/>
          <w:color w:val="444444"/>
          <w:kern w:val="0"/>
          <w:sz w:val="28"/>
          <w:szCs w:val="28"/>
          <w:shd w:val="clear" w:color="auto" w:fill="FFFFFF"/>
        </w:rPr>
        <w:t>%，主要包括办公设备等。</w:t>
      </w:r>
      <w:r>
        <w:rPr>
          <w:rFonts w:ascii="微软雅黑" w:eastAsia="微软雅黑" w:hAnsi="微软雅黑" w:cs="微软雅黑" w:hint="eastAsia"/>
          <w:color w:val="444444"/>
          <w:sz w:val="28"/>
          <w:szCs w:val="28"/>
          <w:shd w:val="clear" w:color="auto" w:fill="FFFFFF"/>
        </w:rPr>
        <w:t> </w:t>
      </w:r>
    </w:p>
    <w:p w:rsidR="00790FB0" w:rsidRPr="007771C0" w:rsidRDefault="002D6A96">
      <w:pPr>
        <w:pStyle w:val="a5"/>
        <w:widowControl/>
        <w:spacing w:after="300" w:line="600" w:lineRule="atLeast"/>
        <w:jc w:val="left"/>
        <w:rPr>
          <w:b/>
        </w:rPr>
      </w:pPr>
      <w:r w:rsidRPr="007771C0">
        <w:rPr>
          <w:rFonts w:ascii="宋体" w:eastAsia="宋体" w:hAnsi="宋体" w:cs="宋体" w:hint="eastAsia"/>
          <w:b/>
          <w:color w:val="444444"/>
          <w:kern w:val="0"/>
          <w:sz w:val="28"/>
          <w:szCs w:val="28"/>
          <w:shd w:val="clear" w:color="auto" w:fill="FFFFFF"/>
        </w:rPr>
        <w:t>四、部门整体支出绩效情况</w:t>
      </w:r>
    </w:p>
    <w:p w:rsidR="00101252" w:rsidRDefault="002D6A96" w:rsidP="00101252">
      <w:pPr>
        <w:shd w:val="clear" w:color="auto" w:fill="FFFFFF"/>
        <w:spacing w:before="100" w:beforeAutospacing="1" w:after="100" w:afterAutospacing="1" w:line="480" w:lineRule="exact"/>
        <w:ind w:firstLineChars="200" w:firstLine="560"/>
        <w:rPr>
          <w:rFonts w:ascii="宋体" w:eastAsia="宋体" w:hAnsi="宋体" w:cs="宋体"/>
          <w:color w:val="444444"/>
          <w:kern w:val="0"/>
          <w:sz w:val="28"/>
          <w:szCs w:val="28"/>
          <w:shd w:val="clear" w:color="auto" w:fill="FFFFFF"/>
        </w:rPr>
      </w:pPr>
      <w:r>
        <w:rPr>
          <w:rFonts w:ascii="宋体" w:eastAsia="宋体" w:hAnsi="宋体" w:cs="宋体" w:hint="eastAsia"/>
          <w:color w:val="444444"/>
          <w:kern w:val="0"/>
          <w:sz w:val="28"/>
          <w:szCs w:val="28"/>
          <w:shd w:val="clear" w:color="auto" w:fill="FFFFFF"/>
        </w:rPr>
        <w:t>2021年，我</w:t>
      </w:r>
      <w:r w:rsidR="002C28E1">
        <w:rPr>
          <w:rFonts w:ascii="宋体" w:eastAsia="宋体" w:hAnsi="宋体" w:cs="宋体" w:hint="eastAsia"/>
          <w:color w:val="444444"/>
          <w:kern w:val="0"/>
          <w:sz w:val="28"/>
          <w:szCs w:val="28"/>
          <w:shd w:val="clear" w:color="auto" w:fill="FFFFFF"/>
        </w:rPr>
        <w:t>办</w:t>
      </w:r>
      <w:r>
        <w:rPr>
          <w:rFonts w:ascii="宋体" w:eastAsia="宋体" w:hAnsi="宋体" w:cs="宋体" w:hint="eastAsia"/>
          <w:color w:val="444444"/>
          <w:kern w:val="0"/>
          <w:sz w:val="28"/>
          <w:szCs w:val="28"/>
          <w:shd w:val="clear" w:color="auto" w:fill="FFFFFF"/>
        </w:rPr>
        <w:t>充分履行职责职能，严格执行各项管理制度，经济、社会等效益显著、社会公众满意度上升，较好地完成了全年工作目标。</w:t>
      </w:r>
    </w:p>
    <w:p w:rsidR="00101252" w:rsidRPr="00101252" w:rsidRDefault="00101252" w:rsidP="00101252">
      <w:pPr>
        <w:shd w:val="clear" w:color="auto" w:fill="FFFFFF"/>
        <w:spacing w:before="100" w:beforeAutospacing="1" w:after="100" w:afterAutospacing="1" w:line="480" w:lineRule="exact"/>
        <w:ind w:firstLineChars="200" w:firstLine="482"/>
        <w:rPr>
          <w:rFonts w:ascii="宋体" w:eastAsia="宋体" w:hAnsi="宋体" w:cs="宋体"/>
          <w:color w:val="1E1E1E"/>
          <w:kern w:val="0"/>
          <w:sz w:val="24"/>
        </w:rPr>
      </w:pPr>
      <w:r w:rsidRPr="00101252">
        <w:rPr>
          <w:rFonts w:ascii="宋体" w:eastAsia="宋体" w:hAnsi="宋体" w:cs="宋体" w:hint="eastAsia"/>
          <w:b/>
          <w:bCs/>
          <w:color w:val="1E1E1E"/>
          <w:sz w:val="24"/>
        </w:rPr>
        <w:t>（一）预算配置</w:t>
      </w:r>
    </w:p>
    <w:p w:rsidR="00101252" w:rsidRPr="00101252" w:rsidRDefault="00101252" w:rsidP="00101252">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101252">
        <w:rPr>
          <w:rFonts w:ascii="宋体" w:eastAsia="宋体" w:hAnsi="宋体" w:cs="宋体" w:hint="eastAsia"/>
          <w:color w:val="1E1E1E"/>
          <w:sz w:val="24"/>
        </w:rPr>
        <w:t>202</w:t>
      </w:r>
      <w:r>
        <w:rPr>
          <w:rFonts w:ascii="宋体" w:eastAsia="宋体" w:hAnsi="宋体" w:cs="宋体" w:hint="eastAsia"/>
          <w:color w:val="1E1E1E"/>
          <w:sz w:val="24"/>
        </w:rPr>
        <w:t>1</w:t>
      </w:r>
      <w:r w:rsidRPr="00101252">
        <w:rPr>
          <w:rFonts w:ascii="宋体" w:eastAsia="宋体" w:hAnsi="宋体" w:cs="宋体" w:hint="eastAsia"/>
          <w:color w:val="1E1E1E"/>
          <w:sz w:val="24"/>
        </w:rPr>
        <w:t>年，我办在职人员编制数为</w:t>
      </w:r>
      <w:r>
        <w:rPr>
          <w:rFonts w:ascii="宋体" w:eastAsia="宋体" w:hAnsi="宋体" w:cs="宋体" w:hint="eastAsia"/>
          <w:color w:val="1E1E1E"/>
          <w:sz w:val="24"/>
        </w:rPr>
        <w:t>7</w:t>
      </w:r>
      <w:r w:rsidRPr="00101252">
        <w:rPr>
          <w:rFonts w:ascii="宋体" w:eastAsia="宋体" w:hAnsi="宋体" w:cs="宋体" w:hint="eastAsia"/>
          <w:color w:val="1E1E1E"/>
          <w:sz w:val="24"/>
        </w:rPr>
        <w:t>人，年末实际在职人数为</w:t>
      </w:r>
      <w:r>
        <w:rPr>
          <w:rFonts w:ascii="宋体" w:eastAsia="宋体" w:hAnsi="宋体" w:cs="宋体" w:hint="eastAsia"/>
          <w:color w:val="1E1E1E"/>
          <w:sz w:val="24"/>
        </w:rPr>
        <w:t>7</w:t>
      </w:r>
      <w:r w:rsidRPr="00101252">
        <w:rPr>
          <w:rFonts w:ascii="宋体" w:eastAsia="宋体" w:hAnsi="宋体" w:cs="宋体" w:hint="eastAsia"/>
          <w:color w:val="1E1E1E"/>
          <w:sz w:val="24"/>
        </w:rPr>
        <w:t>人，财政在职人员控制率为</w:t>
      </w:r>
      <w:r>
        <w:rPr>
          <w:rFonts w:ascii="宋体" w:eastAsia="宋体" w:hAnsi="宋体" w:cs="宋体" w:hint="eastAsia"/>
          <w:color w:val="1E1E1E"/>
          <w:sz w:val="24"/>
        </w:rPr>
        <w:t>100</w:t>
      </w:r>
      <w:r w:rsidRPr="00101252">
        <w:rPr>
          <w:rFonts w:ascii="宋体" w:eastAsia="宋体" w:hAnsi="宋体" w:cs="宋体" w:hint="eastAsia"/>
          <w:color w:val="1E1E1E"/>
          <w:sz w:val="24"/>
        </w:rPr>
        <w:t>%。年初预算收入</w:t>
      </w:r>
      <w:r>
        <w:rPr>
          <w:rFonts w:ascii="宋体" w:eastAsia="宋体" w:hAnsi="宋体" w:cs="宋体" w:hint="eastAsia"/>
          <w:color w:val="1E1E1E"/>
          <w:sz w:val="24"/>
        </w:rPr>
        <w:t>107</w:t>
      </w:r>
      <w:r w:rsidRPr="00101252">
        <w:rPr>
          <w:rFonts w:ascii="宋体" w:eastAsia="宋体" w:hAnsi="宋体" w:cs="宋体" w:hint="eastAsia"/>
          <w:color w:val="1E1E1E"/>
          <w:sz w:val="24"/>
        </w:rPr>
        <w:t>万元，年末决算收入</w:t>
      </w:r>
      <w:r>
        <w:rPr>
          <w:rFonts w:ascii="宋体" w:eastAsia="宋体" w:hAnsi="宋体" w:cs="宋体" w:hint="eastAsia"/>
          <w:color w:val="1E1E1E"/>
          <w:sz w:val="24"/>
        </w:rPr>
        <w:t>137.56</w:t>
      </w:r>
      <w:r w:rsidRPr="00101252">
        <w:rPr>
          <w:rFonts w:ascii="宋体" w:eastAsia="宋体" w:hAnsi="宋体" w:cs="宋体" w:hint="eastAsia"/>
          <w:color w:val="1E1E1E"/>
          <w:sz w:val="24"/>
        </w:rPr>
        <w:t>万元；年末决算支出</w:t>
      </w:r>
      <w:r>
        <w:rPr>
          <w:rFonts w:ascii="宋体" w:eastAsia="宋体" w:hAnsi="宋体" w:cs="宋体" w:hint="eastAsia"/>
          <w:color w:val="1E1E1E"/>
          <w:sz w:val="24"/>
        </w:rPr>
        <w:t>137.56</w:t>
      </w:r>
      <w:r w:rsidRPr="00101252">
        <w:rPr>
          <w:rFonts w:ascii="宋体" w:eastAsia="宋体" w:hAnsi="宋体" w:cs="宋体" w:hint="eastAsia"/>
          <w:color w:val="1E1E1E"/>
          <w:sz w:val="24"/>
        </w:rPr>
        <w:t>万元，项目资金结转结余0万元。</w:t>
      </w:r>
    </w:p>
    <w:p w:rsidR="00101252" w:rsidRPr="00101252" w:rsidRDefault="00101252" w:rsidP="00101252">
      <w:pPr>
        <w:shd w:val="clear" w:color="auto" w:fill="FFFFFF"/>
        <w:spacing w:before="100" w:beforeAutospacing="1" w:after="100" w:afterAutospacing="1" w:line="480" w:lineRule="exact"/>
        <w:ind w:firstLineChars="200" w:firstLine="482"/>
        <w:jc w:val="left"/>
        <w:rPr>
          <w:rFonts w:ascii="宋体" w:eastAsia="宋体" w:hAnsi="宋体" w:cs="宋体"/>
          <w:color w:val="1E1E1E"/>
          <w:kern w:val="0"/>
          <w:sz w:val="24"/>
        </w:rPr>
      </w:pPr>
      <w:r w:rsidRPr="00101252">
        <w:rPr>
          <w:rFonts w:ascii="宋体" w:eastAsia="宋体" w:hAnsi="宋体" w:cs="宋体" w:hint="eastAsia"/>
          <w:b/>
          <w:bCs/>
          <w:color w:val="1E1E1E"/>
          <w:sz w:val="24"/>
        </w:rPr>
        <w:t>（二）预算执行</w:t>
      </w:r>
    </w:p>
    <w:p w:rsidR="00101252" w:rsidRPr="00101252" w:rsidRDefault="00101252" w:rsidP="00101252">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101252">
        <w:rPr>
          <w:rFonts w:ascii="宋体" w:eastAsia="宋体" w:hAnsi="宋体" w:cs="宋体" w:hint="eastAsia"/>
          <w:color w:val="1E1E1E"/>
          <w:sz w:val="24"/>
        </w:rPr>
        <w:t>一是建立预算执行责任制。将年度预算收入责任及预算支出额度逐一分解落实到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w:t>
      </w:r>
      <w:r w:rsidRPr="00101252">
        <w:rPr>
          <w:rFonts w:ascii="宋体" w:eastAsia="宋体" w:hAnsi="宋体" w:cs="宋体" w:hint="eastAsia"/>
          <w:color w:val="1E1E1E"/>
          <w:sz w:val="24"/>
        </w:rPr>
        <w:lastRenderedPageBreak/>
        <w:t>在区财政局的督导下，严格按专项资金项目实施方案执行，督促项目承担单位加快项目实施进度，及时办理报账、验收、结算等相关手续，做到不集中使用、不滥用资金，最大限度提高专项资金利用效率。</w:t>
      </w:r>
    </w:p>
    <w:p w:rsidR="00101252" w:rsidRPr="00101252" w:rsidRDefault="00101252" w:rsidP="00101252">
      <w:pPr>
        <w:shd w:val="clear" w:color="auto" w:fill="FFFFFF"/>
        <w:spacing w:before="100" w:beforeAutospacing="1" w:after="100" w:afterAutospacing="1" w:line="480" w:lineRule="exact"/>
        <w:ind w:firstLineChars="200" w:firstLine="482"/>
        <w:jc w:val="left"/>
        <w:rPr>
          <w:rFonts w:ascii="宋体" w:eastAsia="宋体" w:hAnsi="宋体" w:cs="宋体"/>
          <w:color w:val="1E1E1E"/>
          <w:kern w:val="0"/>
          <w:sz w:val="24"/>
        </w:rPr>
      </w:pPr>
      <w:r w:rsidRPr="00101252">
        <w:rPr>
          <w:rFonts w:ascii="宋体" w:eastAsia="宋体" w:hAnsi="宋体" w:cs="宋体" w:hint="eastAsia"/>
          <w:b/>
          <w:bCs/>
          <w:color w:val="1E1E1E"/>
          <w:sz w:val="24"/>
        </w:rPr>
        <w:t>（三）预算管理</w:t>
      </w:r>
    </w:p>
    <w:p w:rsidR="00101252" w:rsidRPr="00101252" w:rsidRDefault="00101252" w:rsidP="00101252">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101252">
        <w:rPr>
          <w:rFonts w:ascii="宋体" w:eastAsia="宋体" w:hAnsi="宋体" w:cs="宋体" w:hint="eastAsia"/>
          <w:color w:val="1E1E1E"/>
          <w:sz w:val="24"/>
        </w:rPr>
        <w:t>为规范机关财务管理，建立健全财务管理制度，我办根据《会计法》、《预算法》、《政府会计准则》等法律和财政部、省财政厅有关财务规章制度等一系列合法合规、较为完整的、具有很强的可操作性财务管理制度。坚持经费预算科学化、精细化，执行控制规范化、责任化，监督检查常态化、同步化。</w:t>
      </w:r>
    </w:p>
    <w:p w:rsidR="00101252" w:rsidRPr="00101252" w:rsidRDefault="00101252" w:rsidP="00101252">
      <w:pPr>
        <w:shd w:val="clear" w:color="auto" w:fill="FFFFFF"/>
        <w:spacing w:before="100" w:beforeAutospacing="1" w:afterAutospacing="1" w:line="480" w:lineRule="exact"/>
        <w:ind w:firstLineChars="200" w:firstLine="480"/>
        <w:jc w:val="left"/>
        <w:rPr>
          <w:rFonts w:ascii="宋体" w:eastAsia="宋体" w:hAnsi="宋体" w:cs="宋体"/>
          <w:color w:val="1E1E1E"/>
          <w:kern w:val="0"/>
          <w:sz w:val="24"/>
        </w:rPr>
      </w:pPr>
      <w:r w:rsidRPr="00101252">
        <w:rPr>
          <w:rFonts w:ascii="宋体" w:eastAsia="宋体" w:hAnsi="宋体" w:cs="宋体" w:hint="eastAsia"/>
          <w:color w:val="1E1E1E"/>
          <w:sz w:val="24"/>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rsidR="00790FB0" w:rsidRPr="00101252" w:rsidRDefault="00790FB0">
      <w:pPr>
        <w:pStyle w:val="a5"/>
        <w:widowControl/>
        <w:spacing w:after="300" w:line="600" w:lineRule="atLeast"/>
        <w:jc w:val="left"/>
        <w:rPr>
          <w:rFonts w:eastAsia="宋体"/>
        </w:rPr>
      </w:pPr>
    </w:p>
    <w:p w:rsidR="00790FB0" w:rsidRPr="007771C0" w:rsidRDefault="002D6A96">
      <w:pPr>
        <w:pStyle w:val="a5"/>
        <w:widowControl/>
        <w:spacing w:after="300" w:line="600" w:lineRule="atLeast"/>
        <w:jc w:val="left"/>
        <w:rPr>
          <w:b/>
        </w:rPr>
      </w:pPr>
      <w:r w:rsidRPr="007771C0">
        <w:rPr>
          <w:rFonts w:ascii="宋体" w:eastAsia="宋体" w:hAnsi="宋体" w:cs="宋体" w:hint="eastAsia"/>
          <w:b/>
          <w:color w:val="444444"/>
          <w:kern w:val="0"/>
          <w:sz w:val="28"/>
          <w:szCs w:val="28"/>
          <w:shd w:val="clear" w:color="auto" w:fill="FFFFFF"/>
        </w:rPr>
        <w:t>五、综合评价情况及评价结论</w:t>
      </w:r>
    </w:p>
    <w:p w:rsidR="00790FB0" w:rsidRDefault="002D6A96">
      <w:pPr>
        <w:pStyle w:val="a5"/>
        <w:widowControl/>
        <w:spacing w:after="300" w:line="600" w:lineRule="atLeast"/>
        <w:jc w:val="left"/>
      </w:pPr>
      <w:r>
        <w:rPr>
          <w:rFonts w:ascii="宋体" w:eastAsia="宋体" w:hAnsi="宋体" w:cs="宋体" w:hint="eastAsia"/>
          <w:color w:val="444444"/>
          <w:kern w:val="0"/>
          <w:sz w:val="28"/>
          <w:szCs w:val="28"/>
          <w:shd w:val="clear" w:color="auto" w:fill="FFFFFF"/>
        </w:rPr>
        <w:t>2021年我</w:t>
      </w:r>
      <w:r w:rsidR="002C28E1">
        <w:rPr>
          <w:rFonts w:ascii="宋体" w:eastAsia="宋体" w:hAnsi="宋体" w:cs="宋体" w:hint="eastAsia"/>
          <w:color w:val="444444"/>
          <w:kern w:val="0"/>
          <w:sz w:val="28"/>
          <w:szCs w:val="28"/>
          <w:shd w:val="clear" w:color="auto" w:fill="FFFFFF"/>
        </w:rPr>
        <w:t>办</w:t>
      </w:r>
      <w:r>
        <w:rPr>
          <w:rFonts w:ascii="宋体" w:eastAsia="宋体" w:hAnsi="宋体" w:cs="宋体" w:hint="eastAsia"/>
          <w:color w:val="444444"/>
          <w:kern w:val="0"/>
          <w:sz w:val="28"/>
          <w:szCs w:val="28"/>
          <w:shd w:val="clear" w:color="auto" w:fill="FFFFFF"/>
        </w:rPr>
        <w:t>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w:t>
      </w:r>
      <w:r>
        <w:rPr>
          <w:rFonts w:ascii="宋体" w:eastAsia="宋体" w:hAnsi="宋体" w:cs="宋体" w:hint="eastAsia"/>
          <w:color w:val="444444"/>
          <w:kern w:val="0"/>
          <w:sz w:val="28"/>
          <w:szCs w:val="28"/>
          <w:shd w:val="clear" w:color="auto" w:fill="FFFFFF"/>
        </w:rPr>
        <w:lastRenderedPageBreak/>
        <w:t>市财政局《部门整体支出绩效评价指标评分表》评分体系，我局整体支出绩效自评</w:t>
      </w:r>
      <w:r w:rsidR="00101252">
        <w:rPr>
          <w:rFonts w:ascii="宋体" w:eastAsia="宋体" w:hAnsi="宋体" w:cs="宋体" w:hint="eastAsia"/>
          <w:color w:val="444444"/>
          <w:kern w:val="0"/>
          <w:sz w:val="28"/>
          <w:szCs w:val="28"/>
          <w:shd w:val="clear" w:color="auto" w:fill="FFFFFF"/>
        </w:rPr>
        <w:t>92</w:t>
      </w:r>
      <w:r>
        <w:rPr>
          <w:rFonts w:ascii="宋体" w:eastAsia="宋体" w:hAnsi="宋体" w:cs="宋体" w:hint="eastAsia"/>
          <w:color w:val="444444"/>
          <w:kern w:val="0"/>
          <w:sz w:val="28"/>
          <w:szCs w:val="28"/>
          <w:shd w:val="clear" w:color="auto" w:fill="FFFFFF"/>
        </w:rPr>
        <w:t>分，自评结果为</w:t>
      </w:r>
      <w:r w:rsidR="00101252">
        <w:rPr>
          <w:rFonts w:ascii="宋体" w:eastAsia="宋体" w:hAnsi="宋体" w:cs="宋体" w:hint="eastAsia"/>
          <w:color w:val="444444"/>
          <w:kern w:val="0"/>
          <w:sz w:val="28"/>
          <w:szCs w:val="28"/>
          <w:shd w:val="clear" w:color="auto" w:fill="FFFFFF"/>
        </w:rPr>
        <w:t>优</w:t>
      </w:r>
      <w:r>
        <w:rPr>
          <w:rFonts w:ascii="宋体" w:eastAsia="宋体" w:hAnsi="宋体" w:cs="宋体" w:hint="eastAsia"/>
          <w:color w:val="444444"/>
          <w:kern w:val="0"/>
          <w:sz w:val="28"/>
          <w:szCs w:val="28"/>
          <w:shd w:val="clear" w:color="auto" w:fill="FFFFFF"/>
        </w:rPr>
        <w:t>。</w:t>
      </w:r>
    </w:p>
    <w:p w:rsidR="00790FB0" w:rsidRPr="007771C0" w:rsidRDefault="002D6A96">
      <w:pPr>
        <w:pStyle w:val="a5"/>
        <w:widowControl/>
        <w:spacing w:after="300" w:line="600" w:lineRule="atLeast"/>
        <w:jc w:val="left"/>
        <w:rPr>
          <w:rFonts w:ascii="宋体" w:eastAsia="宋体" w:hAnsi="宋体" w:cs="宋体"/>
          <w:b/>
          <w:color w:val="444444"/>
          <w:kern w:val="0"/>
          <w:sz w:val="28"/>
          <w:szCs w:val="28"/>
          <w:shd w:val="clear" w:color="auto" w:fill="FFFFFF"/>
        </w:rPr>
      </w:pPr>
      <w:r w:rsidRPr="007771C0">
        <w:rPr>
          <w:rFonts w:ascii="宋体" w:eastAsia="宋体" w:hAnsi="宋体" w:cs="宋体" w:hint="eastAsia"/>
          <w:b/>
          <w:color w:val="444444"/>
          <w:kern w:val="0"/>
          <w:sz w:val="28"/>
          <w:szCs w:val="28"/>
          <w:shd w:val="clear" w:color="auto" w:fill="FFFFFF"/>
        </w:rPr>
        <w:t>六、存在的问题及原因分析</w:t>
      </w:r>
    </w:p>
    <w:p w:rsidR="007771C0" w:rsidRPr="007771C0" w:rsidRDefault="007771C0" w:rsidP="007771C0">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7771C0">
        <w:rPr>
          <w:rFonts w:ascii="宋体" w:eastAsia="宋体" w:hAnsi="宋体" w:cs="宋体" w:hint="eastAsia"/>
          <w:color w:val="1E1E1E"/>
          <w:sz w:val="24"/>
        </w:rPr>
        <w:t>1、绩效评价工作机制有待进一步完善，由于在平时工作中未加强对绩效监控工作的重视，绩效监控工作容易滞后，未形成对绩效目标进行监控的习惯。</w:t>
      </w:r>
    </w:p>
    <w:p w:rsidR="007771C0" w:rsidRPr="007771C0" w:rsidRDefault="007771C0" w:rsidP="007771C0">
      <w:pPr>
        <w:shd w:val="clear" w:color="auto" w:fill="FFFFFF"/>
        <w:spacing w:before="100" w:beforeAutospacing="1" w:afterAutospacing="1" w:line="480" w:lineRule="exact"/>
        <w:ind w:firstLineChars="200" w:firstLine="480"/>
        <w:jc w:val="left"/>
        <w:rPr>
          <w:rFonts w:ascii="宋体" w:eastAsia="宋体" w:hAnsi="宋体" w:cs="宋体"/>
          <w:color w:val="1E1E1E"/>
          <w:kern w:val="0"/>
          <w:sz w:val="24"/>
        </w:rPr>
      </w:pPr>
      <w:r w:rsidRPr="007771C0">
        <w:rPr>
          <w:rFonts w:ascii="宋体" w:eastAsia="宋体" w:hAnsi="宋体" w:cs="宋体" w:hint="eastAsia"/>
          <w:color w:val="1E1E1E"/>
          <w:sz w:val="24"/>
        </w:rPr>
        <w:t>2、在编制部门年度预算时，虽然根据本单位职能职责和年度工作计划编制，但在2020年部门预算执行过程中，仍然存在一些问题，如年初预算编制不合理或部分经费计划比较紧张，往往需要在年度中间进行预算追加和调整。</w:t>
      </w:r>
    </w:p>
    <w:p w:rsidR="007771C0" w:rsidRPr="007771C0" w:rsidRDefault="007771C0">
      <w:pPr>
        <w:pStyle w:val="a5"/>
        <w:widowControl/>
        <w:spacing w:after="300" w:line="600" w:lineRule="atLeast"/>
        <w:jc w:val="left"/>
        <w:rPr>
          <w:b/>
        </w:rPr>
      </w:pPr>
    </w:p>
    <w:p w:rsidR="00790FB0" w:rsidRPr="007771C0" w:rsidRDefault="002D6A96">
      <w:pPr>
        <w:pStyle w:val="a5"/>
        <w:widowControl/>
        <w:spacing w:after="300" w:line="600" w:lineRule="atLeast"/>
        <w:jc w:val="left"/>
        <w:rPr>
          <w:rFonts w:ascii="宋体" w:eastAsia="宋体" w:hAnsi="宋体" w:cs="宋体"/>
          <w:b/>
          <w:color w:val="444444"/>
          <w:kern w:val="0"/>
          <w:sz w:val="28"/>
          <w:szCs w:val="28"/>
          <w:shd w:val="clear" w:color="auto" w:fill="FFFFFF"/>
        </w:rPr>
      </w:pPr>
      <w:r w:rsidRPr="007771C0">
        <w:rPr>
          <w:rFonts w:ascii="宋体" w:eastAsia="宋体" w:hAnsi="宋体" w:cs="宋体" w:hint="eastAsia"/>
          <w:b/>
          <w:color w:val="444444"/>
          <w:kern w:val="0"/>
          <w:sz w:val="28"/>
          <w:szCs w:val="28"/>
          <w:shd w:val="clear" w:color="auto" w:fill="FFFFFF"/>
        </w:rPr>
        <w:t>七、下一步改进措施</w:t>
      </w:r>
    </w:p>
    <w:p w:rsidR="007771C0" w:rsidRPr="007771C0" w:rsidRDefault="007771C0" w:rsidP="007771C0">
      <w:pPr>
        <w:shd w:val="clear" w:color="auto" w:fill="FFFFFF"/>
        <w:spacing w:before="100" w:beforeAutospacing="1" w:after="100" w:afterAutospacing="1" w:line="480" w:lineRule="exact"/>
        <w:ind w:firstLineChars="200" w:firstLine="482"/>
        <w:jc w:val="left"/>
        <w:rPr>
          <w:rFonts w:ascii="宋体" w:eastAsia="宋体" w:hAnsi="宋体" w:cs="宋体"/>
          <w:color w:val="1E1E1E"/>
          <w:kern w:val="0"/>
          <w:sz w:val="24"/>
        </w:rPr>
      </w:pPr>
      <w:r w:rsidRPr="007771C0">
        <w:rPr>
          <w:rFonts w:ascii="宋体" w:eastAsia="宋体" w:hAnsi="宋体" w:cs="宋体" w:hint="eastAsia"/>
          <w:b/>
          <w:bCs/>
          <w:color w:val="1E1E1E"/>
          <w:sz w:val="24"/>
        </w:rPr>
        <w:t>（一）进一步加强项目资金管理</w:t>
      </w:r>
    </w:p>
    <w:p w:rsidR="007771C0" w:rsidRPr="007771C0" w:rsidRDefault="007771C0" w:rsidP="007771C0">
      <w:pPr>
        <w:shd w:val="clear" w:color="auto" w:fill="FFFFFF"/>
        <w:spacing w:before="100" w:beforeAutospacing="1" w:after="100" w:afterAutospacing="1" w:line="480" w:lineRule="exact"/>
        <w:ind w:firstLineChars="200" w:firstLine="480"/>
        <w:jc w:val="left"/>
        <w:rPr>
          <w:rFonts w:ascii="宋体" w:eastAsia="宋体" w:hAnsi="宋体" w:cs="宋体"/>
          <w:color w:val="1E1E1E"/>
          <w:kern w:val="0"/>
          <w:sz w:val="24"/>
        </w:rPr>
      </w:pPr>
      <w:r w:rsidRPr="007771C0">
        <w:rPr>
          <w:rFonts w:ascii="宋体" w:eastAsia="宋体" w:hAnsi="宋体" w:cs="宋体" w:hint="eastAsia"/>
          <w:color w:val="1E1E1E"/>
          <w:sz w:val="24"/>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rsidR="007771C0" w:rsidRPr="007771C0" w:rsidRDefault="007771C0" w:rsidP="007771C0">
      <w:pPr>
        <w:shd w:val="clear" w:color="auto" w:fill="FFFFFF"/>
        <w:spacing w:before="100" w:beforeAutospacing="1" w:after="100" w:afterAutospacing="1" w:line="480" w:lineRule="exact"/>
        <w:ind w:firstLineChars="200" w:firstLine="482"/>
        <w:jc w:val="left"/>
        <w:rPr>
          <w:rFonts w:ascii="宋体" w:eastAsia="宋体" w:hAnsi="宋体" w:cs="宋体"/>
          <w:color w:val="1E1E1E"/>
          <w:kern w:val="0"/>
          <w:sz w:val="24"/>
        </w:rPr>
      </w:pPr>
      <w:r w:rsidRPr="007771C0">
        <w:rPr>
          <w:rFonts w:ascii="宋体" w:eastAsia="宋体" w:hAnsi="宋体" w:cs="宋体" w:hint="eastAsia"/>
          <w:b/>
          <w:bCs/>
          <w:color w:val="1E1E1E"/>
          <w:sz w:val="24"/>
        </w:rPr>
        <w:t>（二）进一步提高绩效管理水平</w:t>
      </w:r>
    </w:p>
    <w:p w:rsidR="007771C0" w:rsidRPr="007771C0" w:rsidRDefault="007771C0" w:rsidP="007771C0">
      <w:pPr>
        <w:shd w:val="clear" w:color="auto" w:fill="FFFFFF"/>
        <w:spacing w:before="100" w:beforeAutospacing="1" w:afterAutospacing="1" w:line="480" w:lineRule="exact"/>
        <w:ind w:firstLineChars="200" w:firstLine="480"/>
        <w:jc w:val="left"/>
        <w:rPr>
          <w:rFonts w:ascii="宋体" w:eastAsia="宋体" w:hAnsi="宋体" w:cs="宋体"/>
          <w:color w:val="1E1E1E"/>
          <w:kern w:val="0"/>
          <w:sz w:val="24"/>
        </w:rPr>
      </w:pPr>
      <w:r w:rsidRPr="007771C0">
        <w:rPr>
          <w:rFonts w:ascii="宋体" w:eastAsia="宋体" w:hAnsi="宋体" w:cs="宋体" w:hint="eastAsia"/>
          <w:color w:val="1E1E1E"/>
          <w:sz w:val="24"/>
        </w:rPr>
        <w:t>加强预算执行的准确性，开展好支出绩效管理工作，运用好绩效评价结果，不断提升绩效管理水平。</w:t>
      </w:r>
    </w:p>
    <w:p w:rsidR="007771C0" w:rsidRPr="007771C0" w:rsidRDefault="007771C0">
      <w:pPr>
        <w:pStyle w:val="a5"/>
        <w:widowControl/>
        <w:spacing w:after="300" w:line="600" w:lineRule="atLeast"/>
        <w:jc w:val="left"/>
        <w:rPr>
          <w:b/>
        </w:rPr>
      </w:pPr>
    </w:p>
    <w:p w:rsidR="00790FB0" w:rsidRDefault="002D6A96">
      <w:pPr>
        <w:spacing w:line="600" w:lineRule="exact"/>
        <w:rPr>
          <w:rFonts w:ascii="宋体" w:hAnsi="宋体" w:cs="宋体"/>
          <w:kern w:val="0"/>
          <w:sz w:val="32"/>
          <w:szCs w:val="32"/>
        </w:rPr>
      </w:pPr>
      <w:bookmarkStart w:id="0" w:name="RANGE!A1:H22"/>
      <w:r>
        <w:rPr>
          <w:rFonts w:ascii="黑体" w:eastAsia="黑体" w:hAnsi="宋体" w:cs="宋体" w:hint="eastAsia"/>
          <w:kern w:val="0"/>
          <w:sz w:val="32"/>
          <w:szCs w:val="32"/>
        </w:rPr>
        <w:t>附件</w:t>
      </w:r>
      <w:bookmarkEnd w:id="0"/>
      <w:r>
        <w:rPr>
          <w:rFonts w:ascii="黑体" w:eastAsia="黑体" w:hAnsi="宋体" w:cs="宋体" w:hint="eastAsia"/>
          <w:kern w:val="0"/>
          <w:sz w:val="32"/>
          <w:szCs w:val="32"/>
        </w:rPr>
        <w:t>1</w:t>
      </w:r>
      <w:r>
        <w:rPr>
          <w:rFonts w:ascii="黑体" w:eastAsia="黑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rsidR="00790FB0" w:rsidRDefault="002D6A96">
      <w:pPr>
        <w:widowControl/>
        <w:ind w:left="93"/>
        <w:jc w:val="center"/>
        <w:rPr>
          <w:rFonts w:ascii="宋体" w:hAnsi="宋体" w:cs="宋体"/>
          <w:bCs/>
          <w:kern w:val="0"/>
          <w:sz w:val="32"/>
          <w:szCs w:val="32"/>
        </w:rPr>
      </w:pPr>
      <w:r>
        <w:rPr>
          <w:rFonts w:ascii="宋体" w:hAnsi="宋体" w:cs="宋体" w:hint="eastAsia"/>
          <w:bCs/>
          <w:kern w:val="0"/>
          <w:sz w:val="32"/>
          <w:szCs w:val="32"/>
        </w:rPr>
        <w:t>部门整体支出绩效评价指标评分表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
        <w:gridCol w:w="429"/>
        <w:gridCol w:w="567"/>
        <w:gridCol w:w="851"/>
        <w:gridCol w:w="567"/>
        <w:gridCol w:w="3118"/>
        <w:gridCol w:w="3472"/>
        <w:gridCol w:w="617"/>
      </w:tblGrid>
      <w:tr w:rsidR="00790FB0">
        <w:trPr>
          <w:trHeight w:val="757"/>
          <w:tblHeader/>
          <w:jc w:val="center"/>
        </w:trPr>
        <w:tc>
          <w:tcPr>
            <w:tcW w:w="411" w:type="dxa"/>
            <w:noWrap/>
            <w:vAlign w:val="center"/>
          </w:tcPr>
          <w:p w:rsidR="00790FB0" w:rsidRDefault="002D6A96">
            <w:pPr>
              <w:widowControl/>
              <w:jc w:val="center"/>
              <w:rPr>
                <w:rFonts w:ascii="宋体" w:hAnsi="宋体" w:cs="宋体"/>
                <w:b/>
                <w:bCs/>
                <w:kern w:val="0"/>
                <w:sz w:val="20"/>
                <w:szCs w:val="20"/>
              </w:rPr>
            </w:pPr>
            <w:r>
              <w:rPr>
                <w:rFonts w:ascii="宋体" w:hAnsi="宋体" w:cs="宋体" w:hint="eastAsia"/>
                <w:b/>
                <w:bCs/>
                <w:kern w:val="0"/>
                <w:sz w:val="20"/>
                <w:szCs w:val="20"/>
              </w:rPr>
              <w:lastRenderedPageBreak/>
              <w:t>一级指标</w:t>
            </w:r>
          </w:p>
        </w:tc>
        <w:tc>
          <w:tcPr>
            <w:tcW w:w="429" w:type="dxa"/>
            <w:noWrap/>
            <w:vAlign w:val="center"/>
          </w:tcPr>
          <w:p w:rsidR="00790FB0" w:rsidRDefault="002D6A96">
            <w:pPr>
              <w:widowControl/>
              <w:jc w:val="center"/>
              <w:rPr>
                <w:rFonts w:ascii="宋体" w:hAnsi="宋体" w:cs="宋体"/>
                <w:b/>
                <w:bCs/>
                <w:kern w:val="0"/>
                <w:sz w:val="20"/>
                <w:szCs w:val="20"/>
              </w:rPr>
            </w:pPr>
            <w:r>
              <w:rPr>
                <w:rFonts w:ascii="宋体" w:hAnsi="宋体" w:cs="宋体" w:hint="eastAsia"/>
                <w:b/>
                <w:bCs/>
                <w:kern w:val="0"/>
                <w:sz w:val="20"/>
                <w:szCs w:val="20"/>
              </w:rPr>
              <w:t>二级指标</w:t>
            </w:r>
          </w:p>
        </w:tc>
        <w:tc>
          <w:tcPr>
            <w:tcW w:w="567" w:type="dxa"/>
            <w:noWrap/>
            <w:vAlign w:val="center"/>
          </w:tcPr>
          <w:p w:rsidR="00790FB0" w:rsidRDefault="002D6A96">
            <w:pPr>
              <w:widowControl/>
              <w:jc w:val="center"/>
              <w:rPr>
                <w:rFonts w:ascii="宋体" w:hAnsi="宋体" w:cs="宋体"/>
                <w:b/>
                <w:bCs/>
                <w:kern w:val="0"/>
                <w:sz w:val="20"/>
                <w:szCs w:val="20"/>
              </w:rPr>
            </w:pPr>
            <w:r>
              <w:rPr>
                <w:rFonts w:ascii="宋体" w:hAnsi="宋体" w:cs="宋体" w:hint="eastAsia"/>
                <w:b/>
                <w:bCs/>
                <w:kern w:val="0"/>
                <w:sz w:val="20"/>
                <w:szCs w:val="20"/>
              </w:rPr>
              <w:t>分值</w:t>
            </w:r>
          </w:p>
        </w:tc>
        <w:tc>
          <w:tcPr>
            <w:tcW w:w="851" w:type="dxa"/>
            <w:noWrap/>
            <w:vAlign w:val="center"/>
          </w:tcPr>
          <w:p w:rsidR="00790FB0" w:rsidRDefault="002D6A96">
            <w:pPr>
              <w:widowControl/>
              <w:jc w:val="center"/>
              <w:rPr>
                <w:rFonts w:ascii="宋体" w:hAnsi="宋体" w:cs="宋体"/>
                <w:b/>
                <w:bCs/>
                <w:kern w:val="0"/>
                <w:sz w:val="20"/>
                <w:szCs w:val="20"/>
              </w:rPr>
            </w:pPr>
            <w:r>
              <w:rPr>
                <w:rFonts w:ascii="宋体" w:hAnsi="宋体" w:cs="宋体" w:hint="eastAsia"/>
                <w:b/>
                <w:bCs/>
                <w:kern w:val="0"/>
                <w:sz w:val="20"/>
                <w:szCs w:val="20"/>
              </w:rPr>
              <w:t>三级   指标</w:t>
            </w:r>
          </w:p>
        </w:tc>
        <w:tc>
          <w:tcPr>
            <w:tcW w:w="567" w:type="dxa"/>
            <w:noWrap/>
            <w:vAlign w:val="center"/>
          </w:tcPr>
          <w:p w:rsidR="00790FB0" w:rsidRDefault="002D6A96">
            <w:pPr>
              <w:widowControl/>
              <w:jc w:val="center"/>
              <w:rPr>
                <w:rFonts w:ascii="宋体" w:hAnsi="宋体" w:cs="宋体"/>
                <w:b/>
                <w:bCs/>
                <w:kern w:val="0"/>
                <w:sz w:val="20"/>
                <w:szCs w:val="20"/>
              </w:rPr>
            </w:pPr>
            <w:r>
              <w:rPr>
                <w:rFonts w:ascii="宋体" w:hAnsi="宋体" w:cs="宋体" w:hint="eastAsia"/>
                <w:b/>
                <w:bCs/>
                <w:kern w:val="0"/>
                <w:sz w:val="20"/>
                <w:szCs w:val="20"/>
              </w:rPr>
              <w:t>分值</w:t>
            </w:r>
          </w:p>
        </w:tc>
        <w:tc>
          <w:tcPr>
            <w:tcW w:w="3118" w:type="dxa"/>
            <w:noWrap/>
            <w:vAlign w:val="center"/>
          </w:tcPr>
          <w:p w:rsidR="00790FB0" w:rsidRDefault="002D6A96">
            <w:pPr>
              <w:widowControl/>
              <w:jc w:val="center"/>
              <w:rPr>
                <w:rFonts w:ascii="宋体" w:hAnsi="宋体" w:cs="宋体"/>
                <w:b/>
                <w:bCs/>
                <w:kern w:val="0"/>
                <w:sz w:val="20"/>
                <w:szCs w:val="20"/>
              </w:rPr>
            </w:pPr>
            <w:r>
              <w:rPr>
                <w:rFonts w:ascii="宋体" w:hAnsi="宋体" w:cs="宋体" w:hint="eastAsia"/>
                <w:b/>
                <w:bCs/>
                <w:kern w:val="0"/>
                <w:sz w:val="20"/>
                <w:szCs w:val="20"/>
              </w:rPr>
              <w:t>评价标准</w:t>
            </w:r>
          </w:p>
        </w:tc>
        <w:tc>
          <w:tcPr>
            <w:tcW w:w="3472" w:type="dxa"/>
            <w:noWrap/>
            <w:vAlign w:val="center"/>
          </w:tcPr>
          <w:p w:rsidR="00790FB0" w:rsidRDefault="002D6A96">
            <w:pPr>
              <w:widowControl/>
              <w:jc w:val="center"/>
              <w:rPr>
                <w:rFonts w:ascii="宋体" w:hAnsi="宋体" w:cs="宋体"/>
                <w:b/>
                <w:bCs/>
                <w:kern w:val="0"/>
                <w:sz w:val="20"/>
                <w:szCs w:val="20"/>
              </w:rPr>
            </w:pPr>
            <w:r>
              <w:rPr>
                <w:rFonts w:ascii="宋体" w:hAnsi="宋体" w:cs="宋体" w:hint="eastAsia"/>
                <w:b/>
                <w:bCs/>
                <w:kern w:val="0"/>
                <w:sz w:val="20"/>
                <w:szCs w:val="20"/>
              </w:rPr>
              <w:t>备注</w:t>
            </w:r>
          </w:p>
        </w:tc>
        <w:tc>
          <w:tcPr>
            <w:tcW w:w="617" w:type="dxa"/>
            <w:noWrap/>
            <w:vAlign w:val="center"/>
          </w:tcPr>
          <w:p w:rsidR="00790FB0" w:rsidRDefault="002D6A96">
            <w:pPr>
              <w:widowControl/>
              <w:jc w:val="center"/>
              <w:rPr>
                <w:rFonts w:ascii="宋体" w:eastAsia="宋体" w:hAnsi="宋体" w:cs="宋体"/>
                <w:b/>
                <w:bCs/>
                <w:kern w:val="0"/>
                <w:sz w:val="24"/>
              </w:rPr>
            </w:pPr>
            <w:r>
              <w:rPr>
                <w:rFonts w:ascii="宋体" w:hAnsi="宋体" w:cs="宋体" w:hint="eastAsia"/>
                <w:b/>
                <w:bCs/>
                <w:kern w:val="0"/>
                <w:sz w:val="20"/>
                <w:szCs w:val="20"/>
              </w:rPr>
              <w:t>得分</w:t>
            </w:r>
          </w:p>
        </w:tc>
      </w:tr>
      <w:tr w:rsidR="00790FB0">
        <w:trPr>
          <w:trHeight w:val="2182"/>
          <w:jc w:val="center"/>
        </w:trPr>
        <w:tc>
          <w:tcPr>
            <w:tcW w:w="411" w:type="dxa"/>
            <w:vMerge w:val="restart"/>
            <w:noWrap/>
            <w:textDirection w:val="tbRlV"/>
            <w:vAlign w:val="center"/>
          </w:tcPr>
          <w:p w:rsidR="00790FB0" w:rsidRDefault="002D6A9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投    入</w:t>
            </w:r>
          </w:p>
        </w:tc>
        <w:tc>
          <w:tcPr>
            <w:tcW w:w="429" w:type="dxa"/>
            <w:vMerge w:val="restart"/>
            <w:noWrap/>
            <w:vAlign w:val="center"/>
          </w:tcPr>
          <w:p w:rsidR="00790FB0" w:rsidRDefault="002D6A9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预算配置</w:t>
            </w:r>
          </w:p>
        </w:tc>
        <w:tc>
          <w:tcPr>
            <w:tcW w:w="567" w:type="dxa"/>
            <w:vMerge w:val="restart"/>
            <w:noWrap/>
            <w:vAlign w:val="center"/>
          </w:tcPr>
          <w:p w:rsidR="00790FB0" w:rsidRDefault="002D6A9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18</w:t>
            </w: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w:t>
            </w:r>
            <w:r>
              <w:rPr>
                <w:rFonts w:ascii="仿宋_GB2312" w:eastAsia="仿宋_GB2312" w:hAnsi="宋体" w:cs="宋体" w:hint="eastAsia"/>
                <w:kern w:val="0"/>
                <w:sz w:val="20"/>
                <w:szCs w:val="20"/>
              </w:rPr>
              <w:br/>
              <w:t>变动率</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0,计3分；“三公经费”＞0，每超过一个百分点扣0.3分，扣完为止。</w:t>
            </w:r>
          </w:p>
        </w:tc>
        <w:tc>
          <w:tcPr>
            <w:tcW w:w="3472"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“三公经费”变动率=[（本年度“三公经费”总额-上年度“三公经费”总额）/上年度“三公经费”总额]×100%。</w:t>
            </w:r>
            <w:r>
              <w:rPr>
                <w:rFonts w:ascii="仿宋_GB2312" w:eastAsia="仿宋_GB2312" w:hAnsi="宋体" w:cs="宋体" w:hint="eastAsia"/>
                <w:kern w:val="0"/>
                <w:sz w:val="20"/>
                <w:szCs w:val="20"/>
              </w:rPr>
              <w:br/>
              <w:t>“三公经费”：指政府部门人员因公出国（境）经费、公务车购置及运行费、公务招待费产生的消费。</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3</w:t>
            </w:r>
          </w:p>
        </w:tc>
      </w:tr>
      <w:tr w:rsidR="00790FB0">
        <w:trPr>
          <w:trHeight w:val="1830"/>
          <w:jc w:val="center"/>
        </w:trPr>
        <w:tc>
          <w:tcPr>
            <w:tcW w:w="411" w:type="dxa"/>
            <w:vMerge/>
            <w:noWrap/>
            <w:vAlign w:val="center"/>
          </w:tcPr>
          <w:p w:rsidR="00790FB0" w:rsidRDefault="00790FB0">
            <w:pPr>
              <w:widowControl/>
              <w:jc w:val="center"/>
              <w:rPr>
                <w:rFonts w:ascii="仿宋_GB2312" w:eastAsia="仿宋_GB2312" w:hAnsi="宋体" w:cs="宋体"/>
                <w:kern w:val="0"/>
                <w:sz w:val="20"/>
                <w:szCs w:val="20"/>
              </w:rPr>
            </w:pPr>
          </w:p>
        </w:tc>
        <w:tc>
          <w:tcPr>
            <w:tcW w:w="429" w:type="dxa"/>
            <w:vMerge/>
            <w:noWrap/>
            <w:vAlign w:val="center"/>
          </w:tcPr>
          <w:p w:rsidR="00790FB0" w:rsidRDefault="00790FB0">
            <w:pPr>
              <w:widowControl/>
              <w:jc w:val="center"/>
              <w:rPr>
                <w:rFonts w:ascii="仿宋_GB2312" w:eastAsia="仿宋_GB2312" w:hAnsi="宋体" w:cs="宋体"/>
                <w:kern w:val="0"/>
                <w:sz w:val="20"/>
                <w:szCs w:val="20"/>
              </w:rPr>
            </w:pPr>
          </w:p>
        </w:tc>
        <w:tc>
          <w:tcPr>
            <w:tcW w:w="567" w:type="dxa"/>
            <w:vMerge/>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   管理</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①招待费用明确招待标准和招待人数,1分;②车辆维护、燃油使用政府定点，1分。③</w:t>
            </w:r>
            <w:r>
              <w:rPr>
                <w:rFonts w:ascii="仿宋_GB2312" w:eastAsia="仿宋_GB2312" w:hAnsi="仿宋" w:cs="仿宋" w:hint="eastAsia"/>
                <w:kern w:val="0"/>
                <w:sz w:val="20"/>
                <w:szCs w:val="20"/>
              </w:rPr>
              <w:t>制定“三公经费”管理办法，1分，每少一项扣1分，扣完为止。</w:t>
            </w:r>
          </w:p>
        </w:tc>
        <w:tc>
          <w:tcPr>
            <w:tcW w:w="3472" w:type="dxa"/>
            <w:noWrap/>
            <w:vAlign w:val="center"/>
          </w:tcPr>
          <w:p w:rsidR="00790FB0" w:rsidRDefault="00790FB0">
            <w:pPr>
              <w:widowControl/>
              <w:jc w:val="left"/>
              <w:rPr>
                <w:rFonts w:ascii="仿宋_GB2312" w:eastAsia="仿宋_GB2312" w:hAnsi="宋体" w:cs="宋体"/>
                <w:kern w:val="0"/>
                <w:sz w:val="20"/>
                <w:szCs w:val="20"/>
              </w:rPr>
            </w:pP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3</w:t>
            </w:r>
          </w:p>
        </w:tc>
      </w:tr>
      <w:tr w:rsidR="00790FB0">
        <w:trPr>
          <w:trHeight w:val="1545"/>
          <w:jc w:val="center"/>
        </w:trPr>
        <w:tc>
          <w:tcPr>
            <w:tcW w:w="411" w:type="dxa"/>
            <w:vMerge/>
            <w:noWrap/>
            <w:vAlign w:val="center"/>
          </w:tcPr>
          <w:p w:rsidR="00790FB0" w:rsidRDefault="00790FB0">
            <w:pPr>
              <w:widowControl/>
              <w:jc w:val="center"/>
              <w:rPr>
                <w:rFonts w:ascii="仿宋_GB2312" w:eastAsia="仿宋_GB2312" w:hAnsi="宋体" w:cs="宋体"/>
                <w:kern w:val="0"/>
                <w:sz w:val="20"/>
                <w:szCs w:val="20"/>
              </w:rPr>
            </w:pPr>
          </w:p>
        </w:tc>
        <w:tc>
          <w:tcPr>
            <w:tcW w:w="429" w:type="dxa"/>
            <w:vMerge/>
            <w:noWrap/>
            <w:vAlign w:val="center"/>
          </w:tcPr>
          <w:p w:rsidR="00790FB0" w:rsidRDefault="00790FB0">
            <w:pPr>
              <w:widowControl/>
              <w:jc w:val="center"/>
              <w:rPr>
                <w:rFonts w:ascii="仿宋_GB2312" w:eastAsia="仿宋_GB2312" w:hAnsi="宋体" w:cs="宋体"/>
                <w:kern w:val="0"/>
                <w:sz w:val="20"/>
                <w:szCs w:val="20"/>
              </w:rPr>
            </w:pPr>
          </w:p>
        </w:tc>
        <w:tc>
          <w:tcPr>
            <w:tcW w:w="567" w:type="dxa"/>
            <w:vMerge/>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w:t>
            </w:r>
          </w:p>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招待费变动率</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0,计2分；“公务招待费变动率”＞0，每超过一个百分点扣0.2分，扣完为止。</w:t>
            </w:r>
          </w:p>
        </w:tc>
        <w:tc>
          <w:tcPr>
            <w:tcW w:w="3472"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公务招待费变动率=[（本年度“公务招待费”总额-上年度“公务招待费”总额）/上年度“公务招待费”总额]×100%。</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3</w:t>
            </w:r>
          </w:p>
        </w:tc>
      </w:tr>
      <w:tr w:rsidR="00790FB0">
        <w:trPr>
          <w:trHeight w:val="1850"/>
          <w:jc w:val="center"/>
        </w:trPr>
        <w:tc>
          <w:tcPr>
            <w:tcW w:w="411" w:type="dxa"/>
            <w:vMerge/>
            <w:noWrap/>
            <w:vAlign w:val="center"/>
          </w:tcPr>
          <w:p w:rsidR="00790FB0" w:rsidRDefault="00790FB0">
            <w:pPr>
              <w:widowControl/>
              <w:jc w:val="center"/>
              <w:rPr>
                <w:rFonts w:ascii="仿宋_GB2312" w:eastAsia="仿宋_GB2312" w:hAnsi="宋体" w:cs="宋体"/>
                <w:kern w:val="0"/>
                <w:sz w:val="20"/>
                <w:szCs w:val="20"/>
              </w:rPr>
            </w:pPr>
          </w:p>
        </w:tc>
        <w:tc>
          <w:tcPr>
            <w:tcW w:w="429" w:type="dxa"/>
            <w:vMerge/>
            <w:noWrap/>
            <w:vAlign w:val="center"/>
          </w:tcPr>
          <w:p w:rsidR="00790FB0" w:rsidRDefault="00790FB0">
            <w:pPr>
              <w:widowControl/>
              <w:jc w:val="center"/>
              <w:rPr>
                <w:rFonts w:ascii="仿宋_GB2312" w:eastAsia="仿宋_GB2312" w:hAnsi="宋体" w:cs="宋体"/>
                <w:kern w:val="0"/>
                <w:sz w:val="20"/>
                <w:szCs w:val="20"/>
              </w:rPr>
            </w:pPr>
          </w:p>
        </w:tc>
        <w:tc>
          <w:tcPr>
            <w:tcW w:w="567" w:type="dxa"/>
            <w:vMerge/>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w:t>
            </w:r>
          </w:p>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运行费</w:t>
            </w:r>
          </w:p>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变动率</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“公务用车购置运行费”变动率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0,计2分；“公务用车购置运行费变动率”＞0，每超过一个百分点扣0.2分，扣完为止。</w:t>
            </w:r>
          </w:p>
        </w:tc>
        <w:tc>
          <w:tcPr>
            <w:tcW w:w="3472"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公务用车购置运行费变动率=[（本年度“公务用车购置运行费”总额-上年度“公务用车购置运行费”总额）/上年度“公务用车购置运行费”总额]×100%。</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2</w:t>
            </w:r>
          </w:p>
        </w:tc>
      </w:tr>
      <w:tr w:rsidR="00790FB0">
        <w:trPr>
          <w:trHeight w:val="1551"/>
          <w:jc w:val="center"/>
        </w:trPr>
        <w:tc>
          <w:tcPr>
            <w:tcW w:w="411" w:type="dxa"/>
            <w:vMerge/>
            <w:noWrap/>
            <w:vAlign w:val="center"/>
          </w:tcPr>
          <w:p w:rsidR="00790FB0" w:rsidRDefault="00790FB0">
            <w:pPr>
              <w:widowControl/>
              <w:jc w:val="center"/>
              <w:rPr>
                <w:rFonts w:ascii="仿宋_GB2312" w:eastAsia="仿宋_GB2312" w:hAnsi="宋体" w:cs="宋体"/>
                <w:kern w:val="0"/>
                <w:sz w:val="20"/>
                <w:szCs w:val="20"/>
              </w:rPr>
            </w:pPr>
          </w:p>
        </w:tc>
        <w:tc>
          <w:tcPr>
            <w:tcW w:w="429" w:type="dxa"/>
            <w:vMerge/>
            <w:noWrap/>
            <w:vAlign w:val="center"/>
          </w:tcPr>
          <w:p w:rsidR="00790FB0" w:rsidRDefault="00790FB0">
            <w:pPr>
              <w:widowControl/>
              <w:jc w:val="center"/>
              <w:rPr>
                <w:rFonts w:ascii="仿宋_GB2312" w:eastAsia="仿宋_GB2312" w:hAnsi="宋体" w:cs="宋体"/>
                <w:kern w:val="0"/>
                <w:sz w:val="20"/>
                <w:szCs w:val="20"/>
              </w:rPr>
            </w:pPr>
          </w:p>
        </w:tc>
        <w:tc>
          <w:tcPr>
            <w:tcW w:w="567" w:type="dxa"/>
            <w:vMerge/>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商品 和服务支出 变动率</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“商品和服务支出”变动率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0,计2分；“商品和服务支出”变动率＞0，每超过一个百分点扣0.2分，扣完为止。</w:t>
            </w:r>
          </w:p>
        </w:tc>
        <w:tc>
          <w:tcPr>
            <w:tcW w:w="3472"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“商品和服务支出”变动率=[（本年度“商品和服务支出”总额-上年度“商品和服务支出”总额）/上年度“商品和服务支出”总额]×100%。</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2</w:t>
            </w:r>
          </w:p>
        </w:tc>
      </w:tr>
      <w:tr w:rsidR="00790FB0">
        <w:trPr>
          <w:trHeight w:val="2240"/>
          <w:jc w:val="center"/>
        </w:trPr>
        <w:tc>
          <w:tcPr>
            <w:tcW w:w="411" w:type="dxa"/>
            <w:vMerge/>
            <w:noWrap/>
            <w:vAlign w:val="center"/>
          </w:tcPr>
          <w:p w:rsidR="00790FB0" w:rsidRDefault="00790FB0">
            <w:pPr>
              <w:widowControl/>
              <w:jc w:val="center"/>
              <w:rPr>
                <w:rFonts w:ascii="仿宋_GB2312" w:eastAsia="仿宋_GB2312" w:hAnsi="宋体" w:cs="宋体"/>
                <w:kern w:val="0"/>
                <w:sz w:val="20"/>
                <w:szCs w:val="20"/>
              </w:rPr>
            </w:pPr>
          </w:p>
        </w:tc>
        <w:tc>
          <w:tcPr>
            <w:tcW w:w="429" w:type="dxa"/>
            <w:vMerge/>
            <w:noWrap/>
            <w:vAlign w:val="center"/>
          </w:tcPr>
          <w:p w:rsidR="00790FB0" w:rsidRDefault="00790FB0">
            <w:pPr>
              <w:widowControl/>
              <w:jc w:val="center"/>
              <w:rPr>
                <w:rFonts w:ascii="仿宋_GB2312" w:eastAsia="仿宋_GB2312" w:hAnsi="宋体" w:cs="宋体"/>
                <w:kern w:val="0"/>
                <w:sz w:val="20"/>
                <w:szCs w:val="20"/>
              </w:rPr>
            </w:pPr>
          </w:p>
        </w:tc>
        <w:tc>
          <w:tcPr>
            <w:tcW w:w="567" w:type="dxa"/>
            <w:vMerge/>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重点  支出  安排率</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重点支出安排率≥90%，计2分；80%（含）-90%，计1分；70%（含）-80%，计0.5分；低于70%不得分。</w:t>
            </w:r>
          </w:p>
        </w:tc>
        <w:tc>
          <w:tcPr>
            <w:tcW w:w="3472"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重点支出安排率=（重点项目支出/项目总支出）×100%</w:t>
            </w:r>
            <w:r>
              <w:rPr>
                <w:rFonts w:ascii="仿宋_GB2312" w:eastAsia="仿宋_GB2312" w:hAnsi="宋体" w:cs="宋体" w:hint="eastAsia"/>
                <w:kern w:val="0"/>
                <w:sz w:val="20"/>
                <w:szCs w:val="20"/>
              </w:rPr>
              <w:br/>
              <w:t>重点项目支出：市政府确定的为民办实事和部门重点工程与重点工作支出。项目总支出：部门（单位）年度预算安排的项目支出总额。</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2</w:t>
            </w:r>
          </w:p>
        </w:tc>
      </w:tr>
      <w:tr w:rsidR="00790FB0">
        <w:trPr>
          <w:trHeight w:val="1399"/>
          <w:jc w:val="center"/>
        </w:trPr>
        <w:tc>
          <w:tcPr>
            <w:tcW w:w="411" w:type="dxa"/>
            <w:vMerge/>
            <w:noWrap/>
            <w:vAlign w:val="center"/>
          </w:tcPr>
          <w:p w:rsidR="00790FB0" w:rsidRDefault="00790FB0">
            <w:pPr>
              <w:widowControl/>
              <w:jc w:val="center"/>
              <w:rPr>
                <w:rFonts w:ascii="仿宋_GB2312" w:eastAsia="仿宋_GB2312" w:hAnsi="宋体" w:cs="宋体"/>
                <w:kern w:val="0"/>
                <w:sz w:val="20"/>
                <w:szCs w:val="20"/>
              </w:rPr>
            </w:pPr>
          </w:p>
        </w:tc>
        <w:tc>
          <w:tcPr>
            <w:tcW w:w="429" w:type="dxa"/>
            <w:vMerge/>
            <w:noWrap/>
            <w:vAlign w:val="center"/>
          </w:tcPr>
          <w:p w:rsidR="00790FB0" w:rsidRDefault="00790FB0">
            <w:pPr>
              <w:widowControl/>
              <w:jc w:val="center"/>
              <w:rPr>
                <w:rFonts w:ascii="仿宋_GB2312" w:eastAsia="仿宋_GB2312" w:hAnsi="宋体" w:cs="宋体"/>
                <w:kern w:val="0"/>
                <w:sz w:val="20"/>
                <w:szCs w:val="20"/>
              </w:rPr>
            </w:pPr>
          </w:p>
        </w:tc>
        <w:tc>
          <w:tcPr>
            <w:tcW w:w="567" w:type="dxa"/>
            <w:vMerge/>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非税 收入 管理</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①实行收支两条线，1分；</w:t>
            </w:r>
          </w:p>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②未发生截留、坐支或转移，1分。以上每发现一次违规现象扣1分，扣完为止。</w:t>
            </w:r>
          </w:p>
        </w:tc>
        <w:tc>
          <w:tcPr>
            <w:tcW w:w="3472" w:type="dxa"/>
            <w:noWrap/>
            <w:vAlign w:val="center"/>
          </w:tcPr>
          <w:p w:rsidR="00790FB0" w:rsidRDefault="00790FB0">
            <w:pPr>
              <w:widowControl/>
              <w:jc w:val="left"/>
              <w:rPr>
                <w:rFonts w:ascii="仿宋_GB2312" w:eastAsia="仿宋_GB2312" w:hAnsi="宋体" w:cs="宋体"/>
                <w:kern w:val="0"/>
                <w:sz w:val="20"/>
                <w:szCs w:val="20"/>
              </w:rPr>
            </w:pP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2</w:t>
            </w:r>
          </w:p>
        </w:tc>
      </w:tr>
      <w:tr w:rsidR="00790FB0">
        <w:trPr>
          <w:trHeight w:val="1619"/>
          <w:jc w:val="center"/>
        </w:trPr>
        <w:tc>
          <w:tcPr>
            <w:tcW w:w="411" w:type="dxa"/>
            <w:vMerge/>
            <w:noWrap/>
            <w:vAlign w:val="center"/>
          </w:tcPr>
          <w:p w:rsidR="00790FB0" w:rsidRDefault="00790FB0">
            <w:pPr>
              <w:widowControl/>
              <w:jc w:val="center"/>
              <w:rPr>
                <w:rFonts w:ascii="仿宋_GB2312" w:eastAsia="仿宋_GB2312" w:hAnsi="宋体" w:cs="宋体"/>
                <w:kern w:val="0"/>
                <w:sz w:val="20"/>
                <w:szCs w:val="20"/>
              </w:rPr>
            </w:pPr>
          </w:p>
        </w:tc>
        <w:tc>
          <w:tcPr>
            <w:tcW w:w="429" w:type="dxa"/>
            <w:vMerge/>
            <w:noWrap/>
            <w:vAlign w:val="center"/>
          </w:tcPr>
          <w:p w:rsidR="00790FB0" w:rsidRDefault="00790FB0">
            <w:pPr>
              <w:widowControl/>
              <w:jc w:val="center"/>
              <w:rPr>
                <w:rFonts w:ascii="仿宋_GB2312" w:eastAsia="仿宋_GB2312" w:hAnsi="宋体" w:cs="宋体"/>
                <w:kern w:val="0"/>
                <w:sz w:val="20"/>
                <w:szCs w:val="20"/>
              </w:rPr>
            </w:pPr>
          </w:p>
        </w:tc>
        <w:tc>
          <w:tcPr>
            <w:tcW w:w="567" w:type="dxa"/>
            <w:vMerge/>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非税 收入 完成率</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非税收入完成率100%，2分，每少一个百分点，扣0.1分，扣完为止。</w:t>
            </w:r>
          </w:p>
        </w:tc>
        <w:tc>
          <w:tcPr>
            <w:tcW w:w="3472"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非税收入完成率=（2021年度非税实际收入完成数/2021年度非税收入预算数）×100%，有减免因素的，以非税局确定的为准。</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2</w:t>
            </w:r>
          </w:p>
        </w:tc>
      </w:tr>
      <w:tr w:rsidR="00790FB0">
        <w:trPr>
          <w:trHeight w:val="1740"/>
          <w:jc w:val="center"/>
        </w:trPr>
        <w:tc>
          <w:tcPr>
            <w:tcW w:w="411" w:type="dxa"/>
            <w:vMerge w:val="restart"/>
            <w:noWrap/>
            <w:textDirection w:val="tbRlV"/>
            <w:vAlign w:val="center"/>
          </w:tcPr>
          <w:p w:rsidR="00790FB0" w:rsidRDefault="00790FB0">
            <w:pPr>
              <w:widowControl/>
              <w:jc w:val="center"/>
              <w:rPr>
                <w:rFonts w:ascii="仿宋_GB2312" w:eastAsia="仿宋_GB2312" w:hAnsi="宋体" w:cs="宋体"/>
                <w:kern w:val="0"/>
                <w:sz w:val="20"/>
                <w:szCs w:val="20"/>
              </w:rPr>
            </w:pPr>
          </w:p>
          <w:p w:rsidR="00790FB0" w:rsidRDefault="00790FB0">
            <w:pPr>
              <w:widowControl/>
              <w:jc w:val="center"/>
              <w:rPr>
                <w:rFonts w:ascii="仿宋_GB2312" w:eastAsia="仿宋_GB2312" w:hAnsi="宋体" w:cs="宋体"/>
                <w:kern w:val="0"/>
                <w:sz w:val="20"/>
                <w:szCs w:val="20"/>
              </w:rPr>
            </w:pPr>
          </w:p>
          <w:p w:rsidR="00790FB0" w:rsidRDefault="002D6A9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p w:rsidR="00790FB0" w:rsidRDefault="00790FB0">
            <w:pPr>
              <w:widowControl/>
              <w:ind w:left="113" w:right="113"/>
              <w:jc w:val="center"/>
              <w:rPr>
                <w:rFonts w:ascii="仿宋_GB2312" w:eastAsia="仿宋_GB2312" w:hAnsi="宋体" w:cs="宋体"/>
                <w:kern w:val="0"/>
                <w:sz w:val="20"/>
                <w:szCs w:val="20"/>
              </w:rPr>
            </w:pPr>
          </w:p>
          <w:p w:rsidR="00790FB0" w:rsidRDefault="00790FB0">
            <w:pPr>
              <w:widowControl/>
              <w:jc w:val="center"/>
              <w:rPr>
                <w:rFonts w:ascii="仿宋_GB2312" w:eastAsia="仿宋_GB2312" w:hAnsi="宋体" w:cs="宋体"/>
                <w:kern w:val="0"/>
                <w:sz w:val="20"/>
                <w:szCs w:val="20"/>
              </w:rPr>
            </w:pPr>
          </w:p>
          <w:p w:rsidR="00790FB0" w:rsidRDefault="00790FB0">
            <w:pPr>
              <w:widowControl/>
              <w:jc w:val="center"/>
              <w:rPr>
                <w:rFonts w:ascii="仿宋_GB2312" w:eastAsia="仿宋_GB2312" w:hAnsi="宋体" w:cs="宋体"/>
                <w:kern w:val="0"/>
                <w:sz w:val="20"/>
                <w:szCs w:val="20"/>
              </w:rPr>
            </w:pPr>
          </w:p>
          <w:p w:rsidR="00790FB0" w:rsidRDefault="00790FB0">
            <w:pPr>
              <w:widowControl/>
              <w:jc w:val="center"/>
              <w:rPr>
                <w:rFonts w:ascii="仿宋_GB2312" w:eastAsia="仿宋_GB2312" w:hAnsi="宋体" w:cs="宋体"/>
                <w:kern w:val="0"/>
                <w:sz w:val="20"/>
                <w:szCs w:val="20"/>
              </w:rPr>
            </w:pPr>
          </w:p>
          <w:p w:rsidR="00790FB0" w:rsidRDefault="00790FB0">
            <w:pPr>
              <w:widowControl/>
              <w:jc w:val="center"/>
              <w:rPr>
                <w:rFonts w:ascii="仿宋_GB2312" w:eastAsia="仿宋_GB2312" w:hAnsi="宋体" w:cs="宋体"/>
                <w:kern w:val="0"/>
                <w:sz w:val="20"/>
                <w:szCs w:val="20"/>
              </w:rPr>
            </w:pPr>
          </w:p>
          <w:p w:rsidR="00790FB0" w:rsidRDefault="00790FB0">
            <w:pPr>
              <w:widowControl/>
              <w:jc w:val="center"/>
              <w:rPr>
                <w:rFonts w:ascii="仿宋_GB2312" w:eastAsia="仿宋_GB2312" w:hAnsi="宋体" w:cs="宋体"/>
                <w:kern w:val="0"/>
                <w:sz w:val="20"/>
                <w:szCs w:val="20"/>
              </w:rPr>
            </w:pPr>
          </w:p>
          <w:p w:rsidR="00790FB0" w:rsidRDefault="00790FB0">
            <w:pPr>
              <w:widowControl/>
              <w:jc w:val="center"/>
              <w:rPr>
                <w:rFonts w:ascii="仿宋_GB2312" w:eastAsia="仿宋_GB2312" w:hAnsi="宋体" w:cs="宋体"/>
                <w:kern w:val="0"/>
                <w:sz w:val="20"/>
                <w:szCs w:val="20"/>
              </w:rPr>
            </w:pPr>
          </w:p>
          <w:p w:rsidR="00790FB0" w:rsidRDefault="00790FB0">
            <w:pPr>
              <w:widowControl/>
              <w:jc w:val="center"/>
              <w:rPr>
                <w:rFonts w:ascii="仿宋_GB2312" w:eastAsia="仿宋_GB2312" w:hAnsi="宋体" w:cs="宋体"/>
                <w:kern w:val="0"/>
                <w:sz w:val="20"/>
                <w:szCs w:val="20"/>
              </w:rPr>
            </w:pPr>
          </w:p>
          <w:p w:rsidR="00790FB0" w:rsidRDefault="002D6A96">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      程</w:t>
            </w:r>
          </w:p>
        </w:tc>
        <w:tc>
          <w:tcPr>
            <w:tcW w:w="429" w:type="dxa"/>
            <w:vMerge w:val="restart"/>
            <w:tcBorders>
              <w:right w:val="single" w:sz="4" w:space="0" w:color="auto"/>
            </w:tcBorders>
            <w:noWrap/>
            <w:vAlign w:val="center"/>
          </w:tcPr>
          <w:p w:rsidR="00790FB0" w:rsidRDefault="002D6A9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预算执行</w:t>
            </w:r>
          </w:p>
        </w:tc>
        <w:tc>
          <w:tcPr>
            <w:tcW w:w="567" w:type="dxa"/>
            <w:vMerge w:val="restart"/>
            <w:tcBorders>
              <w:left w:val="single" w:sz="4" w:space="0" w:color="auto"/>
            </w:tcBorders>
            <w:noWrap/>
            <w:vAlign w:val="center"/>
          </w:tcPr>
          <w:p w:rsidR="00790FB0" w:rsidRDefault="002D6A9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预算  完成率</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完成率&lt;1，计2分，</w:t>
            </w:r>
          </w:p>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完成率=1，计1分，</w:t>
            </w:r>
          </w:p>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完成率&gt;1，不得分。</w:t>
            </w:r>
          </w:p>
          <w:p w:rsidR="00790FB0" w:rsidRDefault="00790FB0">
            <w:pPr>
              <w:widowControl/>
              <w:jc w:val="left"/>
              <w:rPr>
                <w:rFonts w:ascii="仿宋_GB2312" w:eastAsia="仿宋_GB2312" w:hAnsi="宋体" w:cs="宋体"/>
                <w:kern w:val="0"/>
                <w:sz w:val="20"/>
                <w:szCs w:val="20"/>
              </w:rPr>
            </w:pPr>
          </w:p>
        </w:tc>
        <w:tc>
          <w:tcPr>
            <w:tcW w:w="3472" w:type="dxa"/>
            <w:noWrap/>
            <w:vAlign w:val="center"/>
          </w:tcPr>
          <w:p w:rsidR="00790FB0" w:rsidRDefault="002D6A96">
            <w:pPr>
              <w:autoSpaceDN w:val="0"/>
              <w:jc w:val="left"/>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预算完成率=（预算完成数/预算数）×100%。预算完成数：部门（单位）本年度实际完成的预算数；预算数：财政部门批复的本年度部门（单位）预算数。</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2</w:t>
            </w:r>
          </w:p>
        </w:tc>
      </w:tr>
      <w:tr w:rsidR="00790FB0">
        <w:trPr>
          <w:trHeight w:val="1224"/>
          <w:jc w:val="center"/>
        </w:trPr>
        <w:tc>
          <w:tcPr>
            <w:tcW w:w="411" w:type="dxa"/>
            <w:vMerge/>
            <w:noWrap/>
            <w:vAlign w:val="center"/>
          </w:tcPr>
          <w:p w:rsidR="00790FB0" w:rsidRDefault="00790FB0">
            <w:pPr>
              <w:jc w:val="center"/>
              <w:rPr>
                <w:rFonts w:ascii="仿宋_GB2312" w:eastAsia="仿宋_GB2312" w:hAnsi="宋体" w:cs="宋体"/>
                <w:kern w:val="0"/>
                <w:sz w:val="20"/>
                <w:szCs w:val="20"/>
              </w:rPr>
            </w:pPr>
          </w:p>
        </w:tc>
        <w:tc>
          <w:tcPr>
            <w:tcW w:w="429" w:type="dxa"/>
            <w:vMerge/>
            <w:tcBorders>
              <w:right w:val="single" w:sz="4" w:space="0" w:color="auto"/>
            </w:tcBorders>
            <w:noWrap/>
            <w:vAlign w:val="center"/>
          </w:tcPr>
          <w:p w:rsidR="00790FB0" w:rsidRDefault="00790FB0">
            <w:pPr>
              <w:jc w:val="center"/>
              <w:rPr>
                <w:rFonts w:ascii="仿宋_GB2312" w:eastAsia="仿宋_GB2312" w:hAnsi="宋体" w:cs="宋体"/>
                <w:kern w:val="0"/>
                <w:sz w:val="20"/>
                <w:szCs w:val="20"/>
              </w:rPr>
            </w:pPr>
          </w:p>
        </w:tc>
        <w:tc>
          <w:tcPr>
            <w:tcW w:w="567" w:type="dxa"/>
            <w:vMerge/>
            <w:tcBorders>
              <w:left w:val="single" w:sz="4" w:space="0" w:color="auto"/>
            </w:tcBorders>
            <w:noWrap/>
            <w:vAlign w:val="center"/>
          </w:tcPr>
          <w:p w:rsidR="00790FB0" w:rsidRDefault="00790FB0">
            <w:pPr>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资金  结余</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结余超过10%（不含），2分；结余在0-10%（含）的，1分；本年超支不得分。</w:t>
            </w:r>
          </w:p>
        </w:tc>
        <w:tc>
          <w:tcPr>
            <w:tcW w:w="3472"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本项结余不含未完工项目资金的结转数。</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2</w:t>
            </w:r>
          </w:p>
        </w:tc>
      </w:tr>
      <w:tr w:rsidR="00790FB0">
        <w:trPr>
          <w:trHeight w:val="2008"/>
          <w:jc w:val="center"/>
        </w:trPr>
        <w:tc>
          <w:tcPr>
            <w:tcW w:w="411" w:type="dxa"/>
            <w:vMerge/>
            <w:noWrap/>
            <w:vAlign w:val="center"/>
          </w:tcPr>
          <w:p w:rsidR="00790FB0" w:rsidRDefault="00790FB0">
            <w:pPr>
              <w:jc w:val="center"/>
              <w:rPr>
                <w:rFonts w:ascii="仿宋_GB2312" w:eastAsia="仿宋_GB2312" w:hAnsi="宋体" w:cs="宋体"/>
                <w:kern w:val="0"/>
                <w:sz w:val="20"/>
                <w:szCs w:val="20"/>
              </w:rPr>
            </w:pPr>
          </w:p>
        </w:tc>
        <w:tc>
          <w:tcPr>
            <w:tcW w:w="429" w:type="dxa"/>
            <w:vMerge/>
            <w:tcBorders>
              <w:right w:val="single" w:sz="4" w:space="0" w:color="auto"/>
            </w:tcBorders>
            <w:noWrap/>
            <w:vAlign w:val="center"/>
          </w:tcPr>
          <w:p w:rsidR="00790FB0" w:rsidRDefault="00790FB0">
            <w:pPr>
              <w:jc w:val="center"/>
              <w:rPr>
                <w:rFonts w:ascii="仿宋_GB2312" w:eastAsia="仿宋_GB2312" w:hAnsi="宋体" w:cs="宋体"/>
                <w:kern w:val="0"/>
                <w:sz w:val="20"/>
                <w:szCs w:val="20"/>
              </w:rPr>
            </w:pPr>
          </w:p>
        </w:tc>
        <w:tc>
          <w:tcPr>
            <w:tcW w:w="567" w:type="dxa"/>
            <w:vMerge/>
            <w:tcBorders>
              <w:left w:val="single" w:sz="4" w:space="0" w:color="auto"/>
            </w:tcBorders>
            <w:noWrap/>
            <w:vAlign w:val="center"/>
          </w:tcPr>
          <w:p w:rsidR="00790FB0" w:rsidRDefault="00790FB0">
            <w:pPr>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“三公经费”</w:t>
            </w:r>
            <w:r>
              <w:rPr>
                <w:rFonts w:ascii="仿宋_GB2312" w:eastAsia="仿宋_GB2312" w:hAnsi="宋体" w:cs="宋体" w:hint="eastAsia"/>
                <w:kern w:val="0"/>
                <w:sz w:val="20"/>
                <w:szCs w:val="20"/>
              </w:rPr>
              <w:br/>
              <w:t>控制率</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以100%为标准。三公经费控制率</w:t>
            </w:r>
            <w:r>
              <w:rPr>
                <w:rFonts w:ascii="仿宋_GB2312" w:eastAsia="仿宋_GB2312" w:hAnsi="Arial" w:cs="Arial" w:hint="eastAsia"/>
                <w:kern w:val="0"/>
                <w:sz w:val="20"/>
                <w:szCs w:val="20"/>
              </w:rPr>
              <w:t>≤</w:t>
            </w:r>
            <w:r>
              <w:rPr>
                <w:rFonts w:ascii="仿宋_GB2312" w:eastAsia="仿宋_GB2312" w:hAnsi="宋体" w:cs="宋体" w:hint="eastAsia"/>
                <w:kern w:val="0"/>
                <w:sz w:val="20"/>
                <w:szCs w:val="20"/>
              </w:rPr>
              <w:t>100%，计2分；每超过一个百分点扣0.2分，扣完为止。单位没有制定“三公”经费预算，该项不得分。</w:t>
            </w:r>
          </w:p>
        </w:tc>
        <w:tc>
          <w:tcPr>
            <w:tcW w:w="3472"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“三公经费”控制率=（“三公经费”实际支出数/“三公经费”预算安排数）×100%。</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2</w:t>
            </w:r>
          </w:p>
        </w:tc>
      </w:tr>
      <w:tr w:rsidR="00790FB0">
        <w:trPr>
          <w:trHeight w:val="2211"/>
          <w:jc w:val="center"/>
        </w:trPr>
        <w:tc>
          <w:tcPr>
            <w:tcW w:w="411" w:type="dxa"/>
            <w:vMerge/>
            <w:noWrap/>
            <w:vAlign w:val="center"/>
          </w:tcPr>
          <w:p w:rsidR="00790FB0" w:rsidRDefault="00790FB0">
            <w:pPr>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政府</w:t>
            </w:r>
          </w:p>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采购</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 w:eastAsia="仿宋" w:hAnsi="仿宋" w:cs="宋体" w:hint="eastAsia"/>
                <w:kern w:val="0"/>
                <w:sz w:val="20"/>
                <w:szCs w:val="20"/>
              </w:rPr>
              <w:t>①编</w:t>
            </w:r>
            <w:r>
              <w:rPr>
                <w:rFonts w:ascii="仿宋_GB2312" w:eastAsia="仿宋_GB2312" w:hAnsi="宋体" w:cs="宋体" w:hint="eastAsia"/>
                <w:kern w:val="0"/>
                <w:sz w:val="20"/>
                <w:szCs w:val="20"/>
              </w:rPr>
              <w:t>制政府采购年度预算并上报的，0.5分；②追加并编制政府采购预算的，0.5分；</w:t>
            </w:r>
            <w:r>
              <w:rPr>
                <w:rFonts w:ascii="仿宋" w:eastAsia="仿宋" w:hAnsi="仿宋" w:cs="宋体" w:hint="eastAsia"/>
                <w:kern w:val="0"/>
                <w:sz w:val="20"/>
                <w:szCs w:val="20"/>
              </w:rPr>
              <w:t>③</w:t>
            </w:r>
            <w:r>
              <w:rPr>
                <w:rFonts w:ascii="仿宋_GB2312" w:eastAsia="仿宋_GB2312" w:hAnsi="宋体" w:cs="宋体" w:hint="eastAsia"/>
                <w:kern w:val="0"/>
                <w:sz w:val="20"/>
                <w:szCs w:val="20"/>
              </w:rPr>
              <w:t>政府采购执行率=100%，计1分；每少一个百分点扣0.1分，扣完为止。</w:t>
            </w:r>
          </w:p>
        </w:tc>
        <w:tc>
          <w:tcPr>
            <w:tcW w:w="3472"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政府采购执行率=（实际实行政府采购金额/应实行政府采购金额）×100%。应实行政府采金额以《湘财购[2012]27号》文件为标准。</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2</w:t>
            </w:r>
          </w:p>
        </w:tc>
      </w:tr>
      <w:tr w:rsidR="00790FB0">
        <w:trPr>
          <w:trHeight w:val="4335"/>
          <w:jc w:val="center"/>
        </w:trPr>
        <w:tc>
          <w:tcPr>
            <w:tcW w:w="411" w:type="dxa"/>
            <w:vMerge/>
            <w:noWrap/>
            <w:vAlign w:val="center"/>
          </w:tcPr>
          <w:p w:rsidR="00790FB0" w:rsidRDefault="00790FB0">
            <w:pPr>
              <w:widowControl/>
              <w:jc w:val="center"/>
              <w:rPr>
                <w:rFonts w:ascii="仿宋_GB2312" w:eastAsia="仿宋_GB2312" w:hAnsi="宋体" w:cs="宋体"/>
                <w:kern w:val="0"/>
                <w:sz w:val="20"/>
                <w:szCs w:val="20"/>
              </w:rPr>
            </w:pPr>
          </w:p>
        </w:tc>
        <w:tc>
          <w:tcPr>
            <w:tcW w:w="429" w:type="dxa"/>
            <w:vMerge w:val="restart"/>
            <w:tcBorders>
              <w:top w:val="single" w:sz="4" w:space="0" w:color="auto"/>
              <w:right w:val="single" w:sz="4" w:space="0" w:color="auto"/>
            </w:tcBorders>
            <w:noWrap/>
            <w:vAlign w:val="center"/>
          </w:tcPr>
          <w:p w:rsidR="00790FB0" w:rsidRDefault="002D6A96">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预算管理</w:t>
            </w:r>
          </w:p>
        </w:tc>
        <w:tc>
          <w:tcPr>
            <w:tcW w:w="567" w:type="dxa"/>
            <w:vMerge w:val="restart"/>
            <w:tcBorders>
              <w:top w:val="single" w:sz="4" w:space="0" w:color="auto"/>
              <w:left w:val="single" w:sz="4" w:space="0" w:color="auto"/>
            </w:tcBorders>
            <w:noWrap/>
            <w:vAlign w:val="center"/>
          </w:tcPr>
          <w:p w:rsidR="00790FB0" w:rsidRDefault="002D6A96">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28</w:t>
            </w:r>
          </w:p>
        </w:tc>
        <w:tc>
          <w:tcPr>
            <w:tcW w:w="851" w:type="dxa"/>
            <w:tcBorders>
              <w:top w:val="single" w:sz="4" w:space="0" w:color="auto"/>
            </w:tcBorders>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管理  制度</w:t>
            </w:r>
            <w:r>
              <w:rPr>
                <w:rFonts w:ascii="仿宋_GB2312" w:eastAsia="仿宋_GB2312" w:hAnsi="宋体" w:cs="宋体" w:hint="eastAsia"/>
                <w:kern w:val="0"/>
                <w:sz w:val="20"/>
                <w:szCs w:val="20"/>
              </w:rPr>
              <w:br/>
              <w:t>健全性</w:t>
            </w:r>
          </w:p>
        </w:tc>
        <w:tc>
          <w:tcPr>
            <w:tcW w:w="567" w:type="dxa"/>
            <w:tcBorders>
              <w:top w:val="single" w:sz="4" w:space="0" w:color="auto"/>
            </w:tcBorders>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6</w:t>
            </w:r>
          </w:p>
          <w:p w:rsidR="00790FB0" w:rsidRDefault="00790FB0">
            <w:pPr>
              <w:widowControl/>
              <w:rPr>
                <w:rFonts w:ascii="仿宋_GB2312" w:eastAsia="仿宋_GB2312" w:hAnsi="宋体" w:cs="宋体"/>
                <w:kern w:val="0"/>
                <w:sz w:val="20"/>
                <w:szCs w:val="20"/>
              </w:rPr>
            </w:pPr>
          </w:p>
        </w:tc>
        <w:tc>
          <w:tcPr>
            <w:tcW w:w="3118" w:type="dxa"/>
            <w:tcBorders>
              <w:top w:val="single" w:sz="4" w:space="0" w:color="auto"/>
            </w:tcBorders>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①已制定资金管理办法、内部财务管理制度、会计核算制度等管理制度，1分；</w:t>
            </w:r>
            <w:r>
              <w:rPr>
                <w:rFonts w:ascii="仿宋_GB2312" w:eastAsia="仿宋_GB2312" w:hAnsi="宋体" w:cs="宋体" w:hint="eastAsia"/>
                <w:kern w:val="0"/>
                <w:sz w:val="20"/>
                <w:szCs w:val="20"/>
              </w:rPr>
              <w:br/>
              <w:t>②建立健全单位内部控制制度，1分；</w:t>
            </w:r>
            <w:r>
              <w:rPr>
                <w:rFonts w:ascii="仿宋_GB2312" w:eastAsia="仿宋_GB2312" w:hAnsi="宋体" w:cs="宋体" w:hint="eastAsia"/>
                <w:kern w:val="0"/>
                <w:sz w:val="20"/>
                <w:szCs w:val="20"/>
              </w:rPr>
              <w:br/>
              <w:t>③会计人员、机构按规定设置，1分；</w:t>
            </w:r>
          </w:p>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④会计基础工作健全，1分；</w:t>
            </w:r>
          </w:p>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⑤会计档案符合规定要求，1分；</w:t>
            </w:r>
          </w:p>
          <w:p w:rsidR="00790FB0" w:rsidRDefault="002D6A96">
            <w:pPr>
              <w:widowControl/>
              <w:jc w:val="left"/>
              <w:rPr>
                <w:rFonts w:ascii="仿宋_GB2312" w:eastAsia="仿宋_GB2312" w:hAnsi="宋体" w:cs="宋体"/>
                <w:kern w:val="0"/>
                <w:sz w:val="20"/>
                <w:szCs w:val="20"/>
              </w:rPr>
            </w:pPr>
            <w:r>
              <w:rPr>
                <w:rFonts w:ascii="仿宋_GB2312" w:eastAsia="仿宋_GB2312" w:hAnsi="仿宋" w:cs="仿宋" w:hint="eastAsia"/>
                <w:kern w:val="0"/>
                <w:sz w:val="20"/>
                <w:szCs w:val="20"/>
              </w:rPr>
              <w:t>⑥项目管理规范（包括项目立项、申报、招投标、制度建立、按时完工等），1分，每发现少一项扣0.2分，扣完为止。</w:t>
            </w:r>
          </w:p>
        </w:tc>
        <w:tc>
          <w:tcPr>
            <w:tcW w:w="3472" w:type="dxa"/>
            <w:tcBorders>
              <w:top w:val="single" w:sz="4" w:space="0" w:color="auto"/>
            </w:tcBorders>
            <w:noWrap/>
            <w:vAlign w:val="center"/>
          </w:tcPr>
          <w:p w:rsidR="00790FB0" w:rsidRDefault="00790FB0">
            <w:pPr>
              <w:widowControl/>
              <w:jc w:val="left"/>
              <w:rPr>
                <w:rFonts w:ascii="仿宋_GB2312" w:eastAsia="仿宋_GB2312" w:hAnsi="宋体" w:cs="宋体"/>
                <w:kern w:val="0"/>
                <w:sz w:val="20"/>
                <w:szCs w:val="20"/>
              </w:rPr>
            </w:pPr>
          </w:p>
        </w:tc>
        <w:tc>
          <w:tcPr>
            <w:tcW w:w="617" w:type="dxa"/>
            <w:tcBorders>
              <w:top w:val="single" w:sz="4" w:space="0" w:color="auto"/>
            </w:tcBorders>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6</w:t>
            </w:r>
          </w:p>
        </w:tc>
      </w:tr>
      <w:tr w:rsidR="00790FB0">
        <w:trPr>
          <w:trHeight w:val="110"/>
          <w:jc w:val="center"/>
        </w:trPr>
        <w:tc>
          <w:tcPr>
            <w:tcW w:w="411" w:type="dxa"/>
            <w:vMerge/>
            <w:noWrap/>
            <w:vAlign w:val="center"/>
          </w:tcPr>
          <w:p w:rsidR="00790FB0" w:rsidRDefault="00790FB0">
            <w:pPr>
              <w:widowControl/>
              <w:jc w:val="center"/>
              <w:rPr>
                <w:rFonts w:ascii="仿宋_GB2312" w:eastAsia="仿宋_GB2312" w:hAnsi="宋体" w:cs="宋体"/>
                <w:kern w:val="0"/>
                <w:sz w:val="20"/>
                <w:szCs w:val="20"/>
              </w:rPr>
            </w:pPr>
          </w:p>
        </w:tc>
        <w:tc>
          <w:tcPr>
            <w:tcW w:w="429" w:type="dxa"/>
            <w:vMerge/>
            <w:tcBorders>
              <w:top w:val="single" w:sz="4" w:space="0" w:color="auto"/>
              <w:right w:val="single" w:sz="4" w:space="0" w:color="auto"/>
            </w:tcBorders>
            <w:noWrap/>
            <w:vAlign w:val="center"/>
          </w:tcPr>
          <w:p w:rsidR="00790FB0" w:rsidRDefault="00790FB0">
            <w:pPr>
              <w:jc w:val="center"/>
              <w:rPr>
                <w:rFonts w:ascii="仿宋_GB2312" w:eastAsia="仿宋_GB2312" w:hAnsi="宋体" w:cs="宋体"/>
                <w:kern w:val="0"/>
                <w:sz w:val="20"/>
                <w:szCs w:val="20"/>
              </w:rPr>
            </w:pPr>
          </w:p>
        </w:tc>
        <w:tc>
          <w:tcPr>
            <w:tcW w:w="567" w:type="dxa"/>
            <w:vMerge/>
            <w:tcBorders>
              <w:top w:val="single" w:sz="4" w:space="0" w:color="auto"/>
              <w:left w:val="single" w:sz="4" w:space="0" w:color="auto"/>
            </w:tcBorders>
            <w:noWrap/>
            <w:vAlign w:val="center"/>
          </w:tcPr>
          <w:p w:rsidR="00790FB0" w:rsidRDefault="00790FB0">
            <w:pPr>
              <w:jc w:val="center"/>
              <w:rPr>
                <w:rFonts w:ascii="仿宋_GB2312" w:eastAsia="仿宋_GB2312" w:hAnsi="宋体" w:cs="宋体"/>
                <w:kern w:val="0"/>
                <w:sz w:val="20"/>
                <w:szCs w:val="20"/>
              </w:rPr>
            </w:pPr>
          </w:p>
        </w:tc>
        <w:tc>
          <w:tcPr>
            <w:tcW w:w="851" w:type="dxa"/>
            <w:tcBorders>
              <w:top w:val="single" w:sz="4" w:space="0" w:color="auto"/>
            </w:tcBorders>
            <w:noWrap/>
            <w:vAlign w:val="center"/>
          </w:tcPr>
          <w:p w:rsidR="00790FB0" w:rsidRDefault="002D6A96">
            <w:pPr>
              <w:rPr>
                <w:rFonts w:ascii="仿宋_GB2312" w:eastAsia="仿宋_GB2312" w:hAnsi="宋体" w:cs="宋体"/>
                <w:kern w:val="0"/>
                <w:sz w:val="20"/>
                <w:szCs w:val="20"/>
              </w:rPr>
            </w:pPr>
            <w:r>
              <w:rPr>
                <w:rFonts w:ascii="仿宋_GB2312" w:eastAsia="仿宋_GB2312" w:hAnsi="宋体" w:cs="宋体" w:hint="eastAsia"/>
                <w:kern w:val="0"/>
                <w:sz w:val="20"/>
                <w:szCs w:val="20"/>
              </w:rPr>
              <w:t>内控制度情况</w:t>
            </w:r>
          </w:p>
        </w:tc>
        <w:tc>
          <w:tcPr>
            <w:tcW w:w="567" w:type="dxa"/>
            <w:tcBorders>
              <w:top w:val="single" w:sz="4" w:space="0" w:color="auto"/>
            </w:tcBorders>
            <w:noWrap/>
            <w:vAlign w:val="center"/>
          </w:tcPr>
          <w:p w:rsidR="00790FB0" w:rsidRDefault="002D6A96">
            <w:pPr>
              <w:rPr>
                <w:rFonts w:ascii="仿宋_GB2312" w:eastAsia="仿宋_GB2312" w:hAnsi="宋体" w:cs="宋体"/>
                <w:kern w:val="0"/>
                <w:sz w:val="20"/>
                <w:szCs w:val="20"/>
              </w:rPr>
            </w:pPr>
            <w:r>
              <w:rPr>
                <w:rFonts w:ascii="仿宋_GB2312" w:eastAsia="仿宋_GB2312" w:hAnsi="宋体" w:cs="宋体" w:hint="eastAsia"/>
                <w:kern w:val="0"/>
                <w:sz w:val="20"/>
                <w:szCs w:val="20"/>
              </w:rPr>
              <w:t>4分</w:t>
            </w:r>
          </w:p>
        </w:tc>
        <w:tc>
          <w:tcPr>
            <w:tcW w:w="3118" w:type="dxa"/>
            <w:tcBorders>
              <w:top w:val="single" w:sz="4" w:space="0" w:color="auto"/>
            </w:tcBorders>
            <w:noWrap/>
            <w:vAlign w:val="center"/>
          </w:tcPr>
          <w:p w:rsidR="00790FB0" w:rsidRDefault="002D6A96">
            <w:pPr>
              <w:jc w:val="left"/>
              <w:rPr>
                <w:rFonts w:ascii="仿宋_GB2312" w:eastAsia="仿宋_GB2312" w:hAnsi="宋体" w:cs="宋体"/>
                <w:kern w:val="0"/>
                <w:sz w:val="20"/>
                <w:szCs w:val="20"/>
              </w:rPr>
            </w:pPr>
            <w:r>
              <w:rPr>
                <w:rFonts w:ascii="仿宋_GB2312" w:eastAsia="仿宋_GB2312" w:hAnsi="宋体" w:cs="宋体" w:hint="eastAsia"/>
                <w:kern w:val="0"/>
                <w:sz w:val="20"/>
                <w:szCs w:val="20"/>
              </w:rPr>
              <w:t>内部控制制度完全执行，4分，执行过程中，某个环节（节点）执行不到位的，每个环节（节点）扣1分，扣完为止。</w:t>
            </w:r>
          </w:p>
        </w:tc>
        <w:tc>
          <w:tcPr>
            <w:tcW w:w="3472" w:type="dxa"/>
            <w:tcBorders>
              <w:top w:val="single" w:sz="4" w:space="0" w:color="auto"/>
            </w:tcBorders>
            <w:noWrap/>
            <w:vAlign w:val="center"/>
          </w:tcPr>
          <w:p w:rsidR="00790FB0" w:rsidRDefault="00790FB0">
            <w:pPr>
              <w:widowControl/>
              <w:jc w:val="left"/>
              <w:rPr>
                <w:rFonts w:ascii="仿宋_GB2312" w:eastAsia="仿宋_GB2312" w:hAnsi="宋体" w:cs="宋体"/>
                <w:kern w:val="0"/>
                <w:sz w:val="20"/>
                <w:szCs w:val="20"/>
              </w:rPr>
            </w:pPr>
          </w:p>
        </w:tc>
        <w:tc>
          <w:tcPr>
            <w:tcW w:w="617" w:type="dxa"/>
            <w:tcBorders>
              <w:top w:val="single" w:sz="4" w:space="0" w:color="auto"/>
            </w:tcBorders>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4</w:t>
            </w:r>
          </w:p>
        </w:tc>
      </w:tr>
      <w:tr w:rsidR="00790FB0">
        <w:trPr>
          <w:trHeight w:val="6097"/>
          <w:jc w:val="center"/>
        </w:trPr>
        <w:tc>
          <w:tcPr>
            <w:tcW w:w="411" w:type="dxa"/>
            <w:vMerge w:val="restart"/>
            <w:tcBorders>
              <w:top w:val="nil"/>
            </w:tcBorders>
            <w:noWrap/>
            <w:vAlign w:val="center"/>
          </w:tcPr>
          <w:p w:rsidR="00790FB0" w:rsidRDefault="002D6A9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过程</w:t>
            </w:r>
          </w:p>
        </w:tc>
        <w:tc>
          <w:tcPr>
            <w:tcW w:w="429" w:type="dxa"/>
            <w:vMerge/>
            <w:tcBorders>
              <w:right w:val="single" w:sz="4" w:space="0" w:color="auto"/>
            </w:tcBorders>
            <w:noWrap/>
            <w:vAlign w:val="center"/>
          </w:tcPr>
          <w:p w:rsidR="00790FB0" w:rsidRDefault="00790FB0">
            <w:pPr>
              <w:jc w:val="center"/>
              <w:rPr>
                <w:rFonts w:ascii="仿宋_GB2312" w:eastAsia="仿宋_GB2312" w:hAnsi="宋体" w:cs="宋体"/>
                <w:kern w:val="0"/>
                <w:sz w:val="20"/>
                <w:szCs w:val="20"/>
              </w:rPr>
            </w:pPr>
          </w:p>
        </w:tc>
        <w:tc>
          <w:tcPr>
            <w:tcW w:w="567" w:type="dxa"/>
            <w:vMerge/>
            <w:tcBorders>
              <w:left w:val="single" w:sz="4" w:space="0" w:color="auto"/>
            </w:tcBorders>
            <w:noWrap/>
            <w:vAlign w:val="center"/>
          </w:tcPr>
          <w:p w:rsidR="00790FB0" w:rsidRDefault="00790FB0">
            <w:pPr>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资金  使用</w:t>
            </w:r>
            <w:r>
              <w:rPr>
                <w:rFonts w:ascii="仿宋_GB2312" w:eastAsia="仿宋_GB2312" w:hAnsi="宋体" w:cs="宋体" w:hint="eastAsia"/>
                <w:kern w:val="0"/>
                <w:sz w:val="20"/>
                <w:szCs w:val="20"/>
              </w:rPr>
              <w:br/>
              <w:t>合规性</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14</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①支出符合国家财经法规和财务管理制度规定以及有关专项资金管理办法的规定；</w:t>
            </w:r>
            <w:r>
              <w:rPr>
                <w:rFonts w:ascii="仿宋_GB2312" w:eastAsia="仿宋_GB2312" w:hAnsi="宋体" w:cs="宋体" w:hint="eastAsia"/>
                <w:kern w:val="0"/>
                <w:sz w:val="20"/>
                <w:szCs w:val="20"/>
              </w:rPr>
              <w:br/>
              <w:t>②资金（开支）拨付有完整的审批程序和手续；</w:t>
            </w:r>
            <w:r>
              <w:rPr>
                <w:rFonts w:ascii="仿宋_GB2312" w:eastAsia="仿宋_GB2312" w:hAnsi="宋体" w:cs="宋体" w:hint="eastAsia"/>
                <w:kern w:val="0"/>
                <w:sz w:val="20"/>
                <w:szCs w:val="20"/>
              </w:rPr>
              <w:br/>
              <w:t>③支出符合部门预算批复的用途；</w:t>
            </w:r>
            <w:r>
              <w:rPr>
                <w:rFonts w:ascii="仿宋_GB2312" w:eastAsia="仿宋_GB2312" w:hAnsi="宋体" w:cs="宋体" w:hint="eastAsia"/>
                <w:kern w:val="0"/>
                <w:sz w:val="20"/>
                <w:szCs w:val="20"/>
              </w:rPr>
              <w:br/>
              <w:t>④资金使用无截留、挤占、挪用、虚列支出、随意借用、大额现金支付等情况。</w:t>
            </w:r>
          </w:p>
          <w:p w:rsidR="00790FB0" w:rsidRDefault="002D6A96">
            <w:pPr>
              <w:widowControl/>
              <w:jc w:val="left"/>
              <w:rPr>
                <w:rFonts w:ascii="仿宋_GB2312" w:eastAsia="仿宋_GB2312" w:hAnsi="仿宋" w:cs="仿宋"/>
                <w:kern w:val="0"/>
                <w:sz w:val="20"/>
                <w:szCs w:val="20"/>
              </w:rPr>
            </w:pPr>
            <w:r>
              <w:rPr>
                <w:rFonts w:ascii="仿宋_GB2312" w:eastAsia="仿宋_GB2312" w:hAnsi="微软雅黑" w:cs="微软雅黑" w:hint="eastAsia"/>
                <w:kern w:val="0"/>
                <w:sz w:val="20"/>
                <w:szCs w:val="20"/>
              </w:rPr>
              <w:t>⑤</w:t>
            </w:r>
            <w:r>
              <w:rPr>
                <w:rFonts w:ascii="仿宋_GB2312" w:eastAsia="仿宋_GB2312" w:hAnsi="仿宋" w:cs="仿宋" w:hint="eastAsia"/>
                <w:kern w:val="0"/>
                <w:sz w:val="20"/>
                <w:szCs w:val="20"/>
              </w:rPr>
              <w:t>重大财务事项经由集体研究决策；</w:t>
            </w:r>
          </w:p>
          <w:p w:rsidR="00790FB0" w:rsidRDefault="002D6A96">
            <w:pPr>
              <w:widowControl/>
              <w:jc w:val="left"/>
              <w:rPr>
                <w:rFonts w:ascii="仿宋_GB2312" w:eastAsia="仿宋_GB2312" w:hAnsi="仿宋" w:cs="仿宋"/>
                <w:kern w:val="0"/>
                <w:sz w:val="20"/>
                <w:szCs w:val="20"/>
              </w:rPr>
            </w:pPr>
            <w:r>
              <w:rPr>
                <w:rFonts w:ascii="仿宋_GB2312" w:eastAsia="仿宋_GB2312" w:hAnsi="微软雅黑" w:cs="微软雅黑" w:hint="eastAsia"/>
                <w:kern w:val="0"/>
                <w:sz w:val="20"/>
                <w:szCs w:val="20"/>
              </w:rPr>
              <w:t>⑥</w:t>
            </w:r>
            <w:r>
              <w:rPr>
                <w:rFonts w:ascii="仿宋_GB2312" w:eastAsia="仿宋_GB2312" w:hAnsi="仿宋" w:cs="仿宋" w:hint="eastAsia"/>
                <w:kern w:val="0"/>
                <w:sz w:val="20"/>
                <w:szCs w:val="20"/>
              </w:rPr>
              <w:t>专项资金做到专款专用；</w:t>
            </w:r>
          </w:p>
          <w:p w:rsidR="00790FB0" w:rsidRDefault="002D6A96">
            <w:pPr>
              <w:widowControl/>
              <w:jc w:val="left"/>
              <w:rPr>
                <w:rFonts w:ascii="仿宋_GB2312" w:eastAsia="仿宋_GB2312" w:hAnsi="仿宋" w:cs="仿宋"/>
                <w:kern w:val="0"/>
                <w:sz w:val="20"/>
                <w:szCs w:val="20"/>
              </w:rPr>
            </w:pPr>
            <w:r>
              <w:rPr>
                <w:rFonts w:ascii="仿宋_GB2312" w:eastAsia="仿宋_GB2312" w:hAnsi="微软雅黑" w:cs="微软雅黑" w:hint="eastAsia"/>
                <w:kern w:val="0"/>
                <w:sz w:val="20"/>
                <w:szCs w:val="20"/>
              </w:rPr>
              <w:t>⑦</w:t>
            </w:r>
            <w:r>
              <w:rPr>
                <w:rFonts w:ascii="仿宋_GB2312" w:eastAsia="仿宋_GB2312" w:hAnsi="仿宋" w:cs="仿宋" w:hint="eastAsia"/>
                <w:kern w:val="0"/>
                <w:sz w:val="20"/>
                <w:szCs w:val="20"/>
              </w:rPr>
              <w:t>原始凭证的取得真实有效；</w:t>
            </w:r>
          </w:p>
          <w:p w:rsidR="00790FB0" w:rsidRDefault="002D6A96">
            <w:pPr>
              <w:widowControl/>
              <w:jc w:val="left"/>
              <w:rPr>
                <w:rFonts w:ascii="仿宋_GB2312" w:eastAsia="仿宋_GB2312" w:hAnsi="仿宋" w:cs="仿宋"/>
                <w:kern w:val="0"/>
                <w:sz w:val="20"/>
                <w:szCs w:val="20"/>
              </w:rPr>
            </w:pPr>
            <w:r>
              <w:rPr>
                <w:rFonts w:ascii="仿宋_GB2312" w:eastAsia="仿宋_GB2312" w:hAnsi="微软雅黑" w:cs="微软雅黑" w:hint="eastAsia"/>
                <w:kern w:val="0"/>
                <w:sz w:val="20"/>
                <w:szCs w:val="20"/>
              </w:rPr>
              <w:t>⑧</w:t>
            </w:r>
            <w:r>
              <w:rPr>
                <w:rFonts w:ascii="仿宋_GB2312" w:eastAsia="仿宋_GB2312" w:hAnsi="仿宋" w:cs="仿宋" w:hint="eastAsia"/>
                <w:kern w:val="0"/>
                <w:sz w:val="20"/>
                <w:szCs w:val="20"/>
              </w:rPr>
              <w:t>无超范围、超预算开支；</w:t>
            </w:r>
          </w:p>
          <w:p w:rsidR="00790FB0" w:rsidRDefault="002D6A96">
            <w:pPr>
              <w:widowControl/>
              <w:jc w:val="left"/>
              <w:rPr>
                <w:rFonts w:ascii="仿宋_GB2312" w:eastAsia="仿宋_GB2312" w:hAnsi="宋体" w:cs="宋体"/>
                <w:kern w:val="0"/>
                <w:sz w:val="20"/>
                <w:szCs w:val="20"/>
              </w:rPr>
            </w:pPr>
            <w:r>
              <w:rPr>
                <w:rFonts w:ascii="仿宋" w:eastAsia="仿宋" w:hAnsi="仿宋" w:cs="仿宋" w:hint="eastAsia"/>
                <w:kern w:val="0"/>
                <w:sz w:val="20"/>
                <w:szCs w:val="20"/>
              </w:rPr>
              <w:t>⑨</w:t>
            </w:r>
            <w:r>
              <w:rPr>
                <w:rFonts w:ascii="仿宋_GB2312" w:eastAsia="仿宋_GB2312" w:hAnsi="仿宋" w:cs="仿宋" w:hint="eastAsia"/>
                <w:kern w:val="0"/>
                <w:sz w:val="20"/>
                <w:szCs w:val="20"/>
              </w:rPr>
              <w:t>无超标准发放津补贴、奖金，无用公款支付应由个人支付的款项。</w:t>
            </w:r>
            <w:r>
              <w:rPr>
                <w:rFonts w:ascii="仿宋_GB2312" w:eastAsia="仿宋_GB2312" w:hAnsi="仿宋" w:cs="仿宋" w:hint="eastAsia"/>
                <w:kern w:val="0"/>
                <w:sz w:val="20"/>
                <w:szCs w:val="20"/>
              </w:rPr>
              <w:br/>
              <w:t>以上情况每出现一例不</w:t>
            </w:r>
            <w:r>
              <w:rPr>
                <w:rFonts w:ascii="仿宋_GB2312" w:eastAsia="仿宋_GB2312" w:hAnsi="宋体" w:cs="宋体" w:hint="eastAsia"/>
                <w:kern w:val="0"/>
                <w:sz w:val="20"/>
                <w:szCs w:val="20"/>
              </w:rPr>
              <w:t>符合要求的扣2分，扣完为止。</w:t>
            </w:r>
          </w:p>
        </w:tc>
        <w:tc>
          <w:tcPr>
            <w:tcW w:w="3472"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部门（单位）使用预算资金是否符合相关的预算财务管理制度的规定，用以反映和考核部门（单位）预算资金的规范运行情况。</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12</w:t>
            </w:r>
          </w:p>
        </w:tc>
      </w:tr>
      <w:tr w:rsidR="00790FB0">
        <w:trPr>
          <w:trHeight w:val="2036"/>
          <w:jc w:val="center"/>
        </w:trPr>
        <w:tc>
          <w:tcPr>
            <w:tcW w:w="411" w:type="dxa"/>
            <w:vMerge/>
            <w:tcBorders>
              <w:top w:val="nil"/>
            </w:tcBorders>
            <w:noWrap/>
            <w:vAlign w:val="center"/>
          </w:tcPr>
          <w:p w:rsidR="00790FB0" w:rsidRDefault="00790FB0">
            <w:pPr>
              <w:widowControl/>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预决算信息公开性和完善性</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预决算信息是指与部门预算、执行、决算、监督、绩效等管理相关的信息。</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3</w:t>
            </w:r>
          </w:p>
        </w:tc>
      </w:tr>
      <w:tr w:rsidR="00790FB0">
        <w:trPr>
          <w:trHeight w:val="1615"/>
          <w:jc w:val="center"/>
        </w:trPr>
        <w:tc>
          <w:tcPr>
            <w:tcW w:w="411" w:type="dxa"/>
            <w:vMerge/>
            <w:tcBorders>
              <w:top w:val="nil"/>
            </w:tcBorders>
            <w:noWrap/>
            <w:vAlign w:val="center"/>
          </w:tcPr>
          <w:p w:rsidR="00790FB0" w:rsidRDefault="00790FB0">
            <w:pPr>
              <w:widowControl/>
              <w:jc w:val="center"/>
              <w:rPr>
                <w:rFonts w:ascii="仿宋_GB2312" w:eastAsia="仿宋_GB2312" w:hAnsi="宋体" w:cs="宋体"/>
                <w:kern w:val="0"/>
                <w:sz w:val="20"/>
                <w:szCs w:val="20"/>
              </w:rPr>
            </w:pPr>
          </w:p>
        </w:tc>
        <w:tc>
          <w:tcPr>
            <w:tcW w:w="429" w:type="dxa"/>
            <w:vMerge w:val="restart"/>
            <w:tcBorders>
              <w:top w:val="single" w:sz="4" w:space="0" w:color="auto"/>
              <w:bottom w:val="single" w:sz="4" w:space="0" w:color="auto"/>
              <w:right w:val="single" w:sz="4" w:space="0" w:color="auto"/>
            </w:tcBorders>
            <w:noWrap/>
            <w:vAlign w:val="center"/>
          </w:tcPr>
          <w:p w:rsidR="00790FB0" w:rsidRDefault="002D6A9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资产管理</w:t>
            </w:r>
          </w:p>
        </w:tc>
        <w:tc>
          <w:tcPr>
            <w:tcW w:w="567" w:type="dxa"/>
            <w:vMerge w:val="restart"/>
            <w:tcBorders>
              <w:top w:val="single" w:sz="4" w:space="0" w:color="auto"/>
              <w:left w:val="single" w:sz="4" w:space="0" w:color="auto"/>
              <w:bottom w:val="single" w:sz="4" w:space="0" w:color="auto"/>
            </w:tcBorders>
            <w:noWrap/>
            <w:vAlign w:val="center"/>
          </w:tcPr>
          <w:p w:rsidR="00790FB0" w:rsidRDefault="002D6A9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20</w:t>
            </w: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管理  制度</w:t>
            </w:r>
            <w:r>
              <w:rPr>
                <w:rFonts w:ascii="仿宋_GB2312" w:eastAsia="仿宋_GB2312" w:hAnsi="宋体" w:cs="宋体" w:hint="eastAsia"/>
                <w:kern w:val="0"/>
                <w:sz w:val="20"/>
                <w:szCs w:val="20"/>
              </w:rPr>
              <w:br/>
              <w:t>健全性</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①已制定资产管理制度，1分；</w:t>
            </w:r>
            <w:r>
              <w:rPr>
                <w:rFonts w:ascii="仿宋_GB2312" w:eastAsia="仿宋_GB2312" w:hAnsi="宋体" w:cs="宋体" w:hint="eastAsia"/>
                <w:kern w:val="0"/>
                <w:sz w:val="20"/>
                <w:szCs w:val="20"/>
              </w:rPr>
              <w:br/>
              <w:t xml:space="preserve">②相关资产管理制度得到有效执行，1分。                                           </w:t>
            </w:r>
          </w:p>
        </w:tc>
        <w:tc>
          <w:tcPr>
            <w:tcW w:w="3472"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2</w:t>
            </w:r>
          </w:p>
        </w:tc>
      </w:tr>
      <w:tr w:rsidR="00790FB0">
        <w:trPr>
          <w:trHeight w:val="3603"/>
          <w:jc w:val="center"/>
        </w:trPr>
        <w:tc>
          <w:tcPr>
            <w:tcW w:w="411" w:type="dxa"/>
            <w:vMerge/>
            <w:tcBorders>
              <w:top w:val="nil"/>
            </w:tcBorders>
            <w:noWrap/>
            <w:vAlign w:val="center"/>
          </w:tcPr>
          <w:p w:rsidR="00790FB0" w:rsidRDefault="00790FB0">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right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567" w:type="dxa"/>
            <w:vMerge/>
            <w:tcBorders>
              <w:top w:val="single" w:sz="4" w:space="0" w:color="auto"/>
              <w:left w:val="single" w:sz="4" w:space="0" w:color="auto"/>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资产  管理</w:t>
            </w:r>
            <w:r>
              <w:rPr>
                <w:rFonts w:ascii="仿宋_GB2312" w:eastAsia="仿宋_GB2312" w:hAnsi="宋体" w:cs="宋体" w:hint="eastAsia"/>
                <w:kern w:val="0"/>
                <w:sz w:val="20"/>
                <w:szCs w:val="20"/>
              </w:rPr>
              <w:br/>
              <w:t>安全性</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16</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①资产保存完整；②资产配置合理；③资产处置规范； </w:t>
            </w:r>
            <w:r>
              <w:rPr>
                <w:rFonts w:ascii="仿宋_GB2312" w:eastAsia="仿宋_GB2312" w:hAnsi="宋体" w:cs="宋体" w:hint="eastAsia"/>
                <w:kern w:val="0"/>
                <w:sz w:val="20"/>
                <w:szCs w:val="20"/>
              </w:rPr>
              <w:br/>
              <w:t>④资产账务管理合规，帐实帐卡、账账、账表（决算报表等）相符；⑤资产有偿使用及处置收入及时足额上缴；</w:t>
            </w:r>
            <w:r>
              <w:rPr>
                <w:rFonts w:ascii="仿宋_GB2312" w:eastAsia="仿宋_GB2312" w:hAnsi="仿宋" w:cs="仿宋" w:hint="eastAsia"/>
                <w:kern w:val="0"/>
                <w:sz w:val="20"/>
                <w:szCs w:val="20"/>
              </w:rPr>
              <w:t>⑥清查盘点：每年至少清查盘点一次；⑦产权明晰，权证齐全</w:t>
            </w:r>
            <w:r>
              <w:rPr>
                <w:rFonts w:ascii="仿宋_GB2312" w:eastAsia="仿宋_GB2312" w:hAnsi="宋体" w:cs="宋体" w:hint="eastAsia"/>
                <w:kern w:val="0"/>
                <w:sz w:val="20"/>
                <w:szCs w:val="20"/>
              </w:rPr>
              <w:t>；⑧按标准购置固定资产。</w:t>
            </w:r>
            <w:r>
              <w:rPr>
                <w:rFonts w:ascii="仿宋_GB2312" w:eastAsia="仿宋_GB2312" w:hAnsi="宋体" w:cs="宋体" w:hint="eastAsia"/>
                <w:kern w:val="0"/>
                <w:sz w:val="20"/>
                <w:szCs w:val="20"/>
              </w:rPr>
              <w:br/>
              <w:t>以上情况每出现一例不符合要求的扣2分；⑨未按时报送2018年行政事业单位资产报表的，每延迟一天，扣1分，扣完为止。</w:t>
            </w:r>
          </w:p>
        </w:tc>
        <w:tc>
          <w:tcPr>
            <w:tcW w:w="3472"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部门（单位）的资产是否保存完整，使用合规、配置合理、处置规范、收入及时足额上缴，用以反映和考核部门（单位）资产安全运行情况。</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14</w:t>
            </w:r>
          </w:p>
        </w:tc>
      </w:tr>
      <w:tr w:rsidR="00790FB0">
        <w:trPr>
          <w:trHeight w:val="738"/>
          <w:jc w:val="center"/>
        </w:trPr>
        <w:tc>
          <w:tcPr>
            <w:tcW w:w="411" w:type="dxa"/>
            <w:vMerge/>
            <w:tcBorders>
              <w:top w:val="nil"/>
            </w:tcBorders>
            <w:noWrap/>
            <w:vAlign w:val="center"/>
          </w:tcPr>
          <w:p w:rsidR="00790FB0" w:rsidRDefault="00790FB0">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right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567" w:type="dxa"/>
            <w:vMerge/>
            <w:tcBorders>
              <w:top w:val="single" w:sz="4" w:space="0" w:color="auto"/>
              <w:left w:val="single" w:sz="4" w:space="0" w:color="auto"/>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固定  资产</w:t>
            </w:r>
            <w:r>
              <w:rPr>
                <w:rFonts w:ascii="仿宋_GB2312" w:eastAsia="仿宋_GB2312" w:hAnsi="宋体" w:cs="宋体" w:hint="eastAsia"/>
                <w:kern w:val="0"/>
                <w:sz w:val="20"/>
                <w:szCs w:val="20"/>
              </w:rPr>
              <w:br/>
              <w:t>利用率</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固定资产利用率,100%,2分,每低于一个百分点扣0.2分，扣完为止。</w:t>
            </w:r>
          </w:p>
        </w:tc>
        <w:tc>
          <w:tcPr>
            <w:tcW w:w="3472"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固定资产利用率=（实际在用固定资产总额/所有固定资产总额）×100%</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2</w:t>
            </w:r>
          </w:p>
        </w:tc>
      </w:tr>
      <w:tr w:rsidR="00790FB0">
        <w:trPr>
          <w:trHeight w:val="1785"/>
          <w:jc w:val="center"/>
        </w:trPr>
        <w:tc>
          <w:tcPr>
            <w:tcW w:w="411" w:type="dxa"/>
            <w:vMerge/>
            <w:tcBorders>
              <w:top w:val="nil"/>
            </w:tcBorders>
            <w:noWrap/>
            <w:vAlign w:val="center"/>
          </w:tcPr>
          <w:p w:rsidR="00790FB0" w:rsidRDefault="00790FB0">
            <w:pPr>
              <w:widowControl/>
              <w:jc w:val="center"/>
              <w:rPr>
                <w:rFonts w:ascii="仿宋_GB2312" w:eastAsia="仿宋_GB2312" w:hAnsi="宋体" w:cs="宋体"/>
                <w:kern w:val="0"/>
                <w:sz w:val="20"/>
                <w:szCs w:val="20"/>
              </w:rPr>
            </w:pPr>
          </w:p>
        </w:tc>
        <w:tc>
          <w:tcPr>
            <w:tcW w:w="429" w:type="dxa"/>
            <w:vMerge w:val="restart"/>
            <w:tcBorders>
              <w:right w:val="single" w:sz="4" w:space="0" w:color="auto"/>
            </w:tcBorders>
            <w:noWrap/>
            <w:vAlign w:val="center"/>
          </w:tcPr>
          <w:p w:rsidR="00790FB0" w:rsidRDefault="002D6A96">
            <w:pPr>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绩效管理</w:t>
            </w:r>
          </w:p>
        </w:tc>
        <w:tc>
          <w:tcPr>
            <w:tcW w:w="567" w:type="dxa"/>
            <w:vMerge w:val="restart"/>
            <w:tcBorders>
              <w:top w:val="single" w:sz="4" w:space="0" w:color="auto"/>
              <w:left w:val="single" w:sz="4" w:space="0" w:color="auto"/>
            </w:tcBorders>
            <w:noWrap/>
            <w:vAlign w:val="center"/>
          </w:tcPr>
          <w:p w:rsidR="00790FB0" w:rsidRDefault="002D6A9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17</w:t>
            </w: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目标 管理</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8</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noWrap/>
            <w:vAlign w:val="center"/>
          </w:tcPr>
          <w:p w:rsidR="00790FB0" w:rsidRDefault="00790FB0">
            <w:pPr>
              <w:widowControl/>
              <w:jc w:val="left"/>
              <w:rPr>
                <w:rFonts w:ascii="仿宋_GB2312" w:eastAsia="仿宋_GB2312" w:hAnsi="宋体" w:cs="宋体"/>
                <w:kern w:val="0"/>
                <w:sz w:val="20"/>
                <w:szCs w:val="20"/>
              </w:rPr>
            </w:pP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7</w:t>
            </w:r>
          </w:p>
        </w:tc>
      </w:tr>
      <w:tr w:rsidR="00790FB0">
        <w:trPr>
          <w:trHeight w:val="1786"/>
          <w:jc w:val="center"/>
        </w:trPr>
        <w:tc>
          <w:tcPr>
            <w:tcW w:w="411" w:type="dxa"/>
            <w:vMerge/>
            <w:tcBorders>
              <w:top w:val="nil"/>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noWrap/>
            <w:vAlign w:val="center"/>
          </w:tcPr>
          <w:p w:rsidR="00790FB0" w:rsidRDefault="00790FB0">
            <w:pPr>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绩效 评价</w:t>
            </w:r>
          </w:p>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管理</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7</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 w:eastAsia="仿宋" w:hAnsi="仿宋" w:cs="宋体" w:hint="eastAsia"/>
                <w:kern w:val="0"/>
                <w:sz w:val="20"/>
                <w:szCs w:val="20"/>
              </w:rPr>
              <w:t>①</w:t>
            </w:r>
            <w:r>
              <w:rPr>
                <w:rFonts w:ascii="仿宋_GB2312" w:eastAsia="仿宋_GB2312" w:hAnsi="宋体" w:cs="宋体" w:hint="eastAsia"/>
                <w:kern w:val="0"/>
                <w:sz w:val="20"/>
                <w:szCs w:val="20"/>
              </w:rPr>
              <w:t>开展2019年度专项资金绩效自评的，2分，每少一个专项资金的自评扣1分，扣完为止；</w:t>
            </w:r>
            <w:r>
              <w:rPr>
                <w:rFonts w:ascii="仿宋" w:eastAsia="仿宋" w:hAnsi="仿宋" w:cs="宋体" w:hint="eastAsia"/>
                <w:kern w:val="0"/>
                <w:sz w:val="20"/>
                <w:szCs w:val="20"/>
              </w:rPr>
              <w:t>②</w:t>
            </w:r>
            <w:r>
              <w:rPr>
                <w:rFonts w:ascii="仿宋_GB2312" w:eastAsia="仿宋_GB2312" w:hAnsi="宋体" w:cs="宋体" w:hint="eastAsia"/>
                <w:kern w:val="0"/>
                <w:sz w:val="20"/>
                <w:szCs w:val="20"/>
              </w:rPr>
              <w:t>开展2019年度已完工项目绩效自评的，2分，每少一个项目扣1分，扣完为止；</w:t>
            </w:r>
            <w:r>
              <w:rPr>
                <w:rFonts w:ascii="仿宋" w:eastAsia="仿宋" w:hAnsi="仿宋" w:cs="宋体" w:hint="eastAsia"/>
                <w:kern w:val="0"/>
                <w:sz w:val="20"/>
                <w:szCs w:val="20"/>
              </w:rPr>
              <w:t>③</w:t>
            </w:r>
            <w:r>
              <w:rPr>
                <w:rFonts w:ascii="仿宋_GB2312" w:eastAsia="仿宋_GB2312" w:hAnsi="宋体" w:cs="宋体" w:hint="eastAsia"/>
                <w:kern w:val="0"/>
                <w:sz w:val="20"/>
                <w:szCs w:val="20"/>
              </w:rPr>
              <w:t>开展2019年度部门</w:t>
            </w:r>
            <w:r>
              <w:rPr>
                <w:rFonts w:ascii="仿宋_GB2312" w:eastAsia="仿宋_GB2312" w:hAnsi="宋体" w:cs="宋体" w:hint="eastAsia"/>
                <w:kern w:val="0"/>
                <w:sz w:val="20"/>
                <w:szCs w:val="20"/>
              </w:rPr>
              <w:lastRenderedPageBreak/>
              <w:t>整体支出绩效自评的，1分；</w:t>
            </w:r>
            <w:r>
              <w:rPr>
                <w:rFonts w:ascii="仿宋" w:eastAsia="仿宋" w:hAnsi="仿宋" w:cs="宋体" w:hint="eastAsia"/>
                <w:kern w:val="0"/>
                <w:sz w:val="20"/>
                <w:szCs w:val="20"/>
              </w:rPr>
              <w:t>④</w:t>
            </w:r>
            <w:r>
              <w:rPr>
                <w:rFonts w:ascii="仿宋_GB2312" w:eastAsia="仿宋_GB2312" w:hAnsi="宋体" w:cs="宋体" w:hint="eastAsia"/>
                <w:kern w:val="0"/>
                <w:sz w:val="20"/>
                <w:szCs w:val="20"/>
              </w:rPr>
              <w:t>在规定时间内报送、公开以上自评报告材料的，2分。</w:t>
            </w:r>
          </w:p>
        </w:tc>
        <w:tc>
          <w:tcPr>
            <w:tcW w:w="3472" w:type="dxa"/>
            <w:noWrap/>
            <w:vAlign w:val="center"/>
          </w:tcPr>
          <w:p w:rsidR="00790FB0" w:rsidRDefault="00790FB0">
            <w:pPr>
              <w:widowControl/>
              <w:jc w:val="left"/>
              <w:rPr>
                <w:rFonts w:ascii="仿宋_GB2312" w:eastAsia="仿宋_GB2312" w:hAnsi="宋体" w:cs="宋体"/>
                <w:kern w:val="0"/>
                <w:sz w:val="20"/>
                <w:szCs w:val="20"/>
              </w:rPr>
            </w:pP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7</w:t>
            </w:r>
          </w:p>
        </w:tc>
      </w:tr>
      <w:tr w:rsidR="00790FB0">
        <w:trPr>
          <w:trHeight w:val="1375"/>
          <w:jc w:val="center"/>
        </w:trPr>
        <w:tc>
          <w:tcPr>
            <w:tcW w:w="411" w:type="dxa"/>
            <w:tcBorders>
              <w:top w:val="nil"/>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429" w:type="dxa"/>
            <w:tcBorders>
              <w:top w:val="nil"/>
              <w:bottom w:val="single" w:sz="4" w:space="0" w:color="auto"/>
              <w:right w:val="single" w:sz="4" w:space="0" w:color="auto"/>
            </w:tcBorders>
            <w:noWrap/>
            <w:vAlign w:val="center"/>
          </w:tcPr>
          <w:p w:rsidR="00790FB0" w:rsidRDefault="00790FB0">
            <w:pPr>
              <w:jc w:val="center"/>
              <w:rPr>
                <w:rFonts w:ascii="仿宋_GB2312" w:eastAsia="仿宋_GB2312" w:hAnsi="宋体" w:cs="宋体"/>
                <w:kern w:val="0"/>
                <w:sz w:val="20"/>
                <w:szCs w:val="20"/>
              </w:rPr>
            </w:pPr>
          </w:p>
        </w:tc>
        <w:tc>
          <w:tcPr>
            <w:tcW w:w="567" w:type="dxa"/>
            <w:tcBorders>
              <w:top w:val="nil"/>
              <w:left w:val="single" w:sz="4" w:space="0" w:color="auto"/>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评价 结果 运用</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790FB0" w:rsidRDefault="002D6A96">
            <w:pPr>
              <w:widowControl/>
              <w:jc w:val="left"/>
              <w:rPr>
                <w:rFonts w:ascii="仿宋" w:eastAsia="仿宋" w:hAnsi="仿宋" w:cs="宋体"/>
                <w:sz w:val="20"/>
                <w:szCs w:val="20"/>
              </w:rPr>
            </w:pPr>
            <w:r>
              <w:rPr>
                <w:rFonts w:ascii="仿宋_GB2312" w:eastAsia="仿宋_GB2312" w:hAnsi="宋体" w:cs="宋体" w:hint="eastAsia"/>
                <w:kern w:val="0"/>
                <w:sz w:val="20"/>
                <w:szCs w:val="20"/>
              </w:rPr>
              <w:t>根据2019年度财政重点绩效评价和单位自评情况，向财政报送整改结果并整改到位的，2分，否则不得分。</w:t>
            </w:r>
          </w:p>
        </w:tc>
        <w:tc>
          <w:tcPr>
            <w:tcW w:w="3472" w:type="dxa"/>
            <w:noWrap/>
            <w:vAlign w:val="center"/>
          </w:tcPr>
          <w:p w:rsidR="00790FB0" w:rsidRDefault="00790FB0">
            <w:pPr>
              <w:jc w:val="left"/>
              <w:rPr>
                <w:rFonts w:ascii="仿宋_GB2312" w:eastAsia="仿宋_GB2312" w:hAnsi="宋体" w:cs="宋体"/>
                <w:kern w:val="0"/>
                <w:sz w:val="20"/>
                <w:szCs w:val="20"/>
              </w:rPr>
            </w:pP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1</w:t>
            </w:r>
          </w:p>
        </w:tc>
      </w:tr>
      <w:tr w:rsidR="00790FB0">
        <w:trPr>
          <w:trHeight w:val="1615"/>
          <w:jc w:val="center"/>
        </w:trPr>
        <w:tc>
          <w:tcPr>
            <w:tcW w:w="411" w:type="dxa"/>
            <w:vMerge w:val="restart"/>
            <w:tcBorders>
              <w:top w:val="single" w:sz="4" w:space="0" w:color="auto"/>
            </w:tcBorders>
            <w:noWrap/>
            <w:textDirection w:val="tbRlV"/>
            <w:vAlign w:val="center"/>
          </w:tcPr>
          <w:p w:rsidR="00790FB0" w:rsidRDefault="002D6A9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产   出</w:t>
            </w:r>
          </w:p>
        </w:tc>
        <w:tc>
          <w:tcPr>
            <w:tcW w:w="429" w:type="dxa"/>
            <w:vMerge w:val="restart"/>
            <w:tcBorders>
              <w:top w:val="single" w:sz="4" w:space="0" w:color="auto"/>
              <w:right w:val="single" w:sz="4" w:space="0" w:color="auto"/>
            </w:tcBorders>
            <w:noWrap/>
            <w:vAlign w:val="center"/>
          </w:tcPr>
          <w:p w:rsidR="00790FB0" w:rsidRDefault="002D6A9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职责履行</w:t>
            </w:r>
          </w:p>
        </w:tc>
        <w:tc>
          <w:tcPr>
            <w:tcW w:w="567" w:type="dxa"/>
            <w:vMerge w:val="restart"/>
            <w:tcBorders>
              <w:top w:val="single" w:sz="4" w:space="0" w:color="auto"/>
              <w:left w:val="single" w:sz="4" w:space="0" w:color="auto"/>
            </w:tcBorders>
            <w:noWrap/>
            <w:vAlign w:val="center"/>
          </w:tcPr>
          <w:p w:rsidR="00790FB0" w:rsidRDefault="002D6A9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5</w:t>
            </w: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重点　工作　完成率</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该项得分=重点工作完成率×2</w:t>
            </w:r>
          </w:p>
        </w:tc>
        <w:tc>
          <w:tcPr>
            <w:tcW w:w="3472" w:type="dxa"/>
            <w:noWrap/>
            <w:vAlign w:val="center"/>
          </w:tcPr>
          <w:p w:rsidR="00790FB0" w:rsidRDefault="002D6A96">
            <w:pPr>
              <w:autoSpaceDN w:val="0"/>
              <w:jc w:val="left"/>
              <w:textAlignment w:val="center"/>
              <w:rPr>
                <w:rFonts w:ascii="仿宋_GB2312" w:eastAsia="仿宋_GB2312" w:hAnsi="宋体" w:cs="宋体"/>
                <w:kern w:val="0"/>
                <w:sz w:val="20"/>
                <w:szCs w:val="20"/>
              </w:rPr>
            </w:pPr>
            <w:r>
              <w:rPr>
                <w:rFonts w:ascii="仿宋_GB2312" w:eastAsia="仿宋_GB2312" w:hAnsi="宋体" w:cs="宋体" w:hint="eastAsia"/>
                <w:kern w:val="0"/>
                <w:sz w:val="20"/>
                <w:szCs w:val="20"/>
              </w:rPr>
              <w:t>重点工作为市政府确定的为民办实事和部门重点工程与重点工作。</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1</w:t>
            </w:r>
          </w:p>
        </w:tc>
      </w:tr>
      <w:tr w:rsidR="00790FB0">
        <w:trPr>
          <w:trHeight w:val="978"/>
          <w:jc w:val="center"/>
        </w:trPr>
        <w:tc>
          <w:tcPr>
            <w:tcW w:w="411" w:type="dxa"/>
            <w:vMerge/>
            <w:tcBorders>
              <w:bottom w:val="single" w:sz="4" w:space="0" w:color="auto"/>
            </w:tcBorders>
            <w:noWrap/>
            <w:textDirection w:val="tbRlV"/>
            <w:vAlign w:val="center"/>
          </w:tcPr>
          <w:p w:rsidR="00790FB0" w:rsidRDefault="00790FB0">
            <w:pPr>
              <w:widowControl/>
              <w:jc w:val="center"/>
              <w:rPr>
                <w:rFonts w:ascii="仿宋_GB2312" w:eastAsia="仿宋_GB2312" w:hAnsi="宋体" w:cs="宋体"/>
                <w:kern w:val="0"/>
                <w:sz w:val="20"/>
                <w:szCs w:val="20"/>
              </w:rPr>
            </w:pPr>
          </w:p>
        </w:tc>
        <w:tc>
          <w:tcPr>
            <w:tcW w:w="429" w:type="dxa"/>
            <w:vMerge/>
            <w:tcBorders>
              <w:bottom w:val="single" w:sz="4" w:space="0" w:color="auto"/>
              <w:right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567" w:type="dxa"/>
            <w:vMerge/>
            <w:tcBorders>
              <w:left w:val="single" w:sz="4" w:space="0" w:color="auto"/>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rPr>
                <w:rFonts w:ascii="仿宋_GB2312" w:eastAsia="仿宋_GB2312" w:hAnsi="宋体" w:cs="宋体"/>
                <w:kern w:val="0"/>
                <w:sz w:val="20"/>
                <w:szCs w:val="20"/>
              </w:rPr>
            </w:pPr>
            <w:r>
              <w:rPr>
                <w:rFonts w:ascii="仿宋_GB2312" w:eastAsia="仿宋_GB2312" w:hAnsi="宋体" w:cs="宋体" w:hint="eastAsia"/>
                <w:kern w:val="0"/>
                <w:sz w:val="20"/>
                <w:szCs w:val="20"/>
              </w:rPr>
              <w:t>工作</w:t>
            </w:r>
          </w:p>
          <w:p w:rsidR="00790FB0" w:rsidRDefault="002D6A96">
            <w:pPr>
              <w:rPr>
                <w:rFonts w:ascii="仿宋_GB2312" w:eastAsia="仿宋_GB2312" w:hAnsi="宋体" w:cs="宋体"/>
                <w:kern w:val="0"/>
                <w:sz w:val="20"/>
                <w:szCs w:val="20"/>
              </w:rPr>
            </w:pPr>
            <w:r>
              <w:rPr>
                <w:rFonts w:ascii="仿宋_GB2312" w:eastAsia="仿宋_GB2312" w:hAnsi="宋体" w:cs="宋体" w:hint="eastAsia"/>
                <w:kern w:val="0"/>
                <w:sz w:val="20"/>
                <w:szCs w:val="20"/>
              </w:rPr>
              <w:t>质量</w:t>
            </w:r>
          </w:p>
        </w:tc>
        <w:tc>
          <w:tcPr>
            <w:tcW w:w="567" w:type="dxa"/>
            <w:noWrap/>
            <w:vAlign w:val="center"/>
          </w:tcPr>
          <w:p w:rsidR="00790FB0" w:rsidRDefault="002D6A96">
            <w:pPr>
              <w:rPr>
                <w:rFonts w:ascii="仿宋_GB2312" w:eastAsia="仿宋_GB2312" w:hAnsi="宋体" w:cs="宋体"/>
                <w:kern w:val="0"/>
                <w:sz w:val="20"/>
                <w:szCs w:val="20"/>
              </w:rPr>
            </w:pPr>
            <w:r>
              <w:rPr>
                <w:rFonts w:ascii="仿宋_GB2312" w:eastAsia="仿宋_GB2312" w:hAnsi="宋体" w:cs="宋体" w:hint="eastAsia"/>
                <w:kern w:val="0"/>
                <w:sz w:val="20"/>
                <w:szCs w:val="20"/>
              </w:rPr>
              <w:t>3</w:t>
            </w:r>
          </w:p>
        </w:tc>
        <w:tc>
          <w:tcPr>
            <w:tcW w:w="3118" w:type="dxa"/>
            <w:noWrap/>
            <w:vAlign w:val="center"/>
          </w:tcPr>
          <w:p w:rsidR="00790FB0" w:rsidRDefault="002D6A96">
            <w:pPr>
              <w:jc w:val="left"/>
              <w:rPr>
                <w:rFonts w:ascii="仿宋_GB2312" w:eastAsia="仿宋_GB2312" w:hAnsi="宋体" w:cs="宋体"/>
                <w:kern w:val="0"/>
                <w:sz w:val="20"/>
                <w:szCs w:val="20"/>
              </w:rPr>
            </w:pPr>
            <w:r>
              <w:rPr>
                <w:rFonts w:ascii="仿宋_GB2312" w:eastAsia="仿宋_GB2312" w:hAnsi="宋体" w:cs="宋体" w:hint="eastAsia"/>
                <w:kern w:val="0"/>
                <w:sz w:val="20"/>
                <w:szCs w:val="20"/>
              </w:rPr>
              <w:t>以绩效考核评估结果为标准，优秀，计3分；良好，2分；合格，1分；不合格，0分。</w:t>
            </w:r>
          </w:p>
        </w:tc>
        <w:tc>
          <w:tcPr>
            <w:tcW w:w="3472" w:type="dxa"/>
            <w:noWrap/>
            <w:vAlign w:val="center"/>
          </w:tcPr>
          <w:p w:rsidR="00790FB0" w:rsidRDefault="00790FB0">
            <w:pPr>
              <w:autoSpaceDN w:val="0"/>
              <w:jc w:val="left"/>
              <w:textAlignment w:val="center"/>
              <w:rPr>
                <w:rFonts w:ascii="仿宋_GB2312" w:eastAsia="仿宋_GB2312" w:hAnsi="宋体" w:cs="宋体"/>
                <w:kern w:val="0"/>
                <w:sz w:val="20"/>
                <w:szCs w:val="20"/>
              </w:rPr>
            </w:pPr>
          </w:p>
        </w:tc>
        <w:tc>
          <w:tcPr>
            <w:tcW w:w="617" w:type="dxa"/>
            <w:noWrap/>
            <w:vAlign w:val="center"/>
          </w:tcPr>
          <w:p w:rsidR="00790FB0" w:rsidRDefault="00101252">
            <w:pPr>
              <w:jc w:val="center"/>
              <w:rPr>
                <w:rFonts w:ascii="宋体" w:eastAsia="宋体" w:hAnsi="宋体" w:cs="宋体"/>
                <w:kern w:val="0"/>
                <w:sz w:val="24"/>
              </w:rPr>
            </w:pPr>
            <w:r>
              <w:rPr>
                <w:rFonts w:ascii="宋体" w:eastAsia="宋体" w:hAnsi="宋体" w:cs="宋体" w:hint="eastAsia"/>
                <w:kern w:val="0"/>
                <w:sz w:val="24"/>
              </w:rPr>
              <w:t>2</w:t>
            </w:r>
          </w:p>
        </w:tc>
      </w:tr>
      <w:tr w:rsidR="00790FB0">
        <w:trPr>
          <w:trHeight w:val="667"/>
          <w:jc w:val="center"/>
        </w:trPr>
        <w:tc>
          <w:tcPr>
            <w:tcW w:w="411" w:type="dxa"/>
            <w:vMerge w:val="restart"/>
            <w:tcBorders>
              <w:top w:val="single" w:sz="4" w:space="0" w:color="auto"/>
              <w:bottom w:val="single" w:sz="4" w:space="0" w:color="auto"/>
            </w:tcBorders>
            <w:noWrap/>
            <w:textDirection w:val="tbRlV"/>
            <w:vAlign w:val="center"/>
          </w:tcPr>
          <w:p w:rsidR="00790FB0" w:rsidRDefault="002D6A9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效  果</w:t>
            </w:r>
          </w:p>
        </w:tc>
        <w:tc>
          <w:tcPr>
            <w:tcW w:w="429" w:type="dxa"/>
            <w:vMerge w:val="restart"/>
            <w:tcBorders>
              <w:top w:val="single" w:sz="4" w:space="0" w:color="auto"/>
              <w:bottom w:val="single" w:sz="4" w:space="0" w:color="auto"/>
            </w:tcBorders>
            <w:noWrap/>
            <w:vAlign w:val="center"/>
          </w:tcPr>
          <w:p w:rsidR="00790FB0" w:rsidRDefault="002D6A9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履职效益</w:t>
            </w:r>
          </w:p>
        </w:tc>
        <w:tc>
          <w:tcPr>
            <w:tcW w:w="567" w:type="dxa"/>
            <w:vMerge w:val="restart"/>
            <w:tcBorders>
              <w:top w:val="single" w:sz="4" w:space="0" w:color="auto"/>
              <w:bottom w:val="single" w:sz="4" w:space="0" w:color="auto"/>
            </w:tcBorders>
            <w:noWrap/>
            <w:vAlign w:val="center"/>
          </w:tcPr>
          <w:p w:rsidR="00790FB0" w:rsidRDefault="002D6A96">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4</w:t>
            </w: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经济  效益</w:t>
            </w:r>
          </w:p>
        </w:tc>
        <w:tc>
          <w:tcPr>
            <w:tcW w:w="567" w:type="dxa"/>
            <w:vMerge w:val="restart"/>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6590" w:type="dxa"/>
            <w:gridSpan w:val="2"/>
            <w:vMerge w:val="restart"/>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此三项指标可根据部门实际并结合2021年度部门整体支出绩效目标设立情况有选择的进行评价。</w:t>
            </w:r>
          </w:p>
        </w:tc>
        <w:tc>
          <w:tcPr>
            <w:tcW w:w="617" w:type="dxa"/>
            <w:vMerge w:val="restart"/>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2</w:t>
            </w:r>
          </w:p>
        </w:tc>
      </w:tr>
      <w:tr w:rsidR="00790FB0">
        <w:trPr>
          <w:trHeight w:val="702"/>
          <w:jc w:val="center"/>
        </w:trPr>
        <w:tc>
          <w:tcPr>
            <w:tcW w:w="411" w:type="dxa"/>
            <w:vMerge/>
            <w:tcBorders>
              <w:top w:val="single" w:sz="4" w:space="0" w:color="auto"/>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567" w:type="dxa"/>
            <w:vMerge/>
            <w:tcBorders>
              <w:top w:val="single" w:sz="4" w:space="0" w:color="auto"/>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社会  效益</w:t>
            </w:r>
          </w:p>
        </w:tc>
        <w:tc>
          <w:tcPr>
            <w:tcW w:w="567" w:type="dxa"/>
            <w:vMerge/>
            <w:noWrap/>
            <w:vAlign w:val="center"/>
          </w:tcPr>
          <w:p w:rsidR="00790FB0" w:rsidRDefault="00790FB0">
            <w:pPr>
              <w:widowControl/>
              <w:rPr>
                <w:rFonts w:ascii="仿宋_GB2312" w:eastAsia="仿宋_GB2312" w:hAnsi="宋体" w:cs="宋体"/>
                <w:kern w:val="0"/>
                <w:sz w:val="20"/>
                <w:szCs w:val="20"/>
              </w:rPr>
            </w:pPr>
          </w:p>
        </w:tc>
        <w:tc>
          <w:tcPr>
            <w:tcW w:w="6590" w:type="dxa"/>
            <w:gridSpan w:val="2"/>
            <w:vMerge/>
            <w:noWrap/>
            <w:vAlign w:val="center"/>
          </w:tcPr>
          <w:p w:rsidR="00790FB0" w:rsidRDefault="00790FB0">
            <w:pPr>
              <w:widowControl/>
              <w:jc w:val="left"/>
              <w:rPr>
                <w:rFonts w:ascii="仿宋_GB2312" w:eastAsia="仿宋_GB2312" w:hAnsi="宋体" w:cs="宋体"/>
                <w:kern w:val="0"/>
                <w:sz w:val="20"/>
                <w:szCs w:val="20"/>
              </w:rPr>
            </w:pPr>
          </w:p>
        </w:tc>
        <w:tc>
          <w:tcPr>
            <w:tcW w:w="617" w:type="dxa"/>
            <w:vMerge/>
            <w:noWrap/>
            <w:vAlign w:val="center"/>
          </w:tcPr>
          <w:p w:rsidR="00790FB0" w:rsidRDefault="00790FB0">
            <w:pPr>
              <w:widowControl/>
              <w:jc w:val="center"/>
              <w:rPr>
                <w:rFonts w:ascii="宋体" w:eastAsia="宋体" w:hAnsi="宋体" w:cs="宋体"/>
                <w:kern w:val="0"/>
                <w:sz w:val="24"/>
              </w:rPr>
            </w:pPr>
          </w:p>
        </w:tc>
      </w:tr>
      <w:tr w:rsidR="00790FB0">
        <w:trPr>
          <w:trHeight w:val="738"/>
          <w:jc w:val="center"/>
        </w:trPr>
        <w:tc>
          <w:tcPr>
            <w:tcW w:w="411" w:type="dxa"/>
            <w:vMerge/>
            <w:tcBorders>
              <w:top w:val="single" w:sz="4" w:space="0" w:color="auto"/>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567" w:type="dxa"/>
            <w:vMerge/>
            <w:tcBorders>
              <w:top w:val="single" w:sz="4" w:space="0" w:color="auto"/>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生态  效益</w:t>
            </w:r>
          </w:p>
        </w:tc>
        <w:tc>
          <w:tcPr>
            <w:tcW w:w="567" w:type="dxa"/>
            <w:vMerge/>
            <w:noWrap/>
            <w:vAlign w:val="center"/>
          </w:tcPr>
          <w:p w:rsidR="00790FB0" w:rsidRDefault="00790FB0">
            <w:pPr>
              <w:widowControl/>
              <w:rPr>
                <w:rFonts w:ascii="仿宋_GB2312" w:eastAsia="仿宋_GB2312" w:hAnsi="宋体" w:cs="宋体"/>
                <w:kern w:val="0"/>
                <w:sz w:val="20"/>
                <w:szCs w:val="20"/>
              </w:rPr>
            </w:pPr>
          </w:p>
        </w:tc>
        <w:tc>
          <w:tcPr>
            <w:tcW w:w="6590" w:type="dxa"/>
            <w:gridSpan w:val="2"/>
            <w:vMerge/>
            <w:noWrap/>
            <w:vAlign w:val="center"/>
          </w:tcPr>
          <w:p w:rsidR="00790FB0" w:rsidRDefault="00790FB0">
            <w:pPr>
              <w:widowControl/>
              <w:jc w:val="left"/>
              <w:rPr>
                <w:rFonts w:ascii="仿宋_GB2312" w:eastAsia="仿宋_GB2312" w:hAnsi="宋体" w:cs="宋体"/>
                <w:kern w:val="0"/>
                <w:sz w:val="20"/>
                <w:szCs w:val="20"/>
              </w:rPr>
            </w:pPr>
          </w:p>
        </w:tc>
        <w:tc>
          <w:tcPr>
            <w:tcW w:w="617" w:type="dxa"/>
            <w:vMerge/>
            <w:noWrap/>
            <w:vAlign w:val="center"/>
          </w:tcPr>
          <w:p w:rsidR="00790FB0" w:rsidRDefault="00790FB0">
            <w:pPr>
              <w:widowControl/>
              <w:jc w:val="center"/>
              <w:rPr>
                <w:rFonts w:ascii="宋体" w:eastAsia="宋体" w:hAnsi="宋体" w:cs="宋体"/>
                <w:kern w:val="0"/>
                <w:sz w:val="24"/>
              </w:rPr>
            </w:pPr>
          </w:p>
        </w:tc>
      </w:tr>
      <w:tr w:rsidR="00790FB0">
        <w:trPr>
          <w:trHeight w:val="1720"/>
          <w:jc w:val="center"/>
        </w:trPr>
        <w:tc>
          <w:tcPr>
            <w:tcW w:w="411" w:type="dxa"/>
            <w:vMerge/>
            <w:tcBorders>
              <w:top w:val="single" w:sz="4" w:space="0" w:color="auto"/>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429" w:type="dxa"/>
            <w:vMerge/>
            <w:tcBorders>
              <w:top w:val="single" w:sz="4" w:space="0" w:color="auto"/>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567" w:type="dxa"/>
            <w:vMerge/>
            <w:tcBorders>
              <w:top w:val="single" w:sz="4" w:space="0" w:color="auto"/>
              <w:bottom w:val="single" w:sz="4" w:space="0" w:color="auto"/>
            </w:tcBorders>
            <w:noWrap/>
            <w:vAlign w:val="center"/>
          </w:tcPr>
          <w:p w:rsidR="00790FB0" w:rsidRDefault="00790FB0">
            <w:pPr>
              <w:widowControl/>
              <w:jc w:val="center"/>
              <w:rPr>
                <w:rFonts w:ascii="仿宋_GB2312" w:eastAsia="仿宋_GB2312" w:hAnsi="宋体" w:cs="宋体"/>
                <w:kern w:val="0"/>
                <w:sz w:val="20"/>
                <w:szCs w:val="20"/>
              </w:rPr>
            </w:pPr>
          </w:p>
        </w:tc>
        <w:tc>
          <w:tcPr>
            <w:tcW w:w="851"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社会公众或服务对象满意度</w:t>
            </w:r>
          </w:p>
        </w:tc>
        <w:tc>
          <w:tcPr>
            <w:tcW w:w="567" w:type="dxa"/>
            <w:noWrap/>
            <w:vAlign w:val="center"/>
          </w:tcPr>
          <w:p w:rsidR="00790FB0" w:rsidRDefault="002D6A96">
            <w:pPr>
              <w:widowControl/>
              <w:rPr>
                <w:rFonts w:ascii="仿宋_GB2312" w:eastAsia="仿宋_GB2312" w:hAnsi="宋体" w:cs="宋体"/>
                <w:kern w:val="0"/>
                <w:sz w:val="20"/>
                <w:szCs w:val="20"/>
              </w:rPr>
            </w:pPr>
            <w:r>
              <w:rPr>
                <w:rFonts w:ascii="仿宋_GB2312" w:eastAsia="仿宋_GB2312" w:hAnsi="宋体" w:cs="宋体" w:hint="eastAsia"/>
                <w:kern w:val="0"/>
                <w:sz w:val="20"/>
                <w:szCs w:val="20"/>
              </w:rPr>
              <w:t>2</w:t>
            </w:r>
          </w:p>
        </w:tc>
        <w:tc>
          <w:tcPr>
            <w:tcW w:w="3118"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90%（含）以上计2分；</w:t>
            </w:r>
            <w:r>
              <w:rPr>
                <w:rFonts w:ascii="仿宋_GB2312" w:eastAsia="仿宋_GB2312" w:hAnsi="宋体" w:cs="宋体" w:hint="eastAsia"/>
                <w:kern w:val="0"/>
                <w:sz w:val="20"/>
                <w:szCs w:val="20"/>
              </w:rPr>
              <w:br/>
              <w:t>80%（含）-90%，计1分；70%（含）-80%，计0.5分；低于70%,计0分。</w:t>
            </w:r>
          </w:p>
        </w:tc>
        <w:tc>
          <w:tcPr>
            <w:tcW w:w="3472" w:type="dxa"/>
            <w:noWrap/>
            <w:vAlign w:val="center"/>
          </w:tcPr>
          <w:p w:rsidR="00790FB0" w:rsidRDefault="002D6A96">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社会公众或服务对象是指部门（单位）履行职责而影响到的部门，群体或个人，一般采取社会调查的方式(不少于30份)。</w:t>
            </w:r>
          </w:p>
        </w:tc>
        <w:tc>
          <w:tcPr>
            <w:tcW w:w="617" w:type="dxa"/>
            <w:noWrap/>
            <w:vAlign w:val="center"/>
          </w:tcPr>
          <w:p w:rsidR="00790FB0" w:rsidRDefault="00101252">
            <w:pPr>
              <w:widowControl/>
              <w:jc w:val="center"/>
              <w:rPr>
                <w:rFonts w:ascii="宋体" w:eastAsia="宋体" w:hAnsi="宋体" w:cs="宋体"/>
                <w:kern w:val="0"/>
                <w:sz w:val="24"/>
              </w:rPr>
            </w:pPr>
            <w:r>
              <w:rPr>
                <w:rFonts w:ascii="宋体" w:eastAsia="宋体" w:hAnsi="宋体" w:cs="宋体" w:hint="eastAsia"/>
                <w:kern w:val="0"/>
                <w:sz w:val="24"/>
              </w:rPr>
              <w:t>2</w:t>
            </w:r>
          </w:p>
        </w:tc>
      </w:tr>
      <w:tr w:rsidR="00790FB0">
        <w:trPr>
          <w:trHeight w:val="666"/>
          <w:jc w:val="center"/>
        </w:trPr>
        <w:tc>
          <w:tcPr>
            <w:tcW w:w="840" w:type="dxa"/>
            <w:gridSpan w:val="2"/>
            <w:noWrap/>
            <w:vAlign w:val="center"/>
          </w:tcPr>
          <w:p w:rsidR="00790FB0" w:rsidRDefault="002D6A96">
            <w:pPr>
              <w:widowControl/>
              <w:jc w:val="center"/>
              <w:rPr>
                <w:rFonts w:ascii="仿宋_GB2312" w:eastAsia="仿宋_GB2312" w:hAnsi="宋体" w:cs="宋体"/>
                <w:kern w:val="0"/>
                <w:sz w:val="22"/>
                <w:szCs w:val="22"/>
              </w:rPr>
            </w:pPr>
            <w:r>
              <w:rPr>
                <w:rFonts w:ascii="仿宋_GB2312" w:eastAsia="仿宋_GB2312" w:hAnsi="宋体" w:cs="宋体" w:hint="eastAsia"/>
                <w:kern w:val="0"/>
                <w:sz w:val="22"/>
                <w:szCs w:val="22"/>
              </w:rPr>
              <w:t>合计</w:t>
            </w:r>
          </w:p>
        </w:tc>
        <w:tc>
          <w:tcPr>
            <w:tcW w:w="8575" w:type="dxa"/>
            <w:gridSpan w:val="5"/>
            <w:noWrap/>
            <w:vAlign w:val="center"/>
          </w:tcPr>
          <w:p w:rsidR="00790FB0" w:rsidRDefault="00790FB0">
            <w:pPr>
              <w:widowControl/>
              <w:jc w:val="left"/>
              <w:rPr>
                <w:rFonts w:ascii="仿宋_GB2312" w:eastAsia="仿宋_GB2312" w:hAnsi="宋体" w:cs="宋体"/>
                <w:kern w:val="0"/>
                <w:sz w:val="20"/>
                <w:szCs w:val="20"/>
              </w:rPr>
            </w:pPr>
          </w:p>
        </w:tc>
        <w:tc>
          <w:tcPr>
            <w:tcW w:w="617" w:type="dxa"/>
            <w:noWrap/>
            <w:vAlign w:val="center"/>
          </w:tcPr>
          <w:p w:rsidR="00790FB0" w:rsidRDefault="007771C0">
            <w:pPr>
              <w:widowControl/>
              <w:jc w:val="center"/>
              <w:rPr>
                <w:rFonts w:ascii="宋体" w:eastAsia="宋体" w:hAnsi="宋体" w:cs="宋体"/>
                <w:kern w:val="0"/>
                <w:sz w:val="24"/>
              </w:rPr>
            </w:pPr>
            <w:r>
              <w:rPr>
                <w:rFonts w:ascii="宋体" w:eastAsia="宋体" w:hAnsi="宋体" w:cs="宋体" w:hint="eastAsia"/>
                <w:kern w:val="0"/>
                <w:sz w:val="24"/>
              </w:rPr>
              <w:t>92</w:t>
            </w:r>
          </w:p>
        </w:tc>
      </w:tr>
    </w:tbl>
    <w:p w:rsidR="00790FB0" w:rsidRDefault="00790FB0">
      <w:pPr>
        <w:spacing w:line="600" w:lineRule="exact"/>
        <w:rPr>
          <w:rFonts w:ascii="宋体" w:hAnsi="宋体" w:cs="宋体"/>
          <w:kern w:val="0"/>
          <w:sz w:val="32"/>
          <w:szCs w:val="32"/>
        </w:rPr>
      </w:pPr>
    </w:p>
    <w:p w:rsidR="00790FB0" w:rsidRDefault="00790FB0"/>
    <w:p w:rsidR="00790FB0" w:rsidRDefault="00790FB0">
      <w:bookmarkStart w:id="1" w:name="_GoBack"/>
      <w:bookmarkEnd w:id="1"/>
    </w:p>
    <w:sectPr w:rsidR="00790FB0" w:rsidSect="00790F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B5E" w:rsidRDefault="00C00B5E" w:rsidP="00716DE9">
      <w:r>
        <w:separator/>
      </w:r>
    </w:p>
  </w:endnote>
  <w:endnote w:type="continuationSeparator" w:id="1">
    <w:p w:rsidR="00C00B5E" w:rsidRDefault="00C00B5E" w:rsidP="00716D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B5E" w:rsidRDefault="00C00B5E" w:rsidP="00716DE9">
      <w:r>
        <w:separator/>
      </w:r>
    </w:p>
  </w:footnote>
  <w:footnote w:type="continuationSeparator" w:id="1">
    <w:p w:rsidR="00C00B5E" w:rsidRDefault="00C00B5E" w:rsidP="00716D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E2DDA3"/>
    <w:multiLevelType w:val="singleLevel"/>
    <w:tmpl w:val="8DE2DDA3"/>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UzY2E2NThmNTlmNmMzMDE1ZGUyMTE2NzZkNjRjMDEifQ=="/>
  </w:docVars>
  <w:rsids>
    <w:rsidRoot w:val="00790FB0"/>
    <w:rsid w:val="00047AAA"/>
    <w:rsid w:val="000E58B2"/>
    <w:rsid w:val="000E7771"/>
    <w:rsid w:val="001007F7"/>
    <w:rsid w:val="00101252"/>
    <w:rsid w:val="002620DD"/>
    <w:rsid w:val="002C28E1"/>
    <w:rsid w:val="002D6A96"/>
    <w:rsid w:val="002E02C4"/>
    <w:rsid w:val="0030261C"/>
    <w:rsid w:val="00351EDB"/>
    <w:rsid w:val="003F7CA5"/>
    <w:rsid w:val="006167F4"/>
    <w:rsid w:val="006277B1"/>
    <w:rsid w:val="006A6546"/>
    <w:rsid w:val="006F1EFC"/>
    <w:rsid w:val="00716DE9"/>
    <w:rsid w:val="007771C0"/>
    <w:rsid w:val="00785E7D"/>
    <w:rsid w:val="0078610D"/>
    <w:rsid w:val="00790FB0"/>
    <w:rsid w:val="0089750B"/>
    <w:rsid w:val="008976DC"/>
    <w:rsid w:val="00C00B5E"/>
    <w:rsid w:val="00C44C37"/>
    <w:rsid w:val="00CD1E6C"/>
    <w:rsid w:val="00D5481C"/>
    <w:rsid w:val="00D6753C"/>
    <w:rsid w:val="00E566C8"/>
    <w:rsid w:val="00E818F8"/>
    <w:rsid w:val="00ED6906"/>
    <w:rsid w:val="00FA28C5"/>
    <w:rsid w:val="1EAC476E"/>
    <w:rsid w:val="45AD0E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0FB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90FB0"/>
    <w:pPr>
      <w:tabs>
        <w:tab w:val="center" w:pos="4153"/>
        <w:tab w:val="right" w:pos="8306"/>
      </w:tabs>
      <w:snapToGrid w:val="0"/>
      <w:jc w:val="left"/>
    </w:pPr>
    <w:rPr>
      <w:sz w:val="18"/>
    </w:rPr>
  </w:style>
  <w:style w:type="paragraph" w:styleId="a4">
    <w:name w:val="header"/>
    <w:basedOn w:val="a"/>
    <w:qFormat/>
    <w:rsid w:val="00790FB0"/>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5">
    <w:name w:val="Normal (Web)"/>
    <w:basedOn w:val="a"/>
    <w:rsid w:val="00790FB0"/>
    <w:rPr>
      <w:sz w:val="24"/>
    </w:rPr>
  </w:style>
  <w:style w:type="character" w:styleId="a6">
    <w:name w:val="page number"/>
    <w:basedOn w:val="a0"/>
    <w:qFormat/>
    <w:rsid w:val="00790FB0"/>
  </w:style>
  <w:style w:type="character" w:styleId="a7">
    <w:name w:val="FollowedHyperlink"/>
    <w:basedOn w:val="a0"/>
    <w:rsid w:val="00790FB0"/>
    <w:rPr>
      <w:color w:val="444444"/>
      <w:u w:val="none"/>
    </w:rPr>
  </w:style>
  <w:style w:type="character" w:styleId="a8">
    <w:name w:val="Hyperlink"/>
    <w:basedOn w:val="a0"/>
    <w:rsid w:val="00790FB0"/>
    <w:rPr>
      <w:color w:val="444444"/>
      <w:u w:val="none"/>
    </w:rPr>
  </w:style>
  <w:style w:type="character" w:customStyle="1" w:styleId="gai">
    <w:name w:val="gai"/>
    <w:basedOn w:val="a0"/>
    <w:rsid w:val="00790FB0"/>
  </w:style>
  <w:style w:type="character" w:customStyle="1" w:styleId="gai1">
    <w:name w:val="gai1"/>
    <w:basedOn w:val="a0"/>
    <w:rsid w:val="00790FB0"/>
  </w:style>
  <w:style w:type="character" w:customStyle="1" w:styleId="gai2">
    <w:name w:val="gai2"/>
    <w:basedOn w:val="a0"/>
    <w:qFormat/>
    <w:rsid w:val="00790FB0"/>
  </w:style>
  <w:style w:type="character" w:customStyle="1" w:styleId="gai3">
    <w:name w:val="gai3"/>
    <w:basedOn w:val="a0"/>
    <w:rsid w:val="00790FB0"/>
  </w:style>
  <w:style w:type="character" w:customStyle="1" w:styleId="gai4">
    <w:name w:val="gai4"/>
    <w:basedOn w:val="a0"/>
    <w:rsid w:val="00790FB0"/>
  </w:style>
  <w:style w:type="character" w:customStyle="1" w:styleId="you">
    <w:name w:val="you"/>
    <w:basedOn w:val="a0"/>
    <w:rsid w:val="00790FB0"/>
  </w:style>
  <w:style w:type="character" w:customStyle="1" w:styleId="info-valid">
    <w:name w:val="info-valid"/>
    <w:basedOn w:val="a0"/>
    <w:rsid w:val="00790FB0"/>
    <w:rPr>
      <w:color w:val="444444"/>
    </w:rPr>
  </w:style>
  <w:style w:type="character" w:customStyle="1" w:styleId="tit2">
    <w:name w:val="tit2"/>
    <w:basedOn w:val="a0"/>
    <w:qFormat/>
    <w:rsid w:val="00790FB0"/>
    <w:rPr>
      <w:color w:val="1D0000"/>
      <w:sz w:val="33"/>
      <w:szCs w:val="33"/>
    </w:rPr>
  </w:style>
  <w:style w:type="character" w:customStyle="1" w:styleId="tianqi">
    <w:name w:val="tianqi"/>
    <w:basedOn w:val="a0"/>
    <w:rsid w:val="00790FB0"/>
  </w:style>
  <w:style w:type="character" w:customStyle="1" w:styleId="sjzs">
    <w:name w:val="sjzs"/>
    <w:basedOn w:val="a0"/>
    <w:qFormat/>
    <w:rsid w:val="00790FB0"/>
    <w:rPr>
      <w:sz w:val="27"/>
      <w:szCs w:val="27"/>
    </w:rPr>
  </w:style>
  <w:style w:type="character" w:customStyle="1" w:styleId="quanp">
    <w:name w:val="quanp"/>
    <w:basedOn w:val="a0"/>
    <w:qFormat/>
    <w:rsid w:val="00790FB0"/>
    <w:rPr>
      <w:color w:val="FFFFFF"/>
      <w:shd w:val="clear" w:color="auto" w:fill="7CB8FE"/>
    </w:rPr>
  </w:style>
  <w:style w:type="character" w:customStyle="1" w:styleId="lname">
    <w:name w:val="lname"/>
    <w:basedOn w:val="a0"/>
    <w:qFormat/>
    <w:rsid w:val="00790FB0"/>
    <w:rPr>
      <w:color w:val="000000"/>
      <w:sz w:val="30"/>
      <w:szCs w:val="30"/>
    </w:rPr>
  </w:style>
  <w:style w:type="character" w:customStyle="1" w:styleId="first-child4">
    <w:name w:val="first-child4"/>
    <w:basedOn w:val="a0"/>
    <w:qFormat/>
    <w:rsid w:val="00790FB0"/>
    <w:rPr>
      <w:color w:val="BD1B09"/>
    </w:rPr>
  </w:style>
  <w:style w:type="character" w:customStyle="1" w:styleId="first-child5">
    <w:name w:val="first-child5"/>
    <w:basedOn w:val="a0"/>
    <w:qFormat/>
    <w:rsid w:val="00790FB0"/>
    <w:rPr>
      <w:color w:val="878787"/>
      <w:sz w:val="36"/>
      <w:szCs w:val="36"/>
      <w:shd w:val="clear" w:color="auto" w:fill="FFFFFF"/>
    </w:rPr>
  </w:style>
  <w:style w:type="character" w:customStyle="1" w:styleId="ldjs">
    <w:name w:val="ldjs"/>
    <w:basedOn w:val="a0"/>
    <w:qFormat/>
    <w:rsid w:val="00790FB0"/>
    <w:rPr>
      <w:color w:val="666666"/>
      <w:sz w:val="24"/>
      <w:szCs w:val="24"/>
    </w:rPr>
  </w:style>
  <w:style w:type="character" w:customStyle="1" w:styleId="quanp2">
    <w:name w:val="quanp2"/>
    <w:basedOn w:val="a0"/>
    <w:qFormat/>
    <w:rsid w:val="00790FB0"/>
    <w:rPr>
      <w:color w:val="FFFFFF"/>
      <w:sz w:val="0"/>
      <w:szCs w:val="0"/>
      <w:shd w:val="clear" w:color="auto" w:fill="7CB8FE"/>
    </w:rPr>
  </w:style>
  <w:style w:type="character" w:customStyle="1" w:styleId="jiaoluo">
    <w:name w:val="jiaoluo"/>
    <w:basedOn w:val="a0"/>
    <w:qFormat/>
    <w:rsid w:val="00790FB0"/>
  </w:style>
  <w:style w:type="character" w:customStyle="1" w:styleId="last3">
    <w:name w:val="last3"/>
    <w:basedOn w:val="a0"/>
    <w:qFormat/>
    <w:rsid w:val="00790FB0"/>
  </w:style>
  <w:style w:type="character" w:customStyle="1" w:styleId="last4">
    <w:name w:val="last4"/>
    <w:basedOn w:val="a0"/>
    <w:qFormat/>
    <w:rsid w:val="00790FB0"/>
  </w:style>
  <w:style w:type="character" w:customStyle="1" w:styleId="fanhui">
    <w:name w:val="fanhui"/>
    <w:basedOn w:val="a0"/>
    <w:qFormat/>
    <w:rsid w:val="00790FB0"/>
    <w:rPr>
      <w:color w:val="FFFFFF"/>
      <w:sz w:val="24"/>
      <w:szCs w:val="24"/>
    </w:rPr>
  </w:style>
  <w:style w:type="character" w:customStyle="1" w:styleId="jiaoluo2">
    <w:name w:val="jiaoluo2"/>
    <w:basedOn w:val="a0"/>
    <w:qFormat/>
    <w:rsid w:val="00790FB0"/>
  </w:style>
  <w:style w:type="character" w:customStyle="1" w:styleId="zuo">
    <w:name w:val="zuo"/>
    <w:basedOn w:val="a0"/>
    <w:qFormat/>
    <w:rsid w:val="00790FB0"/>
  </w:style>
  <w:style w:type="character" w:customStyle="1" w:styleId="dcs">
    <w:name w:val="dcs"/>
    <w:basedOn w:val="a0"/>
    <w:qFormat/>
    <w:rsid w:val="00790FB0"/>
    <w:rPr>
      <w:color w:val="BD1B09"/>
    </w:rPr>
  </w:style>
  <w:style w:type="character" w:customStyle="1" w:styleId="time">
    <w:name w:val="time"/>
    <w:basedOn w:val="a0"/>
    <w:qFormat/>
    <w:rsid w:val="00790FB0"/>
    <w:rPr>
      <w:color w:val="999999"/>
    </w:rPr>
  </w:style>
  <w:style w:type="character" w:customStyle="1" w:styleId="time1">
    <w:name w:val="time1"/>
    <w:basedOn w:val="a0"/>
    <w:qFormat/>
    <w:rsid w:val="00790FB0"/>
    <w:rPr>
      <w:color w:val="999999"/>
    </w:rPr>
  </w:style>
</w:styles>
</file>

<file path=word/webSettings.xml><?xml version="1.0" encoding="utf-8"?>
<w:webSettings xmlns:r="http://schemas.openxmlformats.org/officeDocument/2006/relationships" xmlns:w="http://schemas.openxmlformats.org/wordprocessingml/2006/main">
  <w:divs>
    <w:div w:id="517743467">
      <w:bodyDiv w:val="1"/>
      <w:marLeft w:val="0"/>
      <w:marRight w:val="0"/>
      <w:marTop w:val="0"/>
      <w:marBottom w:val="0"/>
      <w:divBdr>
        <w:top w:val="none" w:sz="0" w:space="0" w:color="auto"/>
        <w:left w:val="none" w:sz="0" w:space="0" w:color="auto"/>
        <w:bottom w:val="none" w:sz="0" w:space="0" w:color="auto"/>
        <w:right w:val="none" w:sz="0" w:space="0" w:color="auto"/>
      </w:divBdr>
      <w:divsChild>
        <w:div w:id="1386099666">
          <w:marLeft w:val="0"/>
          <w:marRight w:val="0"/>
          <w:marTop w:val="0"/>
          <w:marBottom w:val="0"/>
          <w:divBdr>
            <w:top w:val="none" w:sz="0" w:space="0" w:color="auto"/>
            <w:left w:val="none" w:sz="0" w:space="0" w:color="auto"/>
            <w:bottom w:val="none" w:sz="0" w:space="0" w:color="auto"/>
            <w:right w:val="none" w:sz="0" w:space="0" w:color="auto"/>
          </w:divBdr>
          <w:divsChild>
            <w:div w:id="2067218172">
              <w:marLeft w:val="0"/>
              <w:marRight w:val="0"/>
              <w:marTop w:val="100"/>
              <w:marBottom w:val="100"/>
              <w:divBdr>
                <w:top w:val="none" w:sz="0" w:space="0" w:color="auto"/>
                <w:left w:val="none" w:sz="0" w:space="0" w:color="auto"/>
                <w:bottom w:val="none" w:sz="0" w:space="0" w:color="auto"/>
                <w:right w:val="none" w:sz="0" w:space="0" w:color="auto"/>
              </w:divBdr>
              <w:divsChild>
                <w:div w:id="1165786014">
                  <w:marLeft w:val="0"/>
                  <w:marRight w:val="0"/>
                  <w:marTop w:val="100"/>
                  <w:marBottom w:val="100"/>
                  <w:divBdr>
                    <w:top w:val="none" w:sz="0" w:space="0" w:color="auto"/>
                    <w:left w:val="none" w:sz="0" w:space="0" w:color="auto"/>
                    <w:bottom w:val="none" w:sz="0" w:space="0" w:color="auto"/>
                    <w:right w:val="none" w:sz="0" w:space="0" w:color="auto"/>
                  </w:divBdr>
                  <w:divsChild>
                    <w:div w:id="879826016">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 w:id="15554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511825">
          <w:marLeft w:val="0"/>
          <w:marRight w:val="0"/>
          <w:marTop w:val="0"/>
          <w:marBottom w:val="0"/>
          <w:divBdr>
            <w:top w:val="none" w:sz="0" w:space="0" w:color="auto"/>
            <w:left w:val="none" w:sz="0" w:space="0" w:color="auto"/>
            <w:bottom w:val="none" w:sz="0" w:space="0" w:color="auto"/>
            <w:right w:val="none" w:sz="0" w:space="0" w:color="auto"/>
          </w:divBdr>
          <w:divsChild>
            <w:div w:id="4788107">
              <w:marLeft w:val="0"/>
              <w:marRight w:val="0"/>
              <w:marTop w:val="100"/>
              <w:marBottom w:val="100"/>
              <w:divBdr>
                <w:top w:val="none" w:sz="0" w:space="0" w:color="auto"/>
                <w:left w:val="none" w:sz="0" w:space="0" w:color="auto"/>
                <w:bottom w:val="none" w:sz="0" w:space="0" w:color="auto"/>
                <w:right w:val="none" w:sz="0" w:space="0" w:color="auto"/>
              </w:divBdr>
              <w:divsChild>
                <w:div w:id="2081517883">
                  <w:marLeft w:val="0"/>
                  <w:marRight w:val="0"/>
                  <w:marTop w:val="100"/>
                  <w:marBottom w:val="100"/>
                  <w:divBdr>
                    <w:top w:val="none" w:sz="0" w:space="0" w:color="auto"/>
                    <w:left w:val="none" w:sz="0" w:space="0" w:color="auto"/>
                    <w:bottom w:val="none" w:sz="0" w:space="0" w:color="auto"/>
                    <w:right w:val="none" w:sz="0" w:space="0" w:color="auto"/>
                  </w:divBdr>
                  <w:divsChild>
                    <w:div w:id="1465390365">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 w:id="1818689693">
      <w:bodyDiv w:val="1"/>
      <w:marLeft w:val="0"/>
      <w:marRight w:val="0"/>
      <w:marTop w:val="0"/>
      <w:marBottom w:val="0"/>
      <w:divBdr>
        <w:top w:val="none" w:sz="0" w:space="0" w:color="auto"/>
        <w:left w:val="none" w:sz="0" w:space="0" w:color="auto"/>
        <w:bottom w:val="none" w:sz="0" w:space="0" w:color="auto"/>
        <w:right w:val="none" w:sz="0" w:space="0" w:color="auto"/>
      </w:divBdr>
      <w:divsChild>
        <w:div w:id="1244215646">
          <w:marLeft w:val="0"/>
          <w:marRight w:val="0"/>
          <w:marTop w:val="0"/>
          <w:marBottom w:val="0"/>
          <w:divBdr>
            <w:top w:val="none" w:sz="0" w:space="0" w:color="auto"/>
            <w:left w:val="none" w:sz="0" w:space="0" w:color="auto"/>
            <w:bottom w:val="none" w:sz="0" w:space="0" w:color="auto"/>
            <w:right w:val="none" w:sz="0" w:space="0" w:color="auto"/>
          </w:divBdr>
          <w:divsChild>
            <w:div w:id="197396736">
              <w:marLeft w:val="0"/>
              <w:marRight w:val="0"/>
              <w:marTop w:val="100"/>
              <w:marBottom w:val="100"/>
              <w:divBdr>
                <w:top w:val="none" w:sz="0" w:space="0" w:color="auto"/>
                <w:left w:val="none" w:sz="0" w:space="0" w:color="auto"/>
                <w:bottom w:val="none" w:sz="0" w:space="0" w:color="auto"/>
                <w:right w:val="none" w:sz="0" w:space="0" w:color="auto"/>
              </w:divBdr>
              <w:divsChild>
                <w:div w:id="1589195670">
                  <w:marLeft w:val="0"/>
                  <w:marRight w:val="0"/>
                  <w:marTop w:val="100"/>
                  <w:marBottom w:val="100"/>
                  <w:divBdr>
                    <w:top w:val="none" w:sz="0" w:space="0" w:color="auto"/>
                    <w:left w:val="none" w:sz="0" w:space="0" w:color="auto"/>
                    <w:bottom w:val="none" w:sz="0" w:space="0" w:color="auto"/>
                    <w:right w:val="none" w:sz="0" w:space="0" w:color="auto"/>
                  </w:divBdr>
                  <w:divsChild>
                    <w:div w:id="738137612">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6786</Words>
  <Characters>817</Characters>
  <Application>Microsoft Office Word</Application>
  <DocSecurity>4</DocSecurity>
  <Lines>6</Lines>
  <Paragraphs>15</Paragraphs>
  <ScaleCrop>false</ScaleCrop>
  <Company>微软中国</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2023-04-14T01:31:00Z</dcterms:created>
  <dcterms:modified xsi:type="dcterms:W3CDTF">2023-04-14T01:31:00Z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2F54F18A2CE84DADA1B21E746E2F1685</vt:lpwstr>
  </property>
</Properties>
</file>