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北塔区</w:t>
      </w:r>
      <w:r>
        <w:rPr>
          <w:rFonts w:hint="eastAsia" w:ascii="黑体" w:hAnsi="黑体" w:eastAsia="黑体" w:cs="黑体"/>
          <w:sz w:val="32"/>
          <w:szCs w:val="32"/>
        </w:rPr>
        <w:t>应急管理局重大行政执法决定法制审核目录清单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82"/>
        <w:gridCol w:w="1704"/>
        <w:gridCol w:w="1336"/>
        <w:gridCol w:w="122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执法项目大类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审核的具体执法决定项目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应提交的审核资料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提交部门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行政处罚类决定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对公民处以1000元以上的罚款，对法人或者其他组织处以2万元以上的罚款；没收违法所得或者没收非法财物价值相当于上述规定的数额。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1、现场检查记录、询问笔录等执法文书；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2、相关证据资料；案件调查终结报告；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3、拟制的行政处罚决定类文书；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一）行政执法主体是否合法，行政执法人员是否具备执法资格；（二）当事人的基本情况及违法事实是否查清； （三）违法事实是否清楚，证据是否确凿、充分，材料是否齐全；（四）适用法律、法规、规章是否准确，执行裁量基准是否适当；（五）行政执法决定是否适当；（六）程序是否合法，是否充分保障行政相对人权利；（七）是否有超越本机关职权范围或滥用职权的情形；（八）行政执法文书是否规范、齐备；（九）违法行为是否涉嫌犯罪需要移送司法机关；（十）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拟作出责令停产停业整顿责令停业决定的。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拟作出给予吊销许可证决定的。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经听证程序后作出的行政处罚决定。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涉及重大公共利益、可能造成重大社会影响或者引发社会风险、直接关系行政相对人或者第三人重大权益、案件情况疑难复杂涉及多个法律关系的行政执法活动。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1、现场检查记录、询问笔录等执法文书；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2、相关证据资料；案件调查终结报告；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3、拟制的行政处罚决定类文书；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一）行政执法主体是否合法，行政执法人员是否具备执法资格；（二）当事人的基本情况及违法事实是否查清； （三）违法事实是否清楚，证据是否确凿、充分，材料是否齐全；（四）适用法律、法规、规章是否准确，执行裁量基准是否适当；（五）行政执法决定是否适当；（六）程序是否合法，是否充分保障行政相对人权利；（七）是否有超越本机关职权范围或滥用职权的情形；（八）行政执法文书是否规范、齐备；（九）违法行为是否涉嫌犯罪需要移送司法机关；（十）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申请人民法院强制执行。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1、行政决定书及作出决定的事实、理由和依据；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2、当事人的意见及行政机关催告情况说明；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3、申请强制执行标的情况说明；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4、拟制的强制执行申请书；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5、《重大行政执法决定法制审核申请表》等材料。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局机关各股（室）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（一）在法定期限内，当事人是否已申请行政复议或者提起行政诉讼：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（二）是否已按规定时限下达《行政强制执行事先催告书》； 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（三）是否有查封、扣押的财物可依法拍卖抵缴罚款；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（四）申请强制执行是否符合其它法定条件。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kern w:val="0"/>
                <w:sz w:val="24"/>
                <w:szCs w:val="24"/>
                <w:lang w:val="en-US" w:eastAsia="zh-CN" w:bidi="ar"/>
              </w:rPr>
              <w:t>（五）其他依法应当审核的事项。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20" w:firstLineChars="13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邵阳市</w:t>
      </w:r>
      <w:r>
        <w:rPr>
          <w:rFonts w:hint="eastAsia" w:ascii="宋体" w:hAnsi="宋体" w:eastAsia="宋体" w:cs="宋体"/>
          <w:sz w:val="24"/>
          <w:szCs w:val="24"/>
        </w:rPr>
        <w:t>北塔区应急管理局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0" w:firstLineChars="15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2022年11月15日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Tk4ZjdlNGRkOGRhODk2NDE5ZThhODUxYjgyYzkifQ=="/>
  </w:docVars>
  <w:rsids>
    <w:rsidRoot w:val="176807CB"/>
    <w:rsid w:val="176807CB"/>
    <w:rsid w:val="593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1148</Characters>
  <Lines>0</Lines>
  <Paragraphs>0</Paragraphs>
  <TotalTime>4</TotalTime>
  <ScaleCrop>false</ScaleCrop>
  <LinksUpToDate>false</LinksUpToDate>
  <CharactersWithSpaces>1148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2022-11-15T07:44:00Z</dcterms:created>
  <dc:creator>七凡图文广告_Pc</dc:creator>
  <cp:lastModifiedBy>Administrator</cp:lastModifiedBy>
  <dcterms:modified xsi:type="dcterms:W3CDTF">2022-11-15T09:27:49Z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6206CE24C60845429B0A234A34C8DAB5</vt:lpwstr>
  </property>
</Properties>
</file>