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Theme="majorEastAsia" w:hAnsiTheme="majorEastAsia" w:eastAsiaTheme="majorEastAsia" w:cstheme="majorEastAsia"/>
          <w:b w:val="0"/>
          <w:bCs w:val="0"/>
          <w:sz w:val="44"/>
          <w:szCs w:val="44"/>
          <w:lang w:eastAsia="zh-CN"/>
        </w:rPr>
      </w:pPr>
      <w:r>
        <w:rPr>
          <w:rFonts w:hint="eastAsia" w:asciiTheme="majorEastAsia" w:hAnsiTheme="majorEastAsia" w:eastAsiaTheme="majorEastAsia" w:cstheme="majorEastAsia"/>
          <w:b w:val="0"/>
          <w:bCs w:val="0"/>
          <w:sz w:val="44"/>
          <w:szCs w:val="44"/>
          <w:lang w:eastAsia="zh-CN"/>
        </w:rPr>
        <w:t>邵阳市北塔区退役军人事务局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Theme="majorEastAsia" w:hAnsiTheme="majorEastAsia" w:eastAsiaTheme="majorEastAsia" w:cstheme="majorEastAsia"/>
          <w:b w:val="0"/>
          <w:bCs w:val="0"/>
          <w:i w:val="0"/>
          <w:iCs w:val="0"/>
          <w:caps w:val="0"/>
          <w:color w:val="000000"/>
          <w:spacing w:val="0"/>
          <w:sz w:val="44"/>
          <w:szCs w:val="44"/>
          <w:shd w:val="clear" w:fill="FFFFFF"/>
          <w:lang w:val="en-US" w:eastAsia="zh-CN"/>
        </w:rPr>
      </w:pPr>
      <w:r>
        <w:rPr>
          <w:rFonts w:hint="eastAsia" w:asciiTheme="majorEastAsia" w:hAnsiTheme="majorEastAsia" w:eastAsiaTheme="majorEastAsia" w:cstheme="majorEastAsia"/>
          <w:b w:val="0"/>
          <w:bCs w:val="0"/>
          <w:i w:val="0"/>
          <w:iCs w:val="0"/>
          <w:caps w:val="0"/>
          <w:color w:val="000000"/>
          <w:spacing w:val="0"/>
          <w:sz w:val="44"/>
          <w:szCs w:val="44"/>
          <w:shd w:val="clear" w:fill="FFFFFF"/>
        </w:rPr>
        <w:t>202</w:t>
      </w:r>
      <w:r>
        <w:rPr>
          <w:rFonts w:hint="eastAsia" w:asciiTheme="majorEastAsia" w:hAnsiTheme="majorEastAsia" w:eastAsiaTheme="majorEastAsia" w:cstheme="majorEastAsia"/>
          <w:b w:val="0"/>
          <w:bCs w:val="0"/>
          <w:i w:val="0"/>
          <w:iCs w:val="0"/>
          <w:caps w:val="0"/>
          <w:color w:val="000000"/>
          <w:spacing w:val="0"/>
          <w:sz w:val="44"/>
          <w:szCs w:val="44"/>
          <w:shd w:val="clear" w:fill="FFFFFF"/>
          <w:lang w:val="en-US" w:eastAsia="zh-CN"/>
        </w:rPr>
        <w:t>2</w:t>
      </w:r>
      <w:r>
        <w:rPr>
          <w:rFonts w:hint="eastAsia" w:asciiTheme="majorEastAsia" w:hAnsiTheme="majorEastAsia" w:eastAsiaTheme="majorEastAsia" w:cstheme="majorEastAsia"/>
          <w:b w:val="0"/>
          <w:bCs w:val="0"/>
          <w:i w:val="0"/>
          <w:iCs w:val="0"/>
          <w:caps w:val="0"/>
          <w:color w:val="000000"/>
          <w:spacing w:val="0"/>
          <w:sz w:val="44"/>
          <w:szCs w:val="44"/>
          <w:shd w:val="clear" w:fill="FFFFFF"/>
        </w:rPr>
        <w:t>年度部门整体支出绩效评价报</w:t>
      </w:r>
      <w:r>
        <w:rPr>
          <w:rFonts w:hint="eastAsia" w:asciiTheme="majorEastAsia" w:hAnsiTheme="majorEastAsia" w:eastAsiaTheme="majorEastAsia" w:cstheme="majorEastAsia"/>
          <w:b w:val="0"/>
          <w:bCs w:val="0"/>
          <w:i w:val="0"/>
          <w:iCs w:val="0"/>
          <w:caps w:val="0"/>
          <w:color w:val="000000"/>
          <w:spacing w:val="0"/>
          <w:sz w:val="44"/>
          <w:szCs w:val="44"/>
          <w:shd w:val="clear" w:fill="FFFFFF"/>
          <w:lang w:val="en-US" w:eastAsia="zh-CN"/>
        </w:rPr>
        <w:t>告</w:t>
      </w:r>
    </w:p>
    <w:p>
      <w:pPr>
        <w:rPr>
          <w:rFonts w:hint="default"/>
          <w:lang w:val="en-US" w:eastAsia="zh-CN"/>
        </w:rPr>
      </w:pPr>
      <w:r>
        <w:rPr>
          <w:rFonts w:hint="eastAsia"/>
          <w:lang w:val="en-US" w:eastAsia="zh-CN"/>
        </w:rPr>
        <w:t xml:space="preserve"> </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640" w:firstLineChars="200"/>
        <w:jc w:val="both"/>
        <w:outlineLvl w:val="0"/>
        <w:rPr>
          <w:rFonts w:hint="eastAsia" w:ascii="黑体" w:hAnsi="黑体" w:eastAsia="黑体" w:cs="黑体"/>
          <w:b w:val="0"/>
          <w:bCs w:val="0"/>
          <w:i w:val="0"/>
          <w:iCs w:val="0"/>
          <w:caps w:val="0"/>
          <w:color w:val="444444"/>
          <w:spacing w:val="0"/>
          <w:sz w:val="32"/>
          <w:szCs w:val="32"/>
          <w:shd w:val="clear" w:fill="FFFFFF"/>
        </w:rPr>
      </w:pPr>
      <w:r>
        <w:rPr>
          <w:rFonts w:hint="eastAsia" w:ascii="黑体" w:hAnsi="黑体" w:eastAsia="黑体" w:cs="黑体"/>
          <w:b w:val="0"/>
          <w:bCs w:val="0"/>
          <w:i w:val="0"/>
          <w:iCs w:val="0"/>
          <w:caps w:val="0"/>
          <w:color w:val="444444"/>
          <w:spacing w:val="0"/>
          <w:sz w:val="32"/>
          <w:szCs w:val="32"/>
          <w:shd w:val="clear" w:fill="FFFFFF"/>
        </w:rPr>
        <w:t>部门基本情况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640" w:firstLineChars="200"/>
        <w:jc w:val="both"/>
        <w:outlineLvl w:val="0"/>
        <w:rPr>
          <w:rFonts w:hint="eastAsia" w:ascii="楷体" w:hAnsi="楷体" w:eastAsia="楷体" w:cs="楷体"/>
          <w:b w:val="0"/>
          <w:bCs w:val="0"/>
          <w:sz w:val="32"/>
          <w:szCs w:val="32"/>
        </w:rPr>
      </w:pPr>
      <w:r>
        <w:rPr>
          <w:rFonts w:hint="eastAsia" w:ascii="Times New Roman Regular" w:hAnsi="Times New Roman Regular" w:eastAsia="仿宋_GB2312" w:cs="Times New Roman Regular"/>
          <w:b w:val="0"/>
          <w:bCs w:val="0"/>
          <w:sz w:val="32"/>
          <w:szCs w:val="32"/>
          <w:lang w:val="en-US" w:eastAsia="zh-CN"/>
        </w:rPr>
        <w:t>北塔区退役军人事务局是区政府工作部门，为全额财政拨款行政单位。</w:t>
      </w:r>
    </w:p>
    <w:p>
      <w:pPr>
        <w:numPr>
          <w:ilvl w:val="0"/>
          <w:numId w:val="0"/>
        </w:numPr>
        <w:spacing w:line="480" w:lineRule="auto"/>
        <w:ind w:firstLine="643" w:firstLineChars="200"/>
        <w:jc w:val="left"/>
        <w:rPr>
          <w:rFonts w:hint="eastAsia" w:ascii="楷体" w:hAnsi="楷体" w:eastAsia="楷体" w:cs="楷体"/>
          <w:b/>
          <w:bCs w:val="0"/>
          <w:kern w:val="2"/>
          <w:sz w:val="32"/>
          <w:szCs w:val="32"/>
          <w:lang w:val="en-US" w:eastAsia="zh-CN" w:bidi="ar-SA"/>
        </w:rPr>
      </w:pPr>
      <w:r>
        <w:rPr>
          <w:rFonts w:hint="eastAsia" w:ascii="楷体" w:hAnsi="楷体" w:eastAsia="楷体" w:cs="楷体"/>
          <w:b/>
          <w:bCs w:val="0"/>
          <w:kern w:val="2"/>
          <w:sz w:val="32"/>
          <w:szCs w:val="32"/>
          <w:lang w:val="en-US" w:eastAsia="zh-CN" w:bidi="ar-SA"/>
        </w:rPr>
        <w:t>（一）机构设置及人员情况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640" w:firstLineChars="200"/>
        <w:jc w:val="both"/>
        <w:outlineLvl w:val="0"/>
        <w:rPr>
          <w:rFonts w:hint="eastAsia" w:ascii="Times New Roman Regular" w:hAnsi="Times New Roman Regular" w:eastAsia="仿宋_GB2312" w:cs="Times New Roman Regular"/>
          <w:b w:val="0"/>
          <w:bCs w:val="0"/>
          <w:sz w:val="32"/>
          <w:szCs w:val="32"/>
          <w:lang w:val="en-US" w:eastAsia="zh-CN"/>
        </w:rPr>
      </w:pPr>
      <w:r>
        <w:rPr>
          <w:rFonts w:hint="eastAsia" w:ascii="Times New Roman Regular" w:hAnsi="Times New Roman Regular" w:eastAsia="仿宋_GB2312" w:cs="Times New Roman Regular"/>
          <w:b w:val="0"/>
          <w:bCs w:val="0"/>
          <w:sz w:val="32"/>
          <w:szCs w:val="32"/>
          <w:lang w:eastAsia="zh-CN"/>
        </w:rPr>
        <w:t>我局</w:t>
      </w:r>
      <w:r>
        <w:rPr>
          <w:rFonts w:hint="eastAsia" w:ascii="Times New Roman Regular" w:hAnsi="Times New Roman Regular" w:eastAsia="仿宋_GB2312" w:cs="Times New Roman Regular"/>
          <w:b w:val="0"/>
          <w:bCs w:val="0"/>
          <w:sz w:val="32"/>
          <w:szCs w:val="32"/>
        </w:rPr>
        <w:t>内设2股1室及1个事业机构。2股1室分别为优抚拥军褒扬股、移交安置和就业创业股、办公室，1个事业机构为</w:t>
      </w:r>
      <w:r>
        <w:rPr>
          <w:rFonts w:hint="eastAsia" w:ascii="Times New Roman Regular" w:hAnsi="Times New Roman Regular" w:eastAsia="仿宋_GB2312" w:cs="Times New Roman Regular"/>
          <w:b w:val="0"/>
          <w:bCs w:val="0"/>
          <w:sz w:val="32"/>
          <w:szCs w:val="32"/>
          <w:lang w:val="en-US" w:eastAsia="zh-CN"/>
        </w:rPr>
        <w:t>北塔区退役军人服务中心。</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640" w:firstLineChars="200"/>
        <w:jc w:val="both"/>
        <w:outlineLvl w:val="0"/>
        <w:rPr>
          <w:rFonts w:hint="default" w:ascii="Times New Roman Regular" w:hAnsi="Times New Roman Regular" w:eastAsia="仿宋_GB2312" w:cs="Times New Roman Regular"/>
          <w:b w:val="0"/>
          <w:bCs w:val="0"/>
          <w:sz w:val="32"/>
          <w:szCs w:val="32"/>
          <w:lang w:val="en-US" w:eastAsia="zh-CN"/>
        </w:rPr>
      </w:pPr>
      <w:r>
        <w:rPr>
          <w:rFonts w:hint="eastAsia" w:ascii="Times New Roman Regular" w:hAnsi="Times New Roman Regular" w:eastAsia="仿宋_GB2312" w:cs="Times New Roman Regular"/>
          <w:b w:val="0"/>
          <w:bCs w:val="0"/>
          <w:sz w:val="32"/>
          <w:szCs w:val="32"/>
          <w:lang w:val="en-US" w:eastAsia="zh-CN"/>
        </w:rPr>
        <w:t>截止2022年末，我局编制人数11人，实际人数15人。</w:t>
      </w:r>
    </w:p>
    <w:p>
      <w:pPr>
        <w:numPr>
          <w:ilvl w:val="0"/>
          <w:numId w:val="2"/>
        </w:numPr>
        <w:spacing w:line="480" w:lineRule="auto"/>
        <w:ind w:firstLine="643" w:firstLineChars="200"/>
        <w:jc w:val="left"/>
        <w:rPr>
          <w:rFonts w:hint="eastAsia" w:ascii="仿宋" w:hAnsi="仿宋" w:eastAsia="仿宋" w:cs="仿宋"/>
          <w:b/>
          <w:bCs w:val="0"/>
          <w:i w:val="0"/>
          <w:iCs w:val="0"/>
          <w:caps w:val="0"/>
          <w:color w:val="444444"/>
          <w:spacing w:val="0"/>
          <w:sz w:val="32"/>
          <w:szCs w:val="32"/>
          <w:shd w:val="clear" w:fill="FFFFFF"/>
          <w:lang w:val="en-US" w:eastAsia="zh-CN"/>
        </w:rPr>
      </w:pPr>
      <w:r>
        <w:rPr>
          <w:rFonts w:hint="eastAsia" w:ascii="Times New Roman Regular" w:hAnsi="Times New Roman Regular" w:eastAsia="楷体_GB2312" w:cs="Times New Roman Regular"/>
          <w:b/>
          <w:bCs w:val="0"/>
          <w:kern w:val="2"/>
          <w:sz w:val="32"/>
          <w:szCs w:val="32"/>
          <w:lang w:val="en-US" w:eastAsia="zh-CN" w:bidi="ar-SA"/>
        </w:rPr>
        <w:t>主要职能</w:t>
      </w:r>
    </w:p>
    <w:p>
      <w:pPr>
        <w:pStyle w:val="4"/>
        <w:keepNext w:val="0"/>
        <w:keepLines w:val="0"/>
        <w:pageBreakBefore w:val="0"/>
        <w:kinsoku/>
        <w:overflowPunct/>
        <w:topLinePunct w:val="0"/>
        <w:autoSpaceDE/>
        <w:autoSpaceDN/>
        <w:bidi w:val="0"/>
        <w:adjustRightInd/>
        <w:snapToGrid/>
        <w:spacing w:line="640" w:lineRule="exact"/>
        <w:ind w:firstLine="640" w:firstLineChars="200"/>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1.</w:t>
      </w:r>
      <w:r>
        <w:rPr>
          <w:rFonts w:hint="default" w:ascii="Times New Roman Regular" w:hAnsi="Times New Roman Regular" w:eastAsia="仿宋_GB2312" w:cs="Times New Roman Regular"/>
          <w:sz w:val="32"/>
          <w:szCs w:val="32"/>
        </w:rPr>
        <w:t>贯彻执行党和国家、省、市关于退役军人思想政治、管理保障和安置优抚等工作政策法规，拟订全区退役军人事务发展规划和政策，并组织实施；褒扬彰显退役军人为党、国家和人民牺牲奉献的精神风范和价值导向。</w:t>
      </w:r>
    </w:p>
    <w:p>
      <w:pPr>
        <w:pStyle w:val="4"/>
        <w:keepNext w:val="0"/>
        <w:keepLines w:val="0"/>
        <w:pageBreakBefore w:val="0"/>
        <w:kinsoku/>
        <w:overflowPunct/>
        <w:topLinePunct w:val="0"/>
        <w:autoSpaceDE/>
        <w:autoSpaceDN/>
        <w:bidi w:val="0"/>
        <w:adjustRightInd/>
        <w:snapToGrid/>
        <w:spacing w:line="640" w:lineRule="exact"/>
        <w:ind w:firstLine="640" w:firstLineChars="200"/>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2.</w:t>
      </w:r>
      <w:r>
        <w:rPr>
          <w:rFonts w:hint="default" w:ascii="Times New Roman Regular" w:hAnsi="Times New Roman Regular" w:eastAsia="仿宋_GB2312" w:cs="Times New Roman Regular"/>
          <w:sz w:val="32"/>
          <w:szCs w:val="32"/>
        </w:rPr>
        <w:t>负责全区军队转业干部、复员干部、离休退休干部、退役士兵和无军籍退休退职职工的移交安置工作和自主择业、就业退役军人服务管理工作。</w:t>
      </w:r>
    </w:p>
    <w:p>
      <w:pPr>
        <w:pStyle w:val="4"/>
        <w:keepNext w:val="0"/>
        <w:keepLines w:val="0"/>
        <w:pageBreakBefore w:val="0"/>
        <w:kinsoku/>
        <w:overflowPunct/>
        <w:topLinePunct w:val="0"/>
        <w:autoSpaceDE/>
        <w:autoSpaceDN/>
        <w:bidi w:val="0"/>
        <w:adjustRightInd/>
        <w:snapToGrid/>
        <w:spacing w:line="640" w:lineRule="exact"/>
        <w:ind w:firstLine="640" w:firstLineChars="200"/>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3.</w:t>
      </w:r>
      <w:r>
        <w:rPr>
          <w:rFonts w:hint="default" w:ascii="Times New Roman Regular" w:hAnsi="Times New Roman Regular" w:eastAsia="仿宋_GB2312" w:cs="Times New Roman Regular"/>
          <w:sz w:val="32"/>
          <w:szCs w:val="32"/>
        </w:rPr>
        <w:t>组织指导全区退役军人教育培训工作，协调扶持退役军人和随军随调家属就业创业。</w:t>
      </w:r>
    </w:p>
    <w:p>
      <w:pPr>
        <w:pStyle w:val="4"/>
        <w:keepNext w:val="0"/>
        <w:keepLines w:val="0"/>
        <w:pageBreakBefore w:val="0"/>
        <w:kinsoku/>
        <w:overflowPunct/>
        <w:topLinePunct w:val="0"/>
        <w:autoSpaceDE/>
        <w:autoSpaceDN/>
        <w:bidi w:val="0"/>
        <w:adjustRightInd/>
        <w:snapToGrid/>
        <w:spacing w:line="640" w:lineRule="exact"/>
        <w:ind w:firstLine="640" w:firstLineChars="200"/>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4.</w:t>
      </w:r>
      <w:r>
        <w:rPr>
          <w:rFonts w:hint="default" w:ascii="Times New Roman Regular" w:hAnsi="Times New Roman Regular" w:eastAsia="仿宋_GB2312" w:cs="Times New Roman Regular"/>
          <w:sz w:val="32"/>
          <w:szCs w:val="32"/>
        </w:rPr>
        <w:t>贯彻落实国家关于退役军人的特殊保障政策，会同有关部门制定相关政策，并组织实施。</w:t>
      </w:r>
    </w:p>
    <w:p>
      <w:pPr>
        <w:pStyle w:val="4"/>
        <w:keepNext w:val="0"/>
        <w:keepLines w:val="0"/>
        <w:pageBreakBefore w:val="0"/>
        <w:kinsoku/>
        <w:overflowPunct/>
        <w:topLinePunct w:val="0"/>
        <w:autoSpaceDE/>
        <w:autoSpaceDN/>
        <w:bidi w:val="0"/>
        <w:adjustRightInd/>
        <w:snapToGrid/>
        <w:spacing w:line="640" w:lineRule="exact"/>
        <w:ind w:firstLine="640" w:firstLineChars="200"/>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5.</w:t>
      </w:r>
      <w:r>
        <w:rPr>
          <w:rFonts w:hint="default" w:ascii="Times New Roman Regular" w:hAnsi="Times New Roman Regular" w:eastAsia="仿宋_GB2312" w:cs="Times New Roman Regular"/>
          <w:sz w:val="32"/>
          <w:szCs w:val="32"/>
        </w:rPr>
        <w:t>组织协调落实全区移交地方的离休退休军人、符合条件的其他退役军人和无军籍退休退职职工的住房保障工作，以及退役军人医疗保障、社会保险等待遇保障工作。</w:t>
      </w:r>
    </w:p>
    <w:p>
      <w:pPr>
        <w:pStyle w:val="4"/>
        <w:keepNext w:val="0"/>
        <w:keepLines w:val="0"/>
        <w:pageBreakBefore w:val="0"/>
        <w:kinsoku/>
        <w:overflowPunct/>
        <w:topLinePunct w:val="0"/>
        <w:autoSpaceDE/>
        <w:autoSpaceDN/>
        <w:bidi w:val="0"/>
        <w:adjustRightInd/>
        <w:snapToGrid/>
        <w:spacing w:line="640" w:lineRule="exact"/>
        <w:ind w:firstLine="640" w:firstLineChars="200"/>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6.</w:t>
      </w:r>
      <w:r>
        <w:rPr>
          <w:rFonts w:hint="default" w:ascii="Times New Roman Regular" w:hAnsi="Times New Roman Regular" w:eastAsia="仿宋_GB2312" w:cs="Times New Roman Regular"/>
          <w:sz w:val="32"/>
          <w:szCs w:val="32"/>
        </w:rPr>
        <w:t>组织指导全区伤病残退役军人服务管理和抚恤工作，贯彻落实有关退役军人医疗、疗养、养老等机构的规划政策并指导实施。承担全区不适宜继续服役的伤病残军人相关工作。组织指导全区军供服务保障工作。</w:t>
      </w:r>
    </w:p>
    <w:p>
      <w:pPr>
        <w:pStyle w:val="4"/>
        <w:keepNext w:val="0"/>
        <w:keepLines w:val="0"/>
        <w:pageBreakBefore w:val="0"/>
        <w:kinsoku/>
        <w:overflowPunct/>
        <w:topLinePunct w:val="0"/>
        <w:autoSpaceDE/>
        <w:autoSpaceDN/>
        <w:bidi w:val="0"/>
        <w:adjustRightInd/>
        <w:snapToGrid/>
        <w:spacing w:line="640" w:lineRule="exact"/>
        <w:ind w:firstLine="640" w:firstLineChars="200"/>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7.</w:t>
      </w:r>
      <w:r>
        <w:rPr>
          <w:rFonts w:hint="default" w:ascii="Times New Roman Regular" w:hAnsi="Times New Roman Regular" w:eastAsia="仿宋_GB2312" w:cs="Times New Roman Regular"/>
          <w:sz w:val="32"/>
          <w:szCs w:val="32"/>
        </w:rPr>
        <w:t>组织指导全区拥军优属工作。负责全区现役军人、退役军人、军队文职人员和军属优待、抚恤等工作；贯彻执行国家关于国民党抗战老兵等有关人员优待政策并指导实施。</w:t>
      </w:r>
    </w:p>
    <w:p>
      <w:pPr>
        <w:pStyle w:val="4"/>
        <w:keepNext w:val="0"/>
        <w:keepLines w:val="0"/>
        <w:pageBreakBefore w:val="0"/>
        <w:kinsoku/>
        <w:overflowPunct/>
        <w:topLinePunct w:val="0"/>
        <w:autoSpaceDE/>
        <w:autoSpaceDN/>
        <w:bidi w:val="0"/>
        <w:adjustRightInd/>
        <w:snapToGrid/>
        <w:spacing w:line="640" w:lineRule="exact"/>
        <w:ind w:firstLine="640" w:firstLineChars="200"/>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8.</w:t>
      </w:r>
      <w:r>
        <w:rPr>
          <w:rFonts w:hint="default" w:ascii="Times New Roman Regular" w:hAnsi="Times New Roman Regular" w:eastAsia="仿宋_GB2312" w:cs="Times New Roman Regular"/>
          <w:sz w:val="32"/>
          <w:szCs w:val="32"/>
        </w:rPr>
        <w:t>负责全区烈士及退役军人荣誉奖励、军人公墓管理维护、纪念活动等工作，依法承担英雄烈士保护相关工作，审核拟列入全区重点保护单位的烈士纪念建筑物名录，总结表彰和宣扬退役军人、退役军人工作单位和个人先进典型事迹。</w:t>
      </w:r>
    </w:p>
    <w:p>
      <w:pPr>
        <w:pStyle w:val="4"/>
        <w:keepNext w:val="0"/>
        <w:keepLines w:val="0"/>
        <w:pageBreakBefore w:val="0"/>
        <w:kinsoku/>
        <w:overflowPunct/>
        <w:topLinePunct w:val="0"/>
        <w:autoSpaceDE/>
        <w:autoSpaceDN/>
        <w:bidi w:val="0"/>
        <w:adjustRightInd/>
        <w:snapToGrid/>
        <w:spacing w:line="640" w:lineRule="exact"/>
        <w:ind w:firstLine="640" w:firstLineChars="200"/>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9.</w:t>
      </w:r>
      <w:r>
        <w:rPr>
          <w:rFonts w:hint="default" w:ascii="Times New Roman Regular" w:hAnsi="Times New Roman Regular" w:eastAsia="仿宋_GB2312" w:cs="Times New Roman Regular"/>
          <w:sz w:val="32"/>
          <w:szCs w:val="32"/>
        </w:rPr>
        <w:t>指导并监督检查关于退役军人相关法律法规和政策措施的落实；开展全区退役军人权益维护和有关人员的帮扶援助工作。</w:t>
      </w:r>
    </w:p>
    <w:p>
      <w:pPr>
        <w:pStyle w:val="4"/>
        <w:keepNext w:val="0"/>
        <w:keepLines w:val="0"/>
        <w:pageBreakBefore w:val="0"/>
        <w:kinsoku/>
        <w:overflowPunct/>
        <w:topLinePunct w:val="0"/>
        <w:autoSpaceDE/>
        <w:autoSpaceDN/>
        <w:bidi w:val="0"/>
        <w:adjustRightInd/>
        <w:snapToGrid/>
        <w:spacing w:line="640" w:lineRule="exact"/>
        <w:ind w:firstLine="640" w:firstLineChars="200"/>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10.</w:t>
      </w:r>
      <w:r>
        <w:rPr>
          <w:rFonts w:hint="default" w:ascii="Times New Roman Regular" w:hAnsi="Times New Roman Regular" w:eastAsia="仿宋_GB2312" w:cs="Times New Roman Regular"/>
          <w:sz w:val="32"/>
          <w:szCs w:val="32"/>
        </w:rPr>
        <w:t>完成区委、区政府交办的其他任务。</w:t>
      </w:r>
    </w:p>
    <w:p>
      <w:pPr>
        <w:pStyle w:val="2"/>
        <w:numPr>
          <w:ilvl w:val="0"/>
          <w:numId w:val="0"/>
        </w:numPr>
        <w:ind w:firstLine="640" w:firstLineChars="200"/>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11.</w:t>
      </w:r>
      <w:r>
        <w:rPr>
          <w:rFonts w:hint="default" w:ascii="Times New Roman Regular" w:hAnsi="Times New Roman Regular" w:eastAsia="仿宋_GB2312" w:cs="Times New Roman Regular"/>
          <w:sz w:val="32"/>
          <w:szCs w:val="32"/>
        </w:rPr>
        <w:t>职能转变。区退役军人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r>
        <w:rPr>
          <w:rFonts w:hint="eastAsia" w:ascii="Times New Roman Regular" w:hAnsi="Times New Roman Regular" w:eastAsia="仿宋_GB2312" w:cs="Times New Roman Regular"/>
          <w:sz w:val="32"/>
          <w:szCs w:val="32"/>
          <w:lang w:val="en-US" w:eastAsia="zh-CN"/>
        </w:rPr>
        <w:t xml:space="preserve">        </w:t>
      </w:r>
    </w:p>
    <w:p>
      <w:pPr>
        <w:pStyle w:val="2"/>
        <w:numPr>
          <w:ilvl w:val="0"/>
          <w:numId w:val="0"/>
        </w:numPr>
        <w:ind w:firstLine="640" w:firstLineChars="200"/>
        <w:rPr>
          <w:rFonts w:hint="eastAsia" w:ascii="黑体" w:hAnsi="黑体" w:eastAsia="黑体" w:cs="黑体"/>
          <w:b w:val="0"/>
          <w:bCs w:val="0"/>
          <w:i w:val="0"/>
          <w:iCs w:val="0"/>
          <w:caps w:val="0"/>
          <w:color w:val="444444"/>
          <w:spacing w:val="0"/>
          <w:sz w:val="32"/>
          <w:szCs w:val="32"/>
          <w:shd w:val="clear" w:fill="FFFFFF"/>
        </w:rPr>
      </w:pPr>
      <w:r>
        <w:rPr>
          <w:rFonts w:hint="eastAsia" w:ascii="黑体" w:hAnsi="黑体" w:eastAsia="黑体" w:cs="黑体"/>
          <w:b w:val="0"/>
          <w:bCs w:val="0"/>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楷体" w:hAnsi="楷体" w:eastAsia="楷体" w:cs="楷体"/>
          <w:b/>
          <w:bCs/>
          <w:i w:val="0"/>
          <w:iCs w:val="0"/>
          <w:caps w:val="0"/>
          <w:color w:val="444444"/>
          <w:spacing w:val="0"/>
          <w:sz w:val="32"/>
          <w:szCs w:val="32"/>
          <w:shd w:val="clear" w:fill="FFFFFF"/>
          <w:lang w:val="en-US" w:eastAsia="zh-CN"/>
        </w:rPr>
      </w:pPr>
      <w:r>
        <w:rPr>
          <w:rFonts w:hint="eastAsia" w:ascii="楷体" w:hAnsi="楷体" w:eastAsia="楷体" w:cs="楷体"/>
          <w:b/>
          <w:bCs/>
          <w:i w:val="0"/>
          <w:iCs w:val="0"/>
          <w:caps w:val="0"/>
          <w:color w:val="444444"/>
          <w:spacing w:val="0"/>
          <w:sz w:val="32"/>
          <w:szCs w:val="32"/>
          <w:shd w:val="clear" w:fill="FFFFFF"/>
          <w:lang w:val="en-US" w:eastAsia="zh-CN"/>
        </w:rPr>
        <w:t>（一）预算执行情况</w:t>
      </w:r>
    </w:p>
    <w:p>
      <w:pPr>
        <w:pStyle w:val="2"/>
        <w:numPr>
          <w:ilvl w:val="0"/>
          <w:numId w:val="0"/>
        </w:numPr>
        <w:ind w:firstLine="640" w:firstLineChars="200"/>
        <w:rPr>
          <w:rFonts w:hint="default"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2022年度我局收入预算数为791.01万元，收入决算数为791.01万元，与上一年度相比减少17.84万元，下降2.21%。其中一般公共预算财政拨款收入509.42万元，</w:t>
      </w:r>
      <w:r>
        <w:rPr>
          <w:rFonts w:hint="eastAsia" w:ascii="Times New Roman Regular" w:hAnsi="Times New Roman Regular" w:eastAsia="仿宋_GB2312" w:cs="Times New Roman Regular"/>
          <w:sz w:val="32"/>
          <w:szCs w:val="32"/>
        </w:rPr>
        <w:t>与上一年度相比减少137.2万元，下降21.22%</w:t>
      </w:r>
      <w:r>
        <w:rPr>
          <w:rFonts w:hint="eastAsia" w:ascii="Times New Roman Regular" w:hAnsi="Times New Roman Regular" w:eastAsia="仿宋_GB2312" w:cs="Times New Roman Regular"/>
          <w:sz w:val="32"/>
          <w:szCs w:val="32"/>
          <w:lang w:eastAsia="zh-CN"/>
        </w:rPr>
        <w:t>；</w:t>
      </w:r>
      <w:r>
        <w:rPr>
          <w:rFonts w:hint="eastAsia" w:ascii="Times New Roman Regular" w:hAnsi="Times New Roman Regular" w:eastAsia="仿宋_GB2312" w:cs="Times New Roman Regular"/>
          <w:sz w:val="32"/>
          <w:szCs w:val="32"/>
          <w:lang w:val="en-US" w:eastAsia="zh-CN"/>
        </w:rPr>
        <w:t>其他收入281.59万元，</w:t>
      </w:r>
      <w:r>
        <w:rPr>
          <w:rFonts w:hint="eastAsia" w:ascii="Times New Roman Regular" w:hAnsi="Times New Roman Regular" w:eastAsia="仿宋_GB2312" w:cs="Times New Roman Regular"/>
          <w:sz w:val="32"/>
          <w:szCs w:val="32"/>
        </w:rPr>
        <w:t>与上一年度相比</w:t>
      </w:r>
      <w:r>
        <w:rPr>
          <w:rFonts w:hint="eastAsia" w:ascii="Times New Roman Regular" w:hAnsi="Times New Roman Regular" w:eastAsia="仿宋_GB2312" w:cs="Times New Roman Regular"/>
          <w:sz w:val="32"/>
          <w:szCs w:val="32"/>
          <w:lang w:eastAsia="zh-CN"/>
        </w:rPr>
        <w:t>增加</w:t>
      </w:r>
      <w:r>
        <w:rPr>
          <w:rFonts w:hint="eastAsia" w:ascii="Times New Roman Regular" w:hAnsi="Times New Roman Regular" w:eastAsia="仿宋_GB2312" w:cs="Times New Roman Regular"/>
          <w:sz w:val="32"/>
          <w:szCs w:val="32"/>
          <w:lang w:val="en-US" w:eastAsia="zh-CN"/>
        </w:rPr>
        <w:t>119.36万元，增加73.57%。2022年度支出决算791.01万元，预算完成率为100%。</w:t>
      </w:r>
    </w:p>
    <w:p>
      <w:pPr>
        <w:pStyle w:val="2"/>
        <w:numPr>
          <w:ilvl w:val="0"/>
          <w:numId w:val="0"/>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（二）基本支出情况</w:t>
      </w:r>
    </w:p>
    <w:p>
      <w:pPr>
        <w:pStyle w:val="2"/>
        <w:numPr>
          <w:ilvl w:val="0"/>
          <w:numId w:val="0"/>
        </w:numPr>
        <w:ind w:firstLine="640" w:firstLineChars="200"/>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2022年度我局基本支出年初预算安排为105.47万元，本年实际支出为122.93万元，主要为人员经费支出和公用经费支出，其中人员经费支出108.4万元、公用经费支出14.53万元。</w:t>
      </w:r>
    </w:p>
    <w:p>
      <w:pPr>
        <w:pStyle w:val="2"/>
        <w:numPr>
          <w:ilvl w:val="0"/>
          <w:numId w:val="0"/>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（三）项目支出情况</w:t>
      </w:r>
    </w:p>
    <w:p>
      <w:pPr>
        <w:pStyle w:val="2"/>
        <w:numPr>
          <w:ilvl w:val="0"/>
          <w:numId w:val="0"/>
        </w:numPr>
        <w:ind w:firstLine="640" w:firstLineChars="200"/>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本年项目支出年初预算安排为78.9万元，本年实际支出为668.08万元，主要为全区退役军人各项权益保障支出。</w:t>
      </w:r>
    </w:p>
    <w:p>
      <w:pPr>
        <w:pStyle w:val="2"/>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、部门整体支出绩效情况</w:t>
      </w:r>
    </w:p>
    <w:p>
      <w:pPr>
        <w:spacing w:line="480" w:lineRule="auto"/>
        <w:ind w:firstLine="643" w:firstLineChars="200"/>
        <w:jc w:val="left"/>
        <w:rPr>
          <w:rFonts w:hint="eastAsia" w:ascii="楷体" w:hAnsi="楷体" w:eastAsia="楷体" w:cs="楷体"/>
          <w:b/>
          <w:bCs/>
          <w:i w:val="0"/>
          <w:iCs w:val="0"/>
          <w:caps w:val="0"/>
          <w:color w:val="444444"/>
          <w:spacing w:val="0"/>
          <w:sz w:val="32"/>
          <w:szCs w:val="32"/>
          <w:shd w:val="clear" w:fill="FFFFFF"/>
          <w:lang w:val="en-US" w:eastAsia="zh-CN"/>
        </w:rPr>
      </w:pPr>
      <w:r>
        <w:rPr>
          <w:rFonts w:hint="eastAsia" w:ascii="楷体" w:hAnsi="楷体" w:eastAsia="楷体" w:cs="楷体"/>
          <w:b/>
          <w:bCs/>
          <w:i w:val="0"/>
          <w:iCs w:val="0"/>
          <w:caps w:val="0"/>
          <w:color w:val="444444"/>
          <w:spacing w:val="0"/>
          <w:sz w:val="32"/>
          <w:szCs w:val="32"/>
          <w:shd w:val="clear" w:fill="FFFFFF"/>
          <w:lang w:val="en-US" w:eastAsia="zh-CN"/>
        </w:rPr>
        <w:t>（一）主要绩效指标完成情况</w:t>
      </w:r>
    </w:p>
    <w:p>
      <w:pPr>
        <w:pStyle w:val="2"/>
        <w:numPr>
          <w:ilvl w:val="0"/>
          <w:numId w:val="0"/>
        </w:numPr>
        <w:ind w:firstLine="640" w:firstLineChars="200"/>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rPr>
        <w:t>1、预算执行情况。</w:t>
      </w:r>
      <w:r>
        <w:rPr>
          <w:rFonts w:hint="eastAsia" w:ascii="Times New Roman Regular" w:hAnsi="Times New Roman Regular" w:eastAsia="仿宋_GB2312" w:cs="Times New Roman Regular"/>
          <w:sz w:val="32"/>
          <w:szCs w:val="32"/>
          <w:lang w:eastAsia="zh-CN"/>
        </w:rPr>
        <w:t>（</w:t>
      </w:r>
      <w:r>
        <w:rPr>
          <w:rFonts w:hint="eastAsia" w:ascii="Times New Roman Regular" w:hAnsi="Times New Roman Regular" w:eastAsia="仿宋_GB2312" w:cs="Times New Roman Regular"/>
          <w:sz w:val="32"/>
          <w:szCs w:val="32"/>
          <w:lang w:val="en-US" w:eastAsia="zh-CN"/>
        </w:rPr>
        <w:t>1）2022年财政拨款预算执行数791.01万元，预算安排数791.01万元，预算执行率为100%；（2）公用经费预算14.53万元，实际支出14.53万元；（3）“三公经费”年初预算安排0.3万元，实际支出0万元。</w:t>
      </w:r>
    </w:p>
    <w:p>
      <w:pPr>
        <w:pStyle w:val="2"/>
        <w:numPr>
          <w:ilvl w:val="0"/>
          <w:numId w:val="0"/>
        </w:numPr>
        <w:ind w:firstLine="640" w:firstLineChars="200"/>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rPr>
        <w:t>2、预决算信息公开情况。</w:t>
      </w:r>
      <w:r>
        <w:rPr>
          <w:rFonts w:hint="eastAsia" w:ascii="Times New Roman Regular" w:hAnsi="Times New Roman Regular" w:eastAsia="仿宋_GB2312" w:cs="Times New Roman Regular"/>
          <w:sz w:val="32"/>
          <w:szCs w:val="32"/>
          <w:lang w:eastAsia="zh-CN"/>
        </w:rPr>
        <w:t>我局</w:t>
      </w:r>
      <w:r>
        <w:rPr>
          <w:rFonts w:hint="eastAsia" w:ascii="Times New Roman Regular" w:hAnsi="Times New Roman Regular" w:eastAsia="仿宋_GB2312" w:cs="Times New Roman Regular"/>
          <w:sz w:val="32"/>
          <w:szCs w:val="32"/>
          <w:lang w:val="en-US" w:eastAsia="zh-CN"/>
        </w:rPr>
        <w:t>及时在区政府统一平台公开了部门预算、决算和绩效目标、绩效自评报告、“三公经费”等信息，接受群众和社会监督。</w:t>
      </w:r>
    </w:p>
    <w:p>
      <w:pPr>
        <w:pStyle w:val="2"/>
        <w:numPr>
          <w:ilvl w:val="0"/>
          <w:numId w:val="0"/>
        </w:numPr>
        <w:ind w:firstLine="640" w:firstLineChars="200"/>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3</w:t>
      </w:r>
      <w:r>
        <w:rPr>
          <w:rFonts w:hint="eastAsia" w:ascii="Times New Roman Regular" w:hAnsi="Times New Roman Regular" w:eastAsia="仿宋_GB2312" w:cs="Times New Roman Regular"/>
          <w:sz w:val="32"/>
          <w:szCs w:val="32"/>
        </w:rPr>
        <w:t>、资产管理情况。</w:t>
      </w:r>
      <w:r>
        <w:rPr>
          <w:rFonts w:hint="eastAsia" w:ascii="Times New Roman Regular" w:hAnsi="Times New Roman Regular" w:eastAsia="仿宋_GB2312" w:cs="Times New Roman Regular"/>
          <w:sz w:val="32"/>
          <w:szCs w:val="32"/>
          <w:lang w:val="en-US" w:eastAsia="zh-CN"/>
        </w:rPr>
        <w:t>截止2022年12月31日，</w:t>
      </w:r>
      <w:r>
        <w:rPr>
          <w:rFonts w:hint="eastAsia" w:ascii="Times New Roman Regular" w:hAnsi="Times New Roman Regular" w:eastAsia="仿宋_GB2312" w:cs="Times New Roman Regular"/>
          <w:sz w:val="32"/>
          <w:szCs w:val="32"/>
          <w:lang w:eastAsia="zh-CN"/>
        </w:rPr>
        <w:t>我局</w:t>
      </w:r>
      <w:r>
        <w:rPr>
          <w:rFonts w:hint="eastAsia" w:ascii="Times New Roman Regular" w:hAnsi="Times New Roman Regular" w:eastAsia="仿宋_GB2312" w:cs="Times New Roman Regular"/>
          <w:sz w:val="32"/>
          <w:szCs w:val="32"/>
          <w:lang w:val="en-US" w:eastAsia="zh-CN"/>
        </w:rPr>
        <w:t>拥有各类资产总额19.88万元，其中流动资产0.36万元，非流动资产19.52万元。单位为加强资产管理，内部制定了资产管理制度，对各类资产的购置、保管、使用、报废、处置等方面都作出了明确的规定，制度要求所有办公设备（含办公用品）的添置，先由各股室提出申请，经业务分管领导审核同意后，再由办公室及时采购并建立固定资产实物登记台账，工作人员异动，必须及时办理固定资产移交手续，不得侵占和擅自带走，各股室不得擅自购买任何办公用品和设备，否则不予报销。</w:t>
      </w:r>
    </w:p>
    <w:p>
      <w:pPr>
        <w:pStyle w:val="2"/>
        <w:numPr>
          <w:ilvl w:val="0"/>
          <w:numId w:val="0"/>
        </w:numPr>
        <w:ind w:firstLine="643" w:firstLineChars="200"/>
        <w:rPr>
          <w:rFonts w:hint="eastAsia" w:ascii="楷体" w:hAnsi="楷体" w:eastAsia="楷体" w:cs="楷体"/>
          <w:b/>
          <w:bCs/>
          <w:i w:val="0"/>
          <w:iCs w:val="0"/>
          <w:caps w:val="0"/>
          <w:color w:val="444444"/>
          <w:spacing w:val="0"/>
          <w:kern w:val="2"/>
          <w:sz w:val="32"/>
          <w:szCs w:val="32"/>
          <w:shd w:val="clear" w:fill="FFFFFF"/>
          <w:lang w:val="en-US" w:eastAsia="zh-CN" w:bidi="ar-SA"/>
        </w:rPr>
      </w:pPr>
      <w:r>
        <w:rPr>
          <w:rFonts w:hint="eastAsia" w:ascii="楷体" w:hAnsi="楷体" w:eastAsia="楷体" w:cs="楷体"/>
          <w:b/>
          <w:bCs/>
          <w:i w:val="0"/>
          <w:iCs w:val="0"/>
          <w:caps w:val="0"/>
          <w:color w:val="444444"/>
          <w:spacing w:val="0"/>
          <w:kern w:val="2"/>
          <w:sz w:val="32"/>
          <w:szCs w:val="32"/>
          <w:shd w:val="clear" w:fill="FFFFFF"/>
          <w:lang w:val="en-US" w:eastAsia="zh-CN" w:bidi="ar-SA"/>
        </w:rPr>
        <w:t>（二）职责覆行和主要绩效情况</w:t>
      </w:r>
    </w:p>
    <w:p>
      <w:pPr>
        <w:pStyle w:val="2"/>
        <w:numPr>
          <w:ilvl w:val="0"/>
          <w:numId w:val="0"/>
        </w:numPr>
        <w:ind w:firstLine="640" w:firstLineChars="200"/>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2022年，我局充分履行职责职能，严格执行各项管理制度，经济、社会等效益显著、社会公众满意度上升，较好地完成了全年工作目标(内容涉密，不予公开）。</w:t>
      </w:r>
    </w:p>
    <w:p>
      <w:pPr>
        <w:pStyle w:val="2"/>
        <w:numPr>
          <w:ilvl w:val="0"/>
          <w:numId w:val="3"/>
        </w:numPr>
        <w:ind w:firstLine="640" w:firstLineChars="200"/>
        <w:rPr>
          <w:rFonts w:hint="eastAsia" w:ascii="Times New Roman Regular" w:hAnsi="Times New Roman Regular" w:eastAsia="仿宋_GB2312" w:cs="Times New Roman Regular"/>
          <w:sz w:val="32"/>
          <w:szCs w:val="32"/>
          <w:lang w:val="en-US" w:eastAsia="zh-CN"/>
        </w:rPr>
      </w:pPr>
      <w:r>
        <w:rPr>
          <w:rFonts w:hint="eastAsia" w:ascii="黑体" w:hAnsi="黑体" w:eastAsia="黑体" w:cs="黑体"/>
          <w:sz w:val="32"/>
          <w:szCs w:val="32"/>
          <w:lang w:val="en-US" w:eastAsia="zh-CN"/>
        </w:rPr>
        <w:t>存在的问题及原因分析</w:t>
      </w:r>
    </w:p>
    <w:p>
      <w:pPr>
        <w:pStyle w:val="2"/>
        <w:numPr>
          <w:ilvl w:val="0"/>
          <w:numId w:val="0"/>
        </w:numPr>
        <w:ind w:firstLine="640" w:firstLineChars="200"/>
        <w:rPr>
          <w:rFonts w:hint="eastAsia" w:ascii="Times New Roman Regular" w:hAnsi="Times New Roman Regular" w:eastAsia="仿宋_GB2312" w:cs="Times New Roman Regular"/>
          <w:kern w:val="2"/>
          <w:sz w:val="32"/>
          <w:szCs w:val="32"/>
          <w:lang w:val="en-US" w:eastAsia="zh-CN" w:bidi="ar-SA"/>
        </w:rPr>
      </w:pPr>
      <w:r>
        <w:rPr>
          <w:rFonts w:hint="eastAsia" w:ascii="Times New Roman Regular" w:hAnsi="Times New Roman Regular" w:eastAsia="仿宋_GB2312" w:cs="Times New Roman Regular"/>
          <w:kern w:val="2"/>
          <w:sz w:val="32"/>
          <w:szCs w:val="32"/>
          <w:lang w:val="en-US" w:eastAsia="zh-CN" w:bidi="ar-SA"/>
        </w:rPr>
        <w:t>（一）年初预算编制时部分项目涉及的人员和标准不确定，造成年中追加预算时占比高。</w:t>
      </w:r>
    </w:p>
    <w:p>
      <w:pPr>
        <w:pStyle w:val="2"/>
        <w:numPr>
          <w:ilvl w:val="0"/>
          <w:numId w:val="0"/>
        </w:numPr>
        <w:ind w:firstLine="640" w:firstLineChars="200"/>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kern w:val="2"/>
          <w:sz w:val="32"/>
          <w:szCs w:val="32"/>
          <w:lang w:val="en-US" w:eastAsia="zh-CN" w:bidi="ar-SA"/>
        </w:rPr>
        <w:t>（二）单位相关人员缺乏系统的培训，业务操作水平有限。</w:t>
      </w:r>
    </w:p>
    <w:p>
      <w:pPr>
        <w:pStyle w:val="2"/>
        <w:numPr>
          <w:ilvl w:val="0"/>
          <w:numId w:val="3"/>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改进措施及有关建议</w:t>
      </w:r>
    </w:p>
    <w:p>
      <w:pPr>
        <w:pStyle w:val="2"/>
        <w:numPr>
          <w:ilvl w:val="0"/>
          <w:numId w:val="0"/>
        </w:numPr>
        <w:ind w:firstLine="640" w:firstLineChars="200"/>
        <w:rPr>
          <w:rFonts w:hint="eastAsia" w:ascii="Times New Roman Regular" w:hAnsi="Times New Roman Regular" w:eastAsia="仿宋_GB2312" w:cs="Times New Roman Regular"/>
          <w:kern w:val="2"/>
          <w:sz w:val="32"/>
          <w:szCs w:val="32"/>
          <w:lang w:val="en-US" w:eastAsia="zh-CN" w:bidi="ar-SA"/>
        </w:rPr>
      </w:pPr>
      <w:r>
        <w:rPr>
          <w:rFonts w:hint="eastAsia" w:ascii="Times New Roman Regular" w:hAnsi="Times New Roman Regular" w:eastAsia="仿宋_GB2312" w:cs="Times New Roman Regular"/>
          <w:kern w:val="2"/>
          <w:sz w:val="32"/>
          <w:szCs w:val="32"/>
          <w:lang w:val="en-US" w:eastAsia="zh-CN" w:bidi="ar-SA"/>
        </w:rPr>
        <w:t>（一）严格落实有关要求，加强内控管理。进一步强化财务审核和监督，不断提高部门财务管理的规范化和标准化建设水平。</w:t>
      </w:r>
    </w:p>
    <w:p>
      <w:pPr>
        <w:pStyle w:val="2"/>
        <w:numPr>
          <w:ilvl w:val="0"/>
          <w:numId w:val="0"/>
        </w:numPr>
        <w:ind w:firstLine="640" w:firstLineChars="200"/>
        <w:rPr>
          <w:rFonts w:hint="eastAsia" w:ascii="Times New Roman Regular" w:hAnsi="Times New Roman Regular" w:eastAsia="仿宋_GB2312" w:cs="Times New Roman Regular"/>
          <w:kern w:val="2"/>
          <w:sz w:val="32"/>
          <w:szCs w:val="32"/>
          <w:lang w:val="en-US" w:eastAsia="zh-CN" w:bidi="ar-SA"/>
        </w:rPr>
      </w:pPr>
      <w:r>
        <w:rPr>
          <w:rFonts w:hint="eastAsia" w:ascii="Times New Roman Regular" w:hAnsi="Times New Roman Regular" w:eastAsia="仿宋_GB2312" w:cs="Times New Roman Regular"/>
          <w:kern w:val="2"/>
          <w:sz w:val="32"/>
          <w:szCs w:val="32"/>
          <w:lang w:val="en-US" w:eastAsia="zh-CN" w:bidi="ar-SA"/>
        </w:rPr>
        <w:t>（二）加强政策学习，提高思想认识。组织相关人员认真学习《会计法》、《预算法》等相关法规、制度，提高业务人员的业务水平及思想认识，为绩效评价工作夯实基础。</w:t>
      </w: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90</w:t>
            </w:r>
          </w:p>
        </w:tc>
      </w:tr>
    </w:tbl>
    <w:p>
      <w:pPr>
        <w:pStyle w:val="2"/>
        <w:numPr>
          <w:ilvl w:val="0"/>
          <w:numId w:val="0"/>
        </w:numPr>
        <w:ind w:firstLine="640" w:firstLineChars="200"/>
        <w:rPr>
          <w:rFonts w:hint="default" w:ascii="Times New Roman Regular" w:hAnsi="Times New Roman Regular" w:eastAsia="仿宋_GB2312" w:cs="Times New Roman Regular"/>
          <w:kern w:val="2"/>
          <w:sz w:val="32"/>
          <w:szCs w:val="32"/>
          <w:lang w:val="en-US" w:eastAsia="zh-CN" w:bidi="ar-SA"/>
        </w:rPr>
      </w:pPr>
      <w:bookmarkStart w:id="1" w:name="_GoBack"/>
      <w:bookmarkEnd w:id="1"/>
    </w:p>
    <w:p>
      <w:pPr>
        <w:pStyle w:val="2"/>
        <w:numPr>
          <w:ilvl w:val="0"/>
          <w:numId w:val="0"/>
        </w:numPr>
        <w:ind w:leftChars="200"/>
        <w:rPr>
          <w:rFonts w:hint="eastAsia" w:ascii="Times New Roman Regular" w:hAnsi="Times New Roman Regular" w:eastAsia="仿宋_GB2312" w:cs="Times New Roman Regular"/>
          <w:sz w:val="32"/>
          <w:szCs w:val="32"/>
          <w:lang w:val="en-US" w:eastAsia="zh-CN"/>
        </w:rPr>
      </w:pPr>
    </w:p>
    <w:p>
      <w:pPr>
        <w:pStyle w:val="2"/>
        <w:numPr>
          <w:ilvl w:val="0"/>
          <w:numId w:val="0"/>
        </w:numPr>
        <w:ind w:firstLine="640" w:firstLineChars="200"/>
        <w:rPr>
          <w:rFonts w:hint="eastAsia" w:ascii="Times New Roman Regular" w:hAnsi="Times New Roman Regular" w:eastAsia="仿宋_GB2312" w:cs="Times New Roman Regular"/>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 w:name="仿宋_GB2312">
    <w:altName w:val="仿宋"/>
    <w:panose1 w:val="02010609030101010101"/>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12E91"/>
    <w:multiLevelType w:val="singleLevel"/>
    <w:tmpl w:val="F2E12E91"/>
    <w:lvl w:ilvl="0" w:tentative="0">
      <w:start w:val="4"/>
      <w:numFmt w:val="chineseCounting"/>
      <w:suff w:val="nothing"/>
      <w:lvlText w:val="%1、"/>
      <w:lvlJc w:val="left"/>
      <w:rPr>
        <w:rFonts w:hint="eastAsia" w:ascii="黑体" w:hAnsi="黑体" w:eastAsia="黑体" w:cs="黑体"/>
      </w:rPr>
    </w:lvl>
  </w:abstractNum>
  <w:abstractNum w:abstractNumId="1">
    <w:nsid w:val="06C73EE9"/>
    <w:multiLevelType w:val="singleLevel"/>
    <w:tmpl w:val="06C73EE9"/>
    <w:lvl w:ilvl="0" w:tentative="0">
      <w:start w:val="2"/>
      <w:numFmt w:val="chineseCounting"/>
      <w:suff w:val="nothing"/>
      <w:lvlText w:val="（%1）"/>
      <w:lvlJc w:val="left"/>
      <w:rPr>
        <w:rFonts w:hint="eastAsia"/>
        <w:b/>
        <w:bCs/>
      </w:rPr>
    </w:lvl>
  </w:abstractNum>
  <w:abstractNum w:abstractNumId="2">
    <w:nsid w:val="405978F6"/>
    <w:multiLevelType w:val="singleLevel"/>
    <w:tmpl w:val="405978F6"/>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1C048E"/>
    <w:rsid w:val="00554C33"/>
    <w:rsid w:val="00D51644"/>
    <w:rsid w:val="01FE6787"/>
    <w:rsid w:val="025D08EA"/>
    <w:rsid w:val="02866093"/>
    <w:rsid w:val="02A74CAA"/>
    <w:rsid w:val="039D6C50"/>
    <w:rsid w:val="04F5083C"/>
    <w:rsid w:val="05213482"/>
    <w:rsid w:val="058E4B77"/>
    <w:rsid w:val="073F2CB4"/>
    <w:rsid w:val="082A6897"/>
    <w:rsid w:val="086664DC"/>
    <w:rsid w:val="086D46C2"/>
    <w:rsid w:val="09482920"/>
    <w:rsid w:val="09AD66F7"/>
    <w:rsid w:val="09E17252"/>
    <w:rsid w:val="0AEA10B6"/>
    <w:rsid w:val="0D046532"/>
    <w:rsid w:val="0D5E3707"/>
    <w:rsid w:val="0E0662D9"/>
    <w:rsid w:val="0E122ED0"/>
    <w:rsid w:val="0F205179"/>
    <w:rsid w:val="10442F3F"/>
    <w:rsid w:val="10A5002C"/>
    <w:rsid w:val="11E84674"/>
    <w:rsid w:val="12107F7D"/>
    <w:rsid w:val="123C2565"/>
    <w:rsid w:val="126C42B4"/>
    <w:rsid w:val="13433B2C"/>
    <w:rsid w:val="13B80076"/>
    <w:rsid w:val="14C74526"/>
    <w:rsid w:val="150D2643"/>
    <w:rsid w:val="163559AE"/>
    <w:rsid w:val="17042185"/>
    <w:rsid w:val="17EA27C8"/>
    <w:rsid w:val="1C4E77C9"/>
    <w:rsid w:val="1C8A6328"/>
    <w:rsid w:val="1DE901C3"/>
    <w:rsid w:val="1F010C8F"/>
    <w:rsid w:val="20F3093F"/>
    <w:rsid w:val="20F63895"/>
    <w:rsid w:val="22645B7F"/>
    <w:rsid w:val="22CF0F38"/>
    <w:rsid w:val="25ED4737"/>
    <w:rsid w:val="26166273"/>
    <w:rsid w:val="26E72CF4"/>
    <w:rsid w:val="275E288B"/>
    <w:rsid w:val="2B032004"/>
    <w:rsid w:val="2B204A27"/>
    <w:rsid w:val="2BA0145D"/>
    <w:rsid w:val="2C7529D1"/>
    <w:rsid w:val="2D2D1547"/>
    <w:rsid w:val="2D6C05C8"/>
    <w:rsid w:val="301D1535"/>
    <w:rsid w:val="304112CF"/>
    <w:rsid w:val="31DD71CE"/>
    <w:rsid w:val="332D7CE1"/>
    <w:rsid w:val="33686F6B"/>
    <w:rsid w:val="343D03F7"/>
    <w:rsid w:val="34DA5C46"/>
    <w:rsid w:val="3619015E"/>
    <w:rsid w:val="36E22B02"/>
    <w:rsid w:val="37A26170"/>
    <w:rsid w:val="38175C7C"/>
    <w:rsid w:val="397B72CC"/>
    <w:rsid w:val="3B9303B2"/>
    <w:rsid w:val="3C8416D7"/>
    <w:rsid w:val="3FAB09ED"/>
    <w:rsid w:val="41036525"/>
    <w:rsid w:val="438A6A89"/>
    <w:rsid w:val="443F1622"/>
    <w:rsid w:val="44AF5D78"/>
    <w:rsid w:val="45833892"/>
    <w:rsid w:val="45CB4E15"/>
    <w:rsid w:val="47A125F4"/>
    <w:rsid w:val="495C7DBF"/>
    <w:rsid w:val="4ACA7AAB"/>
    <w:rsid w:val="4B6456E7"/>
    <w:rsid w:val="4B991F60"/>
    <w:rsid w:val="4C942727"/>
    <w:rsid w:val="4D113C42"/>
    <w:rsid w:val="4D445EFB"/>
    <w:rsid w:val="4DCB31C0"/>
    <w:rsid w:val="4E4B32B9"/>
    <w:rsid w:val="4E58558A"/>
    <w:rsid w:val="4F3501F1"/>
    <w:rsid w:val="4F9A02E6"/>
    <w:rsid w:val="51037E7B"/>
    <w:rsid w:val="5187285A"/>
    <w:rsid w:val="52C04276"/>
    <w:rsid w:val="53001E89"/>
    <w:rsid w:val="53202F66"/>
    <w:rsid w:val="54A84FC1"/>
    <w:rsid w:val="55C776C9"/>
    <w:rsid w:val="57364B06"/>
    <w:rsid w:val="575435C3"/>
    <w:rsid w:val="58CA4CA4"/>
    <w:rsid w:val="59A70B1E"/>
    <w:rsid w:val="59E60318"/>
    <w:rsid w:val="5B4F4DC2"/>
    <w:rsid w:val="5BD3501A"/>
    <w:rsid w:val="5BDE60F3"/>
    <w:rsid w:val="5CBC5F90"/>
    <w:rsid w:val="5CBE4789"/>
    <w:rsid w:val="5D48293D"/>
    <w:rsid w:val="5E6D1153"/>
    <w:rsid w:val="5EB62E2C"/>
    <w:rsid w:val="5F83500A"/>
    <w:rsid w:val="604007A4"/>
    <w:rsid w:val="60745B56"/>
    <w:rsid w:val="619C1A0A"/>
    <w:rsid w:val="627C183B"/>
    <w:rsid w:val="63770981"/>
    <w:rsid w:val="641F097E"/>
    <w:rsid w:val="65236940"/>
    <w:rsid w:val="654B0B50"/>
    <w:rsid w:val="664A41B0"/>
    <w:rsid w:val="66A001EE"/>
    <w:rsid w:val="66D16D4F"/>
    <w:rsid w:val="66FE6113"/>
    <w:rsid w:val="67966EFB"/>
    <w:rsid w:val="6804655B"/>
    <w:rsid w:val="682E2C89"/>
    <w:rsid w:val="69E77EE2"/>
    <w:rsid w:val="6B874FA2"/>
    <w:rsid w:val="6D711FE3"/>
    <w:rsid w:val="6FD52562"/>
    <w:rsid w:val="704A0329"/>
    <w:rsid w:val="70514092"/>
    <w:rsid w:val="70793363"/>
    <w:rsid w:val="70852420"/>
    <w:rsid w:val="72B55021"/>
    <w:rsid w:val="73125FD0"/>
    <w:rsid w:val="74F65FDA"/>
    <w:rsid w:val="75B90843"/>
    <w:rsid w:val="75F776FF"/>
    <w:rsid w:val="767F69D7"/>
    <w:rsid w:val="76DC35F5"/>
    <w:rsid w:val="7832658D"/>
    <w:rsid w:val="79074D5F"/>
    <w:rsid w:val="7AF745AA"/>
    <w:rsid w:val="7AFB1A3F"/>
    <w:rsid w:val="7B0D52CF"/>
    <w:rsid w:val="7B7315D6"/>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toc 1"/>
    <w:basedOn w:val="1"/>
    <w:next w:val="1"/>
    <w:qFormat/>
    <w:uiPriority w:val="0"/>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1996</Words>
  <Characters>2160</Characters>
  <Lines>0</Lines>
  <Paragraphs>0</Paragraphs>
  <TotalTime>0</TotalTime>
  <ScaleCrop>false</ScaleCrop>
  <LinksUpToDate>false</LinksUpToDate>
  <CharactersWithSpaces>2169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cp:lastPrinted>2023-09-26T07:21:00Z</cp:lastPrinted>
  <dcterms:modified xsi:type="dcterms:W3CDTF">2023-12-13T09:24:22Z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940B8059199B4A289414AF523A65E0B0_13</vt:lpwstr>
  </property>
</Properties>
</file>