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第五部分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r>
        <w:rPr>
          <w:rFonts w:hint="default" w:ascii="Times New Roman" w:hAnsi="Times New Roman" w:eastAsia="微软雅黑" w:cs="Times New Roman"/>
          <w:b/>
          <w:bCs/>
          <w:color w:val="444444"/>
          <w:sz w:val="28"/>
          <w:szCs w:val="28"/>
          <w:shd w:val="clear" w:fill="FFFFFF"/>
        </w:rPr>
        <w:t>2021</w:t>
      </w:r>
      <w:r>
        <w:rPr>
          <w:rFonts w:hint="eastAsia" w:ascii="宋体" w:hAnsi="宋体" w:eastAsia="宋体" w:cs="宋体"/>
          <w:b/>
          <w:bCs/>
          <w:color w:val="444444"/>
          <w:sz w:val="28"/>
          <w:szCs w:val="28"/>
          <w:shd w:val="clear" w:fill="FFFFFF"/>
        </w:rPr>
        <w:t>年度部门整体支出绩效评价报告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一、部门概况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（一）基本情况。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北塔区退役军人事务局是区政府工作部门，为全额财政拨款行政单位。</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主要职能。</w:t>
      </w:r>
    </w:p>
    <w:p>
      <w:pPr>
        <w:keepNext w:val="0"/>
        <w:keepLines w:val="0"/>
        <w:widowControl/>
        <w:suppressLineNumbers w:val="0"/>
        <w:shd w:val="clear" w:color="auto" w:fill="FFFFFF"/>
        <w:spacing w:before="100" w:beforeAutospacing="1" w:after="100" w:afterAutospacing="1" w:line="480" w:lineRule="atLeast"/>
        <w:ind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1）贯彻执行党和国家、省、市关于退役军人思想政治、管理保障和安置优抚等工作政策法规，拟订全区退役军人事务发展规划和政策，并组织实施；褒扬彰显退役军人为党、国家和人民牺牲奉献的精神风范和价值导向。</w:t>
      </w:r>
    </w:p>
    <w:p>
      <w:pPr>
        <w:keepNext w:val="0"/>
        <w:keepLines w:val="0"/>
        <w:widowControl/>
        <w:suppressLineNumbers w:val="0"/>
        <w:shd w:val="clear" w:color="auto" w:fill="FFFFFF"/>
        <w:spacing w:before="100" w:beforeAutospacing="1" w:after="100" w:afterAutospacing="1" w:line="480" w:lineRule="atLeast"/>
        <w:ind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（2）负责全区军队转业干部、复员干部、离休退休干部、退役士兵和无军籍退休退职职工的移交安置工作和自主择业、就业退役军人服务管理工作。</w:t>
      </w:r>
    </w:p>
    <w:p>
      <w:pPr>
        <w:keepNext w:val="0"/>
        <w:keepLines w:val="0"/>
        <w:widowControl/>
        <w:suppressLineNumbers w:val="0"/>
        <w:shd w:val="clear" w:color="auto" w:fill="FFFFFF"/>
        <w:spacing w:before="100" w:beforeAutospacing="1" w:after="100" w:afterAutospacing="1" w:line="480" w:lineRule="atLeast"/>
        <w:ind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（3）组织指导全区退役军人教育培训工作，协调扶持退役军人和随军随调家属就业创业。</w:t>
      </w:r>
    </w:p>
    <w:p>
      <w:pPr>
        <w:keepNext w:val="0"/>
        <w:keepLines w:val="0"/>
        <w:widowControl/>
        <w:suppressLineNumbers w:val="0"/>
        <w:shd w:val="clear" w:color="auto" w:fill="FFFFFF"/>
        <w:spacing w:before="100" w:beforeAutospacing="1" w:after="100" w:afterAutospacing="1" w:line="480" w:lineRule="atLeast"/>
        <w:ind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（4）贯彻落实国家关于退役军人的特殊保障政策，会同有关部门制定相关政策，并组织实施。</w:t>
      </w:r>
    </w:p>
    <w:p>
      <w:pPr>
        <w:keepNext w:val="0"/>
        <w:keepLines w:val="0"/>
        <w:widowControl/>
        <w:suppressLineNumbers w:val="0"/>
        <w:shd w:val="clear" w:color="auto" w:fill="FFFFFF"/>
        <w:spacing w:before="100" w:beforeAutospacing="1" w:after="100" w:afterAutospacing="1" w:line="480" w:lineRule="atLeast"/>
        <w:ind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（5）组织协调落实全区移交地方的离休退休军人、符合条件的其他退役军人和无军籍退休退职职工的住房保障工作，以及退役军人医疗保障、社会保险等待遇保障工作。</w:t>
      </w:r>
    </w:p>
    <w:p>
      <w:pPr>
        <w:keepNext w:val="0"/>
        <w:keepLines w:val="0"/>
        <w:widowControl/>
        <w:suppressLineNumbers w:val="0"/>
        <w:shd w:val="clear" w:color="auto" w:fill="FFFFFF"/>
        <w:spacing w:before="100" w:beforeAutospacing="1" w:after="100" w:afterAutospacing="1" w:line="480" w:lineRule="atLeast"/>
        <w:ind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6）组织指导全区伤病残退役军人服务管理和抚恤工作，贯彻落实有关退役军人医疗、疗养、养老等机构的规划政策并指导实施。承担全区不适宜继续服役的伤病残军人相关工作。组织指导全区军供服务保障工作。</w:t>
      </w:r>
    </w:p>
    <w:p>
      <w:pPr>
        <w:keepNext w:val="0"/>
        <w:keepLines w:val="0"/>
        <w:widowControl/>
        <w:suppressLineNumbers w:val="0"/>
        <w:shd w:val="clear" w:color="auto" w:fill="FFFFFF"/>
        <w:spacing w:before="100" w:beforeAutospacing="1" w:after="100" w:afterAutospacing="1" w:line="480" w:lineRule="atLeast"/>
        <w:ind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（7）组织指导全区拥军优属工作。负责全区现役军人、退役军人、军队文职人员和军属优待、抚恤等工作；贯彻执行国家关于国民党抗战老兵等有关人员优待政策并指导实施。</w:t>
      </w:r>
    </w:p>
    <w:p>
      <w:pPr>
        <w:keepNext w:val="0"/>
        <w:keepLines w:val="0"/>
        <w:widowControl/>
        <w:suppressLineNumbers w:val="0"/>
        <w:shd w:val="clear" w:color="auto" w:fill="FFFFFF"/>
        <w:spacing w:before="100" w:beforeAutospacing="1" w:after="100" w:afterAutospacing="1" w:line="480" w:lineRule="atLeast"/>
        <w:ind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8）负责全区烈士及退役军人荣誉奖励、军人公墓管理维护、纪念活动等工作，依法承担英雄烈士保护相关工作，审核拟列入全区重点保护单位的烈士纪念建筑物名录，总结表彰和宣扬退役军人、退役军人工作单位和个人先进典型事迹。</w:t>
      </w:r>
    </w:p>
    <w:p>
      <w:pPr>
        <w:keepNext w:val="0"/>
        <w:keepLines w:val="0"/>
        <w:widowControl/>
        <w:suppressLineNumbers w:val="0"/>
        <w:shd w:val="clear" w:color="auto" w:fill="FFFFFF"/>
        <w:spacing w:before="100" w:beforeAutospacing="1" w:after="100" w:afterAutospacing="1" w:line="480" w:lineRule="atLeast"/>
        <w:ind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（9）指导并监督检查关于退役军人相关法律法规和政策措施的落实；开展全区退役军人权益维护和有关人员的帮扶援助工作。</w:t>
      </w:r>
    </w:p>
    <w:p>
      <w:pPr>
        <w:keepNext w:val="0"/>
        <w:keepLines w:val="0"/>
        <w:widowControl/>
        <w:suppressLineNumbers w:val="0"/>
        <w:shd w:val="clear" w:color="auto" w:fill="FFFFFF"/>
        <w:spacing w:before="100" w:beforeAutospacing="1" w:after="100" w:afterAutospacing="1" w:line="480" w:lineRule="atLeast"/>
        <w:ind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（10）完成区委、区政府交办的其他任务。</w:t>
      </w:r>
    </w:p>
    <w:p>
      <w:pPr>
        <w:keepNext w:val="0"/>
        <w:keepLines w:val="0"/>
        <w:widowControl/>
        <w:suppressLineNumbers w:val="0"/>
        <w:shd w:val="clear" w:color="auto" w:fill="FFFFFF"/>
        <w:spacing w:before="100" w:beforeAutospacing="1" w:after="100" w:afterAutospacing="1" w:line="480" w:lineRule="atLeast"/>
        <w:ind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bidi="ar-SA"/>
        </w:rPr>
        <w:t>（11）职能转变。区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2.机构情况。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eastAsia="zh-CN"/>
        </w:rPr>
        <w:t>我局</w:t>
      </w:r>
      <w:r>
        <w:rPr>
          <w:rFonts w:hint="eastAsia" w:ascii="宋体" w:hAnsi="宋体" w:eastAsia="宋体" w:cs="宋体"/>
          <w:color w:val="444444"/>
          <w:kern w:val="0"/>
          <w:sz w:val="28"/>
          <w:szCs w:val="28"/>
          <w:shd w:val="clear" w:fill="FFFFFF"/>
        </w:rPr>
        <w:t>内设2股1室及1个事业机构。2股1室分别为优抚拥军褒扬股、移交安置和就业创业股、办公室，1个事业机构为退役军人服务中心。</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leftChars="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人员情况。</w:t>
      </w:r>
    </w:p>
    <w:p>
      <w:pPr>
        <w:keepNext w:val="0"/>
        <w:keepLines w:val="0"/>
        <w:widowControl/>
        <w:suppressLineNumbers w:val="0"/>
        <w:shd w:val="clear" w:color="auto" w:fill="FFFFFF"/>
        <w:spacing w:before="100" w:beforeAutospacing="1" w:after="100" w:afterAutospacing="1" w:line="480" w:lineRule="atLeast"/>
        <w:ind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我局编制人数9人，实际人数11人（北塔区退役军人事务局编制人数4人，实际人数2人；北塔区退役军人服务中心编制人数5人，实际人数5人）；离退休0人，遗属补助人数0人，小车编制数0台。</w:t>
      </w:r>
    </w:p>
    <w:p>
      <w:pPr>
        <w:keepNext w:val="0"/>
        <w:keepLines w:val="0"/>
        <w:widowControl/>
        <w:suppressLineNumbers w:val="0"/>
        <w:shd w:val="clear" w:color="auto" w:fill="FFFFFF"/>
        <w:spacing w:before="100" w:beforeAutospacing="1" w:after="100" w:afterAutospacing="1" w:line="480" w:lineRule="atLeast"/>
        <w:ind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二、部门整体支出管理及使用情况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（一）基本支出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基本支出系保障我局机构正常运转、完成日常工作任务而发生的人员支出和公用支出，包括用于在职和离退休人员基本工资、津贴补贴等人员经费以及办公费、印刷费、水电费、办公设备购置等日常公用经费。2021年我局基本支出</w:t>
      </w:r>
      <w:r>
        <w:rPr>
          <w:rFonts w:hint="eastAsia" w:ascii="宋体" w:hAnsi="宋体" w:eastAsia="宋体" w:cs="宋体"/>
          <w:color w:val="444444"/>
          <w:kern w:val="0"/>
          <w:sz w:val="28"/>
          <w:szCs w:val="28"/>
          <w:shd w:val="clear" w:fill="FFFFFF"/>
          <w:lang w:val="en-US" w:eastAsia="zh-CN"/>
        </w:rPr>
        <w:t>111.65</w:t>
      </w:r>
      <w:r>
        <w:rPr>
          <w:rFonts w:hint="eastAsia" w:ascii="宋体" w:hAnsi="宋体" w:eastAsia="宋体" w:cs="宋体"/>
          <w:color w:val="444444"/>
          <w:kern w:val="0"/>
          <w:sz w:val="28"/>
          <w:szCs w:val="28"/>
          <w:shd w:val="clear" w:fill="FFFFFF"/>
        </w:rPr>
        <w:t>万元，比上年同口径</w:t>
      </w:r>
      <w:r>
        <w:rPr>
          <w:rFonts w:hint="eastAsia" w:ascii="宋体" w:hAnsi="宋体" w:eastAsia="宋体" w:cs="宋体"/>
          <w:color w:val="444444"/>
          <w:kern w:val="0"/>
          <w:sz w:val="28"/>
          <w:szCs w:val="28"/>
          <w:shd w:val="clear" w:fill="FFFFFF"/>
          <w:lang w:eastAsia="zh-CN"/>
        </w:rPr>
        <w:t>减少</w:t>
      </w:r>
      <w:r>
        <w:rPr>
          <w:rFonts w:hint="eastAsia" w:ascii="宋体" w:hAnsi="宋体" w:eastAsia="宋体" w:cs="宋体"/>
          <w:color w:val="444444"/>
          <w:kern w:val="0"/>
          <w:sz w:val="28"/>
          <w:szCs w:val="28"/>
          <w:shd w:val="clear" w:fill="FFFFFF"/>
          <w:lang w:val="en-US" w:eastAsia="zh-CN"/>
        </w:rPr>
        <w:t>624.78</w:t>
      </w:r>
      <w:r>
        <w:rPr>
          <w:rFonts w:hint="eastAsia" w:ascii="宋体" w:hAnsi="宋体" w:eastAsia="宋体" w:cs="宋体"/>
          <w:color w:val="444444"/>
          <w:kern w:val="0"/>
          <w:sz w:val="28"/>
          <w:szCs w:val="28"/>
          <w:shd w:val="clear" w:fill="FFFFFF"/>
        </w:rPr>
        <w:t>万元，</w:t>
      </w:r>
      <w:r>
        <w:rPr>
          <w:rFonts w:hint="eastAsia" w:ascii="宋体" w:hAnsi="宋体" w:eastAsia="宋体" w:cs="宋体"/>
          <w:color w:val="444444"/>
          <w:kern w:val="0"/>
          <w:sz w:val="28"/>
          <w:szCs w:val="28"/>
          <w:shd w:val="clear" w:fill="FFFFFF"/>
          <w:lang w:eastAsia="zh-CN"/>
        </w:rPr>
        <w:t>减少</w:t>
      </w:r>
      <w:r>
        <w:rPr>
          <w:rFonts w:hint="eastAsia" w:ascii="宋体" w:hAnsi="宋体" w:eastAsia="宋体" w:cs="宋体"/>
          <w:color w:val="444444"/>
          <w:kern w:val="0"/>
          <w:sz w:val="28"/>
          <w:szCs w:val="28"/>
          <w:shd w:val="clear" w:fill="FFFFFF"/>
          <w:lang w:val="en-US" w:eastAsia="zh-CN"/>
        </w:rPr>
        <w:t>84.84</w:t>
      </w:r>
      <w:r>
        <w:rPr>
          <w:rFonts w:hint="eastAsia" w:ascii="宋体" w:hAnsi="宋体" w:eastAsia="宋体" w:cs="宋体"/>
          <w:color w:val="444444"/>
          <w:kern w:val="0"/>
          <w:sz w:val="28"/>
          <w:szCs w:val="28"/>
          <w:shd w:val="clear" w:fill="FFFFFF"/>
        </w:rPr>
        <w:t>%。其中：工资福利支出</w:t>
      </w:r>
      <w:r>
        <w:rPr>
          <w:rFonts w:hint="eastAsia" w:ascii="宋体" w:hAnsi="宋体" w:eastAsia="宋体" w:cs="宋体"/>
          <w:color w:val="444444"/>
          <w:kern w:val="0"/>
          <w:sz w:val="28"/>
          <w:szCs w:val="28"/>
          <w:shd w:val="clear" w:fill="FFFFFF"/>
          <w:lang w:val="en-US" w:eastAsia="zh-CN"/>
        </w:rPr>
        <w:t>97.6</w:t>
      </w:r>
      <w:r>
        <w:rPr>
          <w:rFonts w:hint="eastAsia" w:ascii="宋体" w:hAnsi="宋体" w:eastAsia="宋体" w:cs="宋体"/>
          <w:color w:val="444444"/>
          <w:kern w:val="0"/>
          <w:sz w:val="28"/>
          <w:szCs w:val="28"/>
          <w:shd w:val="clear" w:fill="FFFFFF"/>
        </w:rPr>
        <w:t>万元，商品和服务支出</w:t>
      </w:r>
      <w:r>
        <w:rPr>
          <w:rFonts w:hint="eastAsia" w:ascii="宋体" w:hAnsi="宋体" w:eastAsia="宋体" w:cs="宋体"/>
          <w:color w:val="444444"/>
          <w:kern w:val="0"/>
          <w:sz w:val="28"/>
          <w:szCs w:val="28"/>
          <w:shd w:val="clear" w:fill="FFFFFF"/>
          <w:lang w:val="en-US" w:eastAsia="zh-CN"/>
        </w:rPr>
        <w:t>5.07</w:t>
      </w:r>
      <w:r>
        <w:rPr>
          <w:rFonts w:hint="eastAsia" w:ascii="宋体" w:hAnsi="宋体" w:eastAsia="宋体" w:cs="宋体"/>
          <w:color w:val="444444"/>
          <w:kern w:val="0"/>
          <w:sz w:val="28"/>
          <w:szCs w:val="28"/>
          <w:shd w:val="clear" w:fill="FFFFFF"/>
        </w:rPr>
        <w:t>万元，对个人和家庭的补助</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2021年“三公”经费实际开支总额</w:t>
      </w:r>
      <w:r>
        <w:rPr>
          <w:rFonts w:hint="eastAsia" w:ascii="宋体" w:hAnsi="宋体" w:eastAsia="宋体" w:cs="宋体"/>
          <w:color w:val="444444"/>
          <w:kern w:val="0"/>
          <w:sz w:val="28"/>
          <w:szCs w:val="28"/>
          <w:shd w:val="clear" w:fill="FFFFFF"/>
          <w:lang w:val="en-US" w:eastAsia="zh-CN"/>
        </w:rPr>
        <w:t>0.22</w:t>
      </w:r>
      <w:r>
        <w:rPr>
          <w:rFonts w:hint="eastAsia" w:ascii="宋体" w:hAnsi="宋体" w:eastAsia="宋体" w:cs="宋体"/>
          <w:color w:val="444444"/>
          <w:kern w:val="0"/>
          <w:sz w:val="28"/>
          <w:szCs w:val="28"/>
          <w:shd w:val="clear" w:fill="FFFFFF"/>
        </w:rPr>
        <w:t>万元。其中：因公出国（境）费支出本年未发生。公务用车购置及运行维护费实际开支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万元（公务用车购置费未发生，公务用车运行维护费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万元），公务用车保有量</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辆；公务接待费实际开支</w:t>
      </w:r>
      <w:r>
        <w:rPr>
          <w:rFonts w:hint="eastAsia" w:ascii="宋体" w:hAnsi="宋体" w:eastAsia="宋体" w:cs="宋体"/>
          <w:color w:val="444444"/>
          <w:kern w:val="0"/>
          <w:sz w:val="28"/>
          <w:szCs w:val="28"/>
          <w:shd w:val="clear" w:fill="FFFFFF"/>
          <w:lang w:val="en-US" w:eastAsia="zh-CN"/>
        </w:rPr>
        <w:t>0.22</w:t>
      </w:r>
      <w:r>
        <w:rPr>
          <w:rFonts w:hint="eastAsia" w:ascii="宋体" w:hAnsi="宋体" w:eastAsia="宋体" w:cs="宋体"/>
          <w:color w:val="444444"/>
          <w:kern w:val="0"/>
          <w:sz w:val="28"/>
          <w:szCs w:val="28"/>
          <w:shd w:val="clear" w:fill="FFFFFF"/>
        </w:rPr>
        <w:t>万元，公务接待</w:t>
      </w:r>
      <w:r>
        <w:rPr>
          <w:rFonts w:hint="eastAsia" w:ascii="宋体" w:hAnsi="宋体" w:eastAsia="宋体" w:cs="宋体"/>
          <w:color w:val="444444"/>
          <w:kern w:val="0"/>
          <w:sz w:val="28"/>
          <w:szCs w:val="28"/>
          <w:shd w:val="clear" w:fill="FFFFFF"/>
          <w:lang w:val="en-US" w:eastAsia="zh-CN"/>
        </w:rPr>
        <w:t>3</w:t>
      </w:r>
      <w:r>
        <w:rPr>
          <w:rFonts w:hint="eastAsia" w:ascii="宋体" w:hAnsi="宋体" w:eastAsia="宋体" w:cs="宋体"/>
          <w:color w:val="444444"/>
          <w:kern w:val="0"/>
          <w:sz w:val="28"/>
          <w:szCs w:val="28"/>
          <w:shd w:val="clear" w:fill="FFFFFF"/>
        </w:rPr>
        <w:t>批次</w:t>
      </w:r>
      <w:r>
        <w:rPr>
          <w:rFonts w:hint="eastAsia" w:ascii="宋体" w:hAnsi="宋体" w:eastAsia="宋体" w:cs="宋体"/>
          <w:color w:val="444444"/>
          <w:kern w:val="0"/>
          <w:sz w:val="28"/>
          <w:szCs w:val="28"/>
          <w:shd w:val="clear" w:fill="FFFFFF"/>
          <w:lang w:val="en-US" w:eastAsia="zh-CN"/>
        </w:rPr>
        <w:t>14</w:t>
      </w:r>
      <w:r>
        <w:rPr>
          <w:rFonts w:hint="eastAsia" w:ascii="宋体" w:hAnsi="宋体" w:eastAsia="宋体" w:cs="宋体"/>
          <w:color w:val="444444"/>
          <w:kern w:val="0"/>
          <w:sz w:val="28"/>
          <w:szCs w:val="28"/>
          <w:shd w:val="clear" w:fill="FFFFFF"/>
        </w:rPr>
        <w:t>人次。2021年“三公”经费实际开支总额比2020年同口径减少</w:t>
      </w:r>
      <w:r>
        <w:rPr>
          <w:rFonts w:hint="eastAsia" w:ascii="宋体" w:hAnsi="宋体" w:eastAsia="宋体" w:cs="宋体"/>
          <w:color w:val="444444"/>
          <w:kern w:val="0"/>
          <w:sz w:val="28"/>
          <w:szCs w:val="28"/>
          <w:shd w:val="clear" w:fill="FFFFFF"/>
          <w:lang w:val="en-US" w:eastAsia="zh-CN"/>
        </w:rPr>
        <w:t>1.19</w:t>
      </w:r>
      <w:r>
        <w:rPr>
          <w:rFonts w:hint="eastAsia" w:ascii="宋体" w:hAnsi="宋体" w:eastAsia="宋体" w:cs="宋体"/>
          <w:color w:val="444444"/>
          <w:kern w:val="0"/>
          <w:sz w:val="28"/>
          <w:szCs w:val="28"/>
          <w:shd w:val="clear" w:fill="FFFFFF"/>
        </w:rPr>
        <w:t>万元，下降</w:t>
      </w:r>
      <w:r>
        <w:rPr>
          <w:rFonts w:hint="eastAsia" w:ascii="宋体" w:hAnsi="宋体" w:eastAsia="宋体" w:cs="宋体"/>
          <w:color w:val="444444"/>
          <w:kern w:val="0"/>
          <w:sz w:val="28"/>
          <w:szCs w:val="28"/>
          <w:shd w:val="clear" w:fill="FFFFFF"/>
          <w:lang w:val="en-US" w:eastAsia="zh-CN"/>
        </w:rPr>
        <w:t>84.4</w:t>
      </w:r>
      <w:r>
        <w:rPr>
          <w:rFonts w:hint="eastAsia" w:ascii="宋体" w:hAnsi="宋体" w:eastAsia="宋体" w:cs="宋体"/>
          <w:color w:val="444444"/>
          <w:kern w:val="0"/>
          <w:sz w:val="28"/>
          <w:szCs w:val="28"/>
          <w:shd w:val="clear" w:fill="FFFFFF"/>
        </w:rPr>
        <w:t>%</w:t>
      </w:r>
      <w:r>
        <w:rPr>
          <w:rFonts w:hint="eastAsia" w:ascii="宋体" w:hAnsi="宋体" w:eastAsia="宋体" w:cs="宋体"/>
          <w:color w:val="444444"/>
          <w:kern w:val="0"/>
          <w:sz w:val="28"/>
          <w:szCs w:val="28"/>
          <w:shd w:val="clear" w:fill="FFFFFF"/>
          <w:lang w:eastAsia="zh-CN"/>
        </w:rPr>
        <w:t>，</w:t>
      </w:r>
      <w:bookmarkStart w:id="1" w:name="_GoBack"/>
      <w:bookmarkEnd w:id="1"/>
      <w:r>
        <w:rPr>
          <w:rFonts w:hint="eastAsia" w:ascii="宋体" w:hAnsi="宋体" w:eastAsia="宋体" w:cs="宋体"/>
          <w:color w:val="444444"/>
          <w:kern w:val="0"/>
          <w:sz w:val="28"/>
          <w:szCs w:val="28"/>
          <w:shd w:val="clear" w:fill="FFFFFF"/>
        </w:rPr>
        <w:t>原因为</w:t>
      </w:r>
      <w:r>
        <w:rPr>
          <w:rFonts w:hint="eastAsia" w:ascii="宋体" w:hAnsi="宋体" w:eastAsia="宋体" w:cs="宋体"/>
          <w:color w:val="444444"/>
          <w:kern w:val="0"/>
          <w:sz w:val="28"/>
          <w:szCs w:val="28"/>
          <w:shd w:val="clear" w:fill="FFFFFF"/>
          <w:lang w:val="en-US" w:eastAsia="zh-CN"/>
        </w:rPr>
        <w:t>厉行节约</w:t>
      </w:r>
      <w:r>
        <w:rPr>
          <w:rFonts w:hint="eastAsia" w:ascii="宋体" w:hAnsi="宋体" w:eastAsia="宋体" w:cs="宋体"/>
          <w:color w:val="444444"/>
          <w:kern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（二）专项支出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项目支出系我局为完成</w:t>
      </w:r>
      <w:r>
        <w:rPr>
          <w:rFonts w:hint="eastAsia" w:ascii="宋体" w:hAnsi="宋体" w:eastAsia="宋体" w:cs="宋体"/>
          <w:color w:val="444444"/>
          <w:kern w:val="0"/>
          <w:sz w:val="28"/>
          <w:szCs w:val="28"/>
          <w:shd w:val="clear" w:fill="FFFFFF"/>
          <w:lang w:eastAsia="zh-CN"/>
        </w:rPr>
        <w:t>退役军人优抚</w:t>
      </w:r>
      <w:r>
        <w:rPr>
          <w:rFonts w:hint="eastAsia" w:ascii="宋体" w:hAnsi="宋体" w:eastAsia="宋体" w:cs="宋体"/>
          <w:color w:val="444444"/>
          <w:kern w:val="0"/>
          <w:sz w:val="28"/>
          <w:szCs w:val="28"/>
          <w:shd w:val="clear" w:fill="FFFFFF"/>
        </w:rPr>
        <w:t>工作而发生的支出。2021年我局组织实施专项项目经费当年实际收入</w:t>
      </w:r>
      <w:r>
        <w:rPr>
          <w:rFonts w:hint="eastAsia" w:ascii="宋体" w:hAnsi="宋体" w:eastAsia="宋体" w:cs="宋体"/>
          <w:color w:val="444444"/>
          <w:kern w:val="0"/>
          <w:sz w:val="28"/>
          <w:szCs w:val="28"/>
          <w:shd w:val="clear" w:fill="FFFFFF"/>
          <w:lang w:val="en-US" w:eastAsia="zh-CN"/>
        </w:rPr>
        <w:t>697.2</w:t>
      </w:r>
      <w:r>
        <w:rPr>
          <w:rFonts w:hint="eastAsia" w:ascii="宋体" w:hAnsi="宋体" w:eastAsia="宋体" w:cs="宋体"/>
          <w:color w:val="444444"/>
          <w:kern w:val="0"/>
          <w:sz w:val="28"/>
          <w:szCs w:val="28"/>
          <w:shd w:val="clear" w:fill="FFFFFF"/>
        </w:rPr>
        <w:t>万元，其中包括上年结转和结余</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万元，预算安排项目经费</w:t>
      </w:r>
      <w:r>
        <w:rPr>
          <w:rFonts w:hint="eastAsia" w:ascii="宋体" w:hAnsi="宋体" w:eastAsia="宋体" w:cs="宋体"/>
          <w:color w:val="444444"/>
          <w:kern w:val="0"/>
          <w:sz w:val="28"/>
          <w:szCs w:val="28"/>
          <w:shd w:val="clear" w:fill="FFFFFF"/>
          <w:lang w:val="en-US" w:eastAsia="zh-CN"/>
        </w:rPr>
        <w:t>697.2</w:t>
      </w:r>
      <w:r>
        <w:rPr>
          <w:rFonts w:hint="eastAsia" w:ascii="宋体" w:hAnsi="宋体" w:eastAsia="宋体" w:cs="宋体"/>
          <w:color w:val="444444"/>
          <w:kern w:val="0"/>
          <w:sz w:val="28"/>
          <w:szCs w:val="28"/>
          <w:shd w:val="clear" w:fill="FFFFFF"/>
        </w:rPr>
        <w:t>万元。项目支出</w:t>
      </w:r>
      <w:r>
        <w:rPr>
          <w:rFonts w:hint="eastAsia" w:ascii="宋体" w:hAnsi="宋体" w:eastAsia="宋体" w:cs="宋体"/>
          <w:color w:val="444444"/>
          <w:kern w:val="0"/>
          <w:sz w:val="28"/>
          <w:szCs w:val="28"/>
          <w:shd w:val="clear" w:fill="FFFFFF"/>
          <w:lang w:val="en-US" w:eastAsia="zh-CN"/>
        </w:rPr>
        <w:t>697.2</w:t>
      </w:r>
      <w:r>
        <w:rPr>
          <w:rFonts w:hint="eastAsia" w:ascii="宋体" w:hAnsi="宋体" w:eastAsia="宋体" w:cs="宋体"/>
          <w:color w:val="444444"/>
          <w:kern w:val="0"/>
          <w:sz w:val="28"/>
          <w:szCs w:val="28"/>
          <w:shd w:val="clear" w:fill="FFFFFF"/>
        </w:rPr>
        <w:t>万元（其中：商品和服务支出</w:t>
      </w:r>
      <w:r>
        <w:rPr>
          <w:rFonts w:hint="eastAsia" w:ascii="宋体" w:hAnsi="宋体" w:eastAsia="宋体" w:cs="宋体"/>
          <w:color w:val="444444"/>
          <w:kern w:val="0"/>
          <w:sz w:val="28"/>
          <w:szCs w:val="28"/>
          <w:shd w:val="clear" w:fill="FFFFFF"/>
          <w:lang w:val="en-US" w:eastAsia="zh-CN"/>
        </w:rPr>
        <w:t>173.98</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3.58</w:t>
      </w:r>
      <w:r>
        <w:rPr>
          <w:rFonts w:hint="eastAsia" w:ascii="宋体" w:hAnsi="宋体" w:eastAsia="宋体" w:cs="宋体"/>
          <w:color w:val="444444"/>
          <w:kern w:val="0"/>
          <w:sz w:val="28"/>
          <w:szCs w:val="28"/>
          <w:shd w:val="clear" w:fill="FFFFFF"/>
        </w:rPr>
        <w:t>万元），比上年同口径增加</w:t>
      </w:r>
      <w:r>
        <w:rPr>
          <w:rFonts w:hint="eastAsia" w:ascii="宋体" w:hAnsi="宋体" w:eastAsia="宋体" w:cs="宋体"/>
          <w:color w:val="444444"/>
          <w:kern w:val="0"/>
          <w:sz w:val="28"/>
          <w:szCs w:val="28"/>
          <w:shd w:val="clear" w:fill="FFFFFF"/>
          <w:lang w:val="en-US" w:eastAsia="zh-CN"/>
        </w:rPr>
        <w:t>697.2</w:t>
      </w:r>
      <w:r>
        <w:rPr>
          <w:rFonts w:hint="eastAsia" w:ascii="宋体" w:hAnsi="宋体" w:eastAsia="宋体" w:cs="宋体"/>
          <w:color w:val="444444"/>
          <w:kern w:val="0"/>
          <w:sz w:val="28"/>
          <w:szCs w:val="28"/>
          <w:shd w:val="clear" w:fill="FFFFFF"/>
        </w:rPr>
        <w:t>万。主要用于原因</w:t>
      </w:r>
      <w:r>
        <w:rPr>
          <w:rFonts w:hint="eastAsia" w:ascii="宋体" w:hAnsi="宋体" w:eastAsia="宋体" w:cs="宋体"/>
          <w:color w:val="444444"/>
          <w:kern w:val="0"/>
          <w:sz w:val="28"/>
          <w:szCs w:val="28"/>
          <w:shd w:val="clear" w:fill="FFFFFF"/>
          <w:lang w:eastAsia="zh-CN"/>
        </w:rPr>
        <w:t>是去年未做项目支出</w:t>
      </w:r>
      <w:r>
        <w:rPr>
          <w:rFonts w:hint="eastAsia" w:ascii="宋体" w:hAnsi="宋体" w:eastAsia="宋体" w:cs="宋体"/>
          <w:color w:val="444444"/>
          <w:kern w:val="0"/>
          <w:sz w:val="28"/>
          <w:szCs w:val="28"/>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三、资产管理情况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eastAsia="宋体"/>
          <w:lang w:val="en-US" w:eastAsia="zh-CN"/>
        </w:rPr>
      </w:pPr>
      <w:r>
        <w:rPr>
          <w:rFonts w:hint="default" w:ascii="宋体" w:hAnsi="宋体" w:eastAsia="宋体" w:cs="宋体"/>
          <w:color w:val="444444"/>
          <w:kern w:val="0"/>
          <w:sz w:val="28"/>
          <w:szCs w:val="28"/>
          <w:shd w:val="clear" w:fill="FFFFFF"/>
          <w:lang w:val="en-US" w:eastAsia="zh-CN"/>
        </w:rPr>
        <w:t>我局资产管理由办公室负责，资产采购按程序实行报批采购，</w:t>
      </w:r>
      <w:r>
        <w:rPr>
          <w:rFonts w:hint="eastAsia" w:ascii="宋体" w:hAnsi="宋体" w:eastAsia="宋体" w:cs="宋体"/>
          <w:color w:val="444444"/>
          <w:kern w:val="0"/>
          <w:sz w:val="28"/>
          <w:szCs w:val="28"/>
          <w:shd w:val="clear" w:fill="FFFFFF"/>
          <w:lang w:val="en-US" w:eastAsia="zh-CN"/>
        </w:rPr>
        <w:t>统一在政采云平台下单，</w:t>
      </w:r>
      <w:r>
        <w:rPr>
          <w:rFonts w:hint="default" w:ascii="宋体" w:hAnsi="宋体" w:eastAsia="宋体" w:cs="宋体"/>
          <w:color w:val="444444"/>
          <w:kern w:val="0"/>
          <w:sz w:val="28"/>
          <w:szCs w:val="28"/>
          <w:shd w:val="clear" w:fill="FFFFFF"/>
          <w:lang w:val="en-US" w:eastAsia="zh-CN"/>
        </w:rPr>
        <w:t>采购后登记</w:t>
      </w:r>
      <w:r>
        <w:rPr>
          <w:rFonts w:hint="eastAsia" w:ascii="宋体" w:hAnsi="宋体" w:eastAsia="宋体" w:cs="宋体"/>
          <w:color w:val="444444"/>
          <w:kern w:val="0"/>
          <w:sz w:val="28"/>
          <w:szCs w:val="28"/>
          <w:shd w:val="clear" w:fill="FFFFFF"/>
          <w:lang w:val="en-US" w:eastAsia="zh-CN"/>
        </w:rPr>
        <w:t>入账，录入资产信息系统</w:t>
      </w:r>
      <w:r>
        <w:rPr>
          <w:rFonts w:hint="default" w:ascii="宋体" w:hAnsi="宋体" w:eastAsia="宋体" w:cs="宋体"/>
          <w:color w:val="444444"/>
          <w:kern w:val="0"/>
          <w:sz w:val="28"/>
          <w:szCs w:val="28"/>
          <w:shd w:val="clear" w:fill="FFFFFF"/>
          <w:lang w:val="en-US" w:eastAsia="zh-CN"/>
        </w:rPr>
        <w:t>，再派发到相关科室。</w:t>
      </w:r>
      <w:r>
        <w:rPr>
          <w:rFonts w:hint="eastAsia" w:ascii="宋体" w:hAnsi="宋体" w:eastAsia="宋体" w:cs="宋体"/>
          <w:color w:val="444444"/>
          <w:kern w:val="0"/>
          <w:sz w:val="28"/>
          <w:szCs w:val="28"/>
          <w:shd w:val="clear" w:fill="FFFFFF"/>
          <w:lang w:val="en-US" w:eastAsia="zh-CN"/>
        </w:rPr>
        <w:t>一是我局资产管理和使用坚持统一政策、统一领导、分级管理、责任到人、物尽其用的原则。</w:t>
      </w:r>
      <w:r>
        <w:rPr>
          <w:rFonts w:hint="default" w:ascii="宋体" w:hAnsi="宋体" w:eastAsia="宋体" w:cs="宋体"/>
          <w:color w:val="444444"/>
          <w:kern w:val="0"/>
          <w:sz w:val="28"/>
          <w:szCs w:val="28"/>
          <w:shd w:val="clear" w:fill="FFFFFF"/>
          <w:lang w:val="en-US" w:eastAsia="zh-CN"/>
        </w:rPr>
        <w:t>二是运用</w:t>
      </w:r>
      <w:r>
        <w:rPr>
          <w:rFonts w:hint="eastAsia" w:ascii="宋体" w:hAnsi="宋体" w:eastAsia="宋体" w:cs="宋体"/>
          <w:color w:val="444444"/>
          <w:kern w:val="0"/>
          <w:sz w:val="28"/>
          <w:szCs w:val="28"/>
          <w:shd w:val="clear" w:fill="FFFFFF"/>
          <w:lang w:val="en-US" w:eastAsia="zh-CN"/>
        </w:rPr>
        <w:t>资产</w:t>
      </w:r>
      <w:r>
        <w:rPr>
          <w:rFonts w:hint="default" w:ascii="宋体" w:hAnsi="宋体" w:eastAsia="宋体" w:cs="宋体"/>
          <w:color w:val="444444"/>
          <w:kern w:val="0"/>
          <w:sz w:val="28"/>
          <w:szCs w:val="28"/>
          <w:shd w:val="clear" w:fill="FFFFFF"/>
          <w:lang w:val="en-US" w:eastAsia="zh-CN"/>
        </w:rPr>
        <w:t>信息管理系统加强资产管理。</w:t>
      </w:r>
      <w:r>
        <w:rPr>
          <w:rFonts w:hint="eastAsia" w:ascii="宋体" w:hAnsi="宋体" w:eastAsia="宋体" w:cs="宋体"/>
          <w:color w:val="444444"/>
          <w:kern w:val="0"/>
          <w:sz w:val="28"/>
          <w:szCs w:val="28"/>
          <w:shd w:val="clear" w:fill="FFFFFF"/>
          <w:lang w:val="en-US" w:eastAsia="zh-CN"/>
        </w:rPr>
        <w:t>对</w:t>
      </w:r>
      <w:r>
        <w:rPr>
          <w:rFonts w:hint="default" w:ascii="宋体" w:hAnsi="宋体" w:eastAsia="宋体" w:cs="宋体"/>
          <w:color w:val="444444"/>
          <w:kern w:val="0"/>
          <w:sz w:val="28"/>
          <w:szCs w:val="28"/>
          <w:shd w:val="clear" w:fill="FFFFFF"/>
          <w:lang w:val="en-US" w:eastAsia="zh-CN"/>
        </w:rPr>
        <w:t>固定资产分别按使用部门、存放地点和</w:t>
      </w:r>
      <w:r>
        <w:rPr>
          <w:rFonts w:hint="eastAsia" w:ascii="宋体" w:hAnsi="宋体" w:eastAsia="宋体" w:cs="宋体"/>
          <w:color w:val="444444"/>
          <w:kern w:val="0"/>
          <w:sz w:val="28"/>
          <w:szCs w:val="28"/>
          <w:shd w:val="clear" w:fill="FFFFFF"/>
          <w:lang w:val="en-US" w:eastAsia="zh-CN"/>
        </w:rPr>
        <w:t>使用</w:t>
      </w:r>
      <w:r>
        <w:rPr>
          <w:rFonts w:hint="default" w:ascii="宋体" w:hAnsi="宋体" w:eastAsia="宋体" w:cs="宋体"/>
          <w:color w:val="444444"/>
          <w:kern w:val="0"/>
          <w:sz w:val="28"/>
          <w:szCs w:val="28"/>
          <w:shd w:val="clear" w:fill="FFFFFF"/>
          <w:lang w:val="en-US" w:eastAsia="zh-CN"/>
        </w:rPr>
        <w:t>人顺序编排编码排序。三是每年组织一次固定资产资产清查工作，使固定资产检查</w:t>
      </w:r>
      <w:r>
        <w:rPr>
          <w:rFonts w:hint="eastAsia" w:ascii="宋体" w:hAnsi="宋体" w:eastAsia="宋体" w:cs="宋体"/>
          <w:color w:val="444444"/>
          <w:kern w:val="0"/>
          <w:sz w:val="28"/>
          <w:szCs w:val="28"/>
          <w:shd w:val="clear" w:fill="FFFFFF"/>
          <w:lang w:val="en-US" w:eastAsia="zh-CN"/>
        </w:rPr>
        <w:t>常态</w:t>
      </w:r>
      <w:r>
        <w:rPr>
          <w:rFonts w:hint="default" w:ascii="宋体" w:hAnsi="宋体" w:eastAsia="宋体" w:cs="宋体"/>
          <w:color w:val="444444"/>
          <w:kern w:val="0"/>
          <w:sz w:val="28"/>
          <w:szCs w:val="28"/>
          <w:shd w:val="clear" w:fill="FFFFFF"/>
          <w:lang w:val="en-US" w:eastAsia="zh-CN"/>
        </w:rPr>
        <w:t>化，确保账、卡、实相符。四是根据《湖南省财政厅关于做好行政事业性国有资产月报试编工作的通知》文件要求，每月及时通过财政部统一报表系统上报资产月报电子数据</w:t>
      </w:r>
      <w:r>
        <w:rPr>
          <w:rFonts w:hint="eastAsia" w:ascii="宋体" w:hAnsi="宋体" w:eastAsia="宋体" w:cs="宋体"/>
          <w:color w:val="444444"/>
          <w:kern w:val="0"/>
          <w:sz w:val="28"/>
          <w:szCs w:val="28"/>
          <w:shd w:val="clear" w:fill="FFFFFF"/>
          <w:lang w:val="en-US" w:eastAsia="zh-CN"/>
        </w:rPr>
        <w:t>，每年编制一次固定资产年报</w:t>
      </w:r>
      <w:r>
        <w:rPr>
          <w:rFonts w:hint="eastAsia" w:ascii="仿宋" w:hAnsi="仿宋" w:eastAsia="仿宋" w:cs="仿宋"/>
          <w:sz w:val="32"/>
          <w:szCs w:val="32"/>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截至2021年12月31日，邵阳市</w:t>
      </w:r>
      <w:r>
        <w:rPr>
          <w:rFonts w:hint="eastAsia" w:ascii="宋体" w:hAnsi="宋体" w:eastAsia="宋体" w:cs="宋体"/>
          <w:color w:val="444444"/>
          <w:kern w:val="0"/>
          <w:sz w:val="28"/>
          <w:szCs w:val="28"/>
          <w:shd w:val="clear" w:fill="FFFFFF"/>
          <w:lang w:val="en-US" w:eastAsia="zh-CN"/>
        </w:rPr>
        <w:t>北塔区退役军人事务</w:t>
      </w:r>
      <w:r>
        <w:rPr>
          <w:rFonts w:hint="eastAsia" w:ascii="宋体" w:hAnsi="宋体" w:eastAsia="宋体" w:cs="宋体"/>
          <w:color w:val="444444"/>
          <w:kern w:val="0"/>
          <w:sz w:val="28"/>
          <w:szCs w:val="28"/>
          <w:shd w:val="clear" w:fill="FFFFFF"/>
        </w:rPr>
        <w:t>局资产总额为</w:t>
      </w:r>
      <w:r>
        <w:rPr>
          <w:rFonts w:hint="eastAsia" w:ascii="宋体" w:hAnsi="宋体" w:eastAsia="宋体" w:cs="宋体"/>
          <w:color w:val="444444"/>
          <w:kern w:val="0"/>
          <w:sz w:val="28"/>
          <w:szCs w:val="28"/>
          <w:shd w:val="clear" w:fill="FFFFFF"/>
          <w:lang w:val="en-US" w:eastAsia="zh-CN"/>
        </w:rPr>
        <w:t>12</w:t>
      </w:r>
      <w:r>
        <w:rPr>
          <w:rFonts w:hint="eastAsia" w:ascii="宋体" w:hAnsi="宋体" w:eastAsia="宋体" w:cs="宋体"/>
          <w:color w:val="444444"/>
          <w:kern w:val="0"/>
          <w:sz w:val="28"/>
          <w:szCs w:val="28"/>
          <w:shd w:val="clear" w:fill="FFFFFF"/>
        </w:rPr>
        <w:t>万元，主要由以下部分构成：流动资产</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%,主要为银行存款及其他应收款等;固定资产</w:t>
      </w:r>
      <w:r>
        <w:rPr>
          <w:rFonts w:hint="eastAsia" w:ascii="宋体" w:hAnsi="宋体" w:eastAsia="宋体" w:cs="宋体"/>
          <w:color w:val="444444"/>
          <w:kern w:val="0"/>
          <w:sz w:val="28"/>
          <w:szCs w:val="28"/>
          <w:shd w:val="clear" w:fill="FFFFFF"/>
          <w:lang w:val="en-US" w:eastAsia="zh-CN"/>
        </w:rPr>
        <w:t>12</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100</w:t>
      </w:r>
      <w:r>
        <w:rPr>
          <w:rFonts w:hint="eastAsia" w:ascii="宋体" w:hAnsi="宋体" w:eastAsia="宋体" w:cs="宋体"/>
          <w:color w:val="444444"/>
          <w:kern w:val="0"/>
          <w:sz w:val="28"/>
          <w:szCs w:val="28"/>
          <w:shd w:val="clear" w:fill="FFFFFF"/>
        </w:rPr>
        <w:t>%，主要包括房屋、公务用车、办公设备等。</w:t>
      </w:r>
      <w:r>
        <w:rPr>
          <w:rFonts w:hint="eastAsia" w:ascii="微软雅黑" w:hAnsi="微软雅黑" w:eastAsia="微软雅黑" w:cs="微软雅黑"/>
          <w:color w:val="444444"/>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四、部门整体支出绩效情况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lang w:val="en-US" w:eastAsia="zh-CN"/>
        </w:rPr>
      </w:pPr>
      <w:r>
        <w:rPr>
          <w:rFonts w:hint="eastAsia" w:ascii="宋体" w:hAnsi="宋体" w:eastAsia="宋体" w:cs="宋体"/>
          <w:color w:val="444444"/>
          <w:kern w:val="0"/>
          <w:sz w:val="28"/>
          <w:szCs w:val="28"/>
          <w:shd w:val="clear" w:fill="FFFFFF"/>
        </w:rPr>
        <w:t>2021年，我局充分履行职责职能，严格执行各项管理制度，经济、社会等效益显著、社会公众满意度上升，较好地完成了全年工作目标。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pPr>
      <w:r>
        <w:rPr>
          <w:rFonts w:hint="eastAsia" w:ascii="宋体" w:hAnsi="宋体" w:eastAsia="宋体" w:cs="宋体"/>
          <w:color w:val="444444"/>
          <w:kern w:val="0"/>
          <w:sz w:val="28"/>
          <w:szCs w:val="28"/>
          <w:shd w:val="clear" w:fill="FFFFFF"/>
        </w:rPr>
        <w:t>五、综合评价情况及评价结论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firstLine="560" w:firstLineChars="200"/>
        <w:jc w:val="left"/>
      </w:pPr>
      <w:r>
        <w:rPr>
          <w:rFonts w:hint="eastAsia" w:ascii="宋体" w:hAnsi="宋体" w:eastAsia="宋体" w:cs="宋体"/>
          <w:color w:val="444444"/>
          <w:kern w:val="0"/>
          <w:sz w:val="28"/>
          <w:szCs w:val="28"/>
          <w:shd w:val="clear" w:fill="FFFFFF"/>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w:t>
      </w:r>
      <w:r>
        <w:rPr>
          <w:rFonts w:hint="eastAsia" w:ascii="宋体" w:hAnsi="宋体" w:eastAsia="宋体" w:cs="宋体"/>
          <w:color w:val="444444"/>
          <w:kern w:val="0"/>
          <w:sz w:val="28"/>
          <w:szCs w:val="28"/>
          <w:shd w:val="clear" w:fill="FFFFFF"/>
          <w:lang w:val="en-US" w:eastAsia="zh-CN"/>
        </w:rPr>
        <w:t>良好</w:t>
      </w:r>
      <w:r>
        <w:rPr>
          <w:rFonts w:hint="eastAsia" w:ascii="宋体" w:hAnsi="宋体" w:eastAsia="宋体" w:cs="宋体"/>
          <w:color w:val="444444"/>
          <w:kern w:val="0"/>
          <w:sz w:val="28"/>
          <w:szCs w:val="28"/>
          <w:shd w:val="clear" w:fill="FFFFFF"/>
        </w:rPr>
        <w:t>。</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存在的问题及原因分析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（一）预算编制的分类和实行执行出现脱节。预算编制的功能分类与经济分类不够细化，而实际支出中的情况更加多元化和明细化，出现了分类不一致的情况。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bidi="ar-SA"/>
        </w:rPr>
        <w:t>（二）年中预算追加占比高。年初批复预算为117.54万元，年中追加预算至646.62万元。主要追加优抚经费。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七、下一步改进措施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lang w:val="en-US" w:eastAsia="zh-CN" w:bidi="ar-SA"/>
        </w:rPr>
      </w:pPr>
      <w:r>
        <w:rPr>
          <w:rFonts w:hint="eastAsia" w:ascii="宋体" w:hAnsi="宋体" w:eastAsia="宋体" w:cs="宋体"/>
          <w:color w:val="444444"/>
          <w:kern w:val="0"/>
          <w:sz w:val="28"/>
          <w:szCs w:val="28"/>
          <w:shd w:val="clear" w:fill="FFFFFF"/>
          <w:lang w:val="en-US" w:eastAsia="zh-CN" w:bidi="ar-SA"/>
        </w:rPr>
        <w:t>科学合理编制预算，严格执行预算。进一步提高预算编制到位率，做准做全基本支出预算，做全项目支出预算，，加强预算支出的审核、跟踪及预算执行情况分析，提高预算编制严谨性和可控性。    </w:t>
      </w:r>
      <w:r>
        <w:rPr>
          <w:rFonts w:hint="eastAsia" w:ascii="宋体" w:hAnsi="宋体" w:eastAsia="宋体" w:cs="宋体"/>
          <w:color w:val="444444"/>
          <w:kern w:val="0"/>
          <w:sz w:val="28"/>
          <w:szCs w:val="28"/>
          <w:shd w:val="clear" w:fill="FFFFFF"/>
          <w:lang w:val="en-US" w:eastAsia="zh-CN" w:bidi="ar-SA"/>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lang w:val="en-US" w:eastAsia="zh-CN" w:bidi="ar-SA"/>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90</w:t>
            </w: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07EE9"/>
    <w:multiLevelType w:val="singleLevel"/>
    <w:tmpl w:val="2DE07EE9"/>
    <w:lvl w:ilvl="0" w:tentative="0">
      <w:start w:val="1"/>
      <w:numFmt w:val="decimal"/>
      <w:suff w:val="nothing"/>
      <w:lvlText w:val="%1．"/>
      <w:lvlJc w:val="left"/>
    </w:lvl>
  </w:abstractNum>
  <w:abstractNum w:abstractNumId="1">
    <w:nsid w:val="3E594463"/>
    <w:multiLevelType w:val="singleLevel"/>
    <w:tmpl w:val="3E594463"/>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OTU5M2FkYWM4MGQwYzk0NDNlMDU3NDY1MmY5MzQifQ=="/>
  </w:docVars>
  <w:rsids>
    <w:rsidRoot w:val="00000000"/>
    <w:rsid w:val="001F7F7E"/>
    <w:rsid w:val="01115B19"/>
    <w:rsid w:val="01352B1D"/>
    <w:rsid w:val="022E26FA"/>
    <w:rsid w:val="02D7069C"/>
    <w:rsid w:val="03CF3A69"/>
    <w:rsid w:val="041774B9"/>
    <w:rsid w:val="061B4D44"/>
    <w:rsid w:val="0A8502C5"/>
    <w:rsid w:val="0AB85257"/>
    <w:rsid w:val="0CFB142B"/>
    <w:rsid w:val="0F662E13"/>
    <w:rsid w:val="10B34669"/>
    <w:rsid w:val="15347BD0"/>
    <w:rsid w:val="1594241D"/>
    <w:rsid w:val="16491459"/>
    <w:rsid w:val="18561C0B"/>
    <w:rsid w:val="18BC3F52"/>
    <w:rsid w:val="1EAC476E"/>
    <w:rsid w:val="20084CEC"/>
    <w:rsid w:val="21A12149"/>
    <w:rsid w:val="2245788F"/>
    <w:rsid w:val="23517B9F"/>
    <w:rsid w:val="25DC5E46"/>
    <w:rsid w:val="29345F99"/>
    <w:rsid w:val="2B98280F"/>
    <w:rsid w:val="2D183A8E"/>
    <w:rsid w:val="2D371BB4"/>
    <w:rsid w:val="305A62E5"/>
    <w:rsid w:val="34B65AB4"/>
    <w:rsid w:val="3F5860E5"/>
    <w:rsid w:val="4052017F"/>
    <w:rsid w:val="42C6780A"/>
    <w:rsid w:val="43A35D9D"/>
    <w:rsid w:val="44562162"/>
    <w:rsid w:val="44D37FBC"/>
    <w:rsid w:val="45AD0E01"/>
    <w:rsid w:val="46B34549"/>
    <w:rsid w:val="475C24EB"/>
    <w:rsid w:val="482F5E51"/>
    <w:rsid w:val="4860425D"/>
    <w:rsid w:val="48C06AA9"/>
    <w:rsid w:val="49895C9C"/>
    <w:rsid w:val="49AC2013"/>
    <w:rsid w:val="4B221C9D"/>
    <w:rsid w:val="4C343F25"/>
    <w:rsid w:val="4C40062D"/>
    <w:rsid w:val="4D283206"/>
    <w:rsid w:val="4DAC584E"/>
    <w:rsid w:val="50B67110"/>
    <w:rsid w:val="51145BE4"/>
    <w:rsid w:val="51D6733E"/>
    <w:rsid w:val="534704F3"/>
    <w:rsid w:val="54E65AEA"/>
    <w:rsid w:val="565847C5"/>
    <w:rsid w:val="57D1482F"/>
    <w:rsid w:val="5A36306F"/>
    <w:rsid w:val="5A56726E"/>
    <w:rsid w:val="5ADA1C4D"/>
    <w:rsid w:val="5F7557BA"/>
    <w:rsid w:val="60522285"/>
    <w:rsid w:val="62C92CD3"/>
    <w:rsid w:val="62E23D94"/>
    <w:rsid w:val="64AF414A"/>
    <w:rsid w:val="66B02AE1"/>
    <w:rsid w:val="6A3D7B02"/>
    <w:rsid w:val="6A8A53C4"/>
    <w:rsid w:val="6CB73B9C"/>
    <w:rsid w:val="6DDD5884"/>
    <w:rsid w:val="6F3E2352"/>
    <w:rsid w:val="70313C65"/>
    <w:rsid w:val="70C745CA"/>
    <w:rsid w:val="70F35060"/>
    <w:rsid w:val="71AF7537"/>
    <w:rsid w:val="71CA611F"/>
    <w:rsid w:val="734737A0"/>
    <w:rsid w:val="74B82BA7"/>
    <w:rsid w:val="755C1784"/>
    <w:rsid w:val="764B3333"/>
    <w:rsid w:val="79A8143C"/>
    <w:rsid w:val="7A1724FE"/>
    <w:rsid w:val="7B4927AB"/>
    <w:rsid w:val="7BCE4A5E"/>
    <w:rsid w:val="7F60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rPr>
      <w:sz w:val="24"/>
    </w:rPr>
  </w:style>
  <w:style w:type="character" w:styleId="7">
    <w:name w:val="page number"/>
    <w:basedOn w:val="6"/>
    <w:qFormat/>
    <w:uiPriority w:val="0"/>
  </w:style>
  <w:style w:type="character" w:styleId="8">
    <w:name w:val="FollowedHyperlink"/>
    <w:basedOn w:val="6"/>
    <w:uiPriority w:val="0"/>
    <w:rPr>
      <w:color w:val="444444"/>
      <w:u w:val="none"/>
    </w:rPr>
  </w:style>
  <w:style w:type="character" w:styleId="9">
    <w:name w:val="Hyperlink"/>
    <w:basedOn w:val="6"/>
    <w:uiPriority w:val="0"/>
    <w:rPr>
      <w:color w:val="444444"/>
      <w:u w:val="none"/>
    </w:rPr>
  </w:style>
  <w:style w:type="character" w:customStyle="1" w:styleId="10">
    <w:name w:val="gai"/>
    <w:basedOn w:val="6"/>
    <w:qFormat/>
    <w:uiPriority w:val="0"/>
  </w:style>
  <w:style w:type="character" w:customStyle="1" w:styleId="11">
    <w:name w:val="gai1"/>
    <w:basedOn w:val="6"/>
    <w:qFormat/>
    <w:uiPriority w:val="0"/>
  </w:style>
  <w:style w:type="character" w:customStyle="1" w:styleId="12">
    <w:name w:val="gai2"/>
    <w:basedOn w:val="6"/>
    <w:qFormat/>
    <w:uiPriority w:val="0"/>
  </w:style>
  <w:style w:type="character" w:customStyle="1" w:styleId="13">
    <w:name w:val="gai3"/>
    <w:basedOn w:val="6"/>
    <w:qFormat/>
    <w:uiPriority w:val="0"/>
  </w:style>
  <w:style w:type="character" w:customStyle="1" w:styleId="14">
    <w:name w:val="gai4"/>
    <w:basedOn w:val="6"/>
    <w:qFormat/>
    <w:uiPriority w:val="0"/>
  </w:style>
  <w:style w:type="character" w:customStyle="1" w:styleId="15">
    <w:name w:val="you"/>
    <w:basedOn w:val="6"/>
    <w:qFormat/>
    <w:uiPriority w:val="0"/>
  </w:style>
  <w:style w:type="character" w:customStyle="1" w:styleId="16">
    <w:name w:val="info-valid"/>
    <w:basedOn w:val="6"/>
    <w:qFormat/>
    <w:uiPriority w:val="0"/>
    <w:rPr>
      <w:color w:val="444444"/>
    </w:rPr>
  </w:style>
  <w:style w:type="character" w:customStyle="1" w:styleId="17">
    <w:name w:val="tit2"/>
    <w:basedOn w:val="6"/>
    <w:qFormat/>
    <w:uiPriority w:val="0"/>
    <w:rPr>
      <w:color w:val="1D0000"/>
      <w:sz w:val="33"/>
      <w:szCs w:val="33"/>
    </w:rPr>
  </w:style>
  <w:style w:type="character" w:customStyle="1" w:styleId="18">
    <w:name w:val="tianqi"/>
    <w:basedOn w:val="6"/>
    <w:qFormat/>
    <w:uiPriority w:val="0"/>
  </w:style>
  <w:style w:type="character" w:customStyle="1" w:styleId="19">
    <w:name w:val="sjzs"/>
    <w:basedOn w:val="6"/>
    <w:qFormat/>
    <w:uiPriority w:val="0"/>
    <w:rPr>
      <w:sz w:val="27"/>
      <w:szCs w:val="27"/>
    </w:rPr>
  </w:style>
  <w:style w:type="character" w:customStyle="1" w:styleId="20">
    <w:name w:val="quanp"/>
    <w:basedOn w:val="6"/>
    <w:qFormat/>
    <w:uiPriority w:val="0"/>
    <w:rPr>
      <w:color w:val="FFFFFF"/>
      <w:shd w:val="clear" w:fill="7CB8FE"/>
    </w:rPr>
  </w:style>
  <w:style w:type="character" w:customStyle="1" w:styleId="21">
    <w:name w:val="lname"/>
    <w:basedOn w:val="6"/>
    <w:qFormat/>
    <w:uiPriority w:val="0"/>
    <w:rPr>
      <w:color w:val="000000"/>
      <w:sz w:val="30"/>
      <w:szCs w:val="30"/>
    </w:rPr>
  </w:style>
  <w:style w:type="character" w:customStyle="1" w:styleId="22">
    <w:name w:val="first-child4"/>
    <w:basedOn w:val="6"/>
    <w:qFormat/>
    <w:uiPriority w:val="0"/>
    <w:rPr>
      <w:color w:val="BD1B09"/>
    </w:rPr>
  </w:style>
  <w:style w:type="character" w:customStyle="1" w:styleId="23">
    <w:name w:val="first-child5"/>
    <w:basedOn w:val="6"/>
    <w:qFormat/>
    <w:uiPriority w:val="0"/>
    <w:rPr>
      <w:color w:val="878787"/>
      <w:sz w:val="36"/>
      <w:szCs w:val="36"/>
      <w:shd w:val="clear" w:fill="FFFFFF"/>
    </w:rPr>
  </w:style>
  <w:style w:type="character" w:customStyle="1" w:styleId="24">
    <w:name w:val="ldjs"/>
    <w:basedOn w:val="6"/>
    <w:qFormat/>
    <w:uiPriority w:val="0"/>
    <w:rPr>
      <w:color w:val="666666"/>
      <w:sz w:val="24"/>
      <w:szCs w:val="24"/>
    </w:rPr>
  </w:style>
  <w:style w:type="character" w:customStyle="1" w:styleId="25">
    <w:name w:val="quanp2"/>
    <w:basedOn w:val="6"/>
    <w:qFormat/>
    <w:uiPriority w:val="0"/>
    <w:rPr>
      <w:color w:val="FFFFFF"/>
      <w:sz w:val="0"/>
      <w:szCs w:val="0"/>
      <w:shd w:val="clear" w:fill="7CB8FE"/>
    </w:rPr>
  </w:style>
  <w:style w:type="character" w:customStyle="1" w:styleId="26">
    <w:name w:val="jiaoluo"/>
    <w:basedOn w:val="6"/>
    <w:qFormat/>
    <w:uiPriority w:val="0"/>
  </w:style>
  <w:style w:type="character" w:customStyle="1" w:styleId="27">
    <w:name w:val="last3"/>
    <w:basedOn w:val="6"/>
    <w:qFormat/>
    <w:uiPriority w:val="0"/>
  </w:style>
  <w:style w:type="character" w:customStyle="1" w:styleId="28">
    <w:name w:val="last4"/>
    <w:basedOn w:val="6"/>
    <w:qFormat/>
    <w:uiPriority w:val="0"/>
  </w:style>
  <w:style w:type="character" w:customStyle="1" w:styleId="29">
    <w:name w:val="fanhui"/>
    <w:basedOn w:val="6"/>
    <w:qFormat/>
    <w:uiPriority w:val="0"/>
    <w:rPr>
      <w:color w:val="FFFFFF"/>
      <w:sz w:val="24"/>
      <w:szCs w:val="24"/>
    </w:rPr>
  </w:style>
  <w:style w:type="character" w:customStyle="1" w:styleId="30">
    <w:name w:val="jiaoluo2"/>
    <w:basedOn w:val="6"/>
    <w:qFormat/>
    <w:uiPriority w:val="0"/>
  </w:style>
  <w:style w:type="character" w:customStyle="1" w:styleId="31">
    <w:name w:val="zuo"/>
    <w:basedOn w:val="6"/>
    <w:qFormat/>
    <w:uiPriority w:val="0"/>
  </w:style>
  <w:style w:type="character" w:customStyle="1" w:styleId="32">
    <w:name w:val="dcs"/>
    <w:basedOn w:val="6"/>
    <w:qFormat/>
    <w:uiPriority w:val="0"/>
    <w:rPr>
      <w:color w:val="BD1B09"/>
    </w:rPr>
  </w:style>
  <w:style w:type="character" w:customStyle="1" w:styleId="33">
    <w:name w:val="time"/>
    <w:basedOn w:val="6"/>
    <w:qFormat/>
    <w:uiPriority w:val="0"/>
    <w:rPr>
      <w:color w:val="999999"/>
    </w:rPr>
  </w:style>
  <w:style w:type="character" w:customStyle="1" w:styleId="34">
    <w:name w:val="time1"/>
    <w:basedOn w:val="6"/>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5435</Words>
  <Characters>5714</Characters>
  <Lines>0</Lines>
  <Paragraphs>0</Paragraphs>
  <TotalTime>1</TotalTime>
  <ScaleCrop>false</ScaleCrop>
  <LinksUpToDate>false</LinksUpToDate>
  <CharactersWithSpaces>5869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Administrator</cp:lastModifiedBy>
  <dcterms:modified xsi:type="dcterms:W3CDTF">2022-10-14T02:42:04Z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2F54F18A2CE84DADA1B21E746E2F1685</vt:lpwstr>
  </property>
</Properties>
</file>