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i w:val="0"/>
          <w:iCs w:val="0"/>
          <w:caps w:val="0"/>
          <w:color w:val="000000"/>
          <w:spacing w:val="0"/>
          <w:sz w:val="31"/>
          <w:szCs w:val="31"/>
          <w:shd w:val="clear" w:fill="FFFFFF"/>
          <w:lang w:eastAsia="zh-CN"/>
        </w:rPr>
        <w:t>邵阳市园艺场</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640" w:firstLineChars="20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邵阳市园艺场内设机构包括：本部门共有事业编制5人，实有人数11人，内设机构包括：党政办、民政办、创文创卫办、拆违控违 办、信访维稳办、文化站、城建办、农业站、动物防疫站、水利站、畜牧站、群工站、项目领导小组办公室。</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（二）主要工作职责</w:t>
      </w:r>
    </w:p>
    <w:p>
      <w:pPr>
        <w:pStyle w:val="6"/>
        <w:keepNext w:val="0"/>
        <w:keepLines w:val="0"/>
        <w:widowControl/>
        <w:suppressLineNumbers w:val="0"/>
        <w:spacing w:before="0" w:beforeAutospacing="0" w:after="2" w:afterAutospacing="0"/>
        <w:ind w:left="0" w:right="0" w:firstLine="641"/>
        <w:rPr>
          <w:rFonts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（一）执行上级国家行政机关的决定，命令和国家制定的法令，法则， 接受同级党委的领导，执行本级人民代表大会的各项决议，并报告执行决议、 决定和命令的情况。</w:t>
      </w:r>
    </w:p>
    <w:p>
      <w:pPr>
        <w:pStyle w:val="6"/>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（二）制定并落实本行政区域的经济计划和措施，促进产业结构调整 及其他经济保持平衡发展，全面提高人民群众的生活水平和生活质量。</w:t>
      </w:r>
    </w:p>
    <w:p>
      <w:pPr>
        <w:pStyle w:val="6"/>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（三）加强场级财政的监督和管理，按计划组织，管理场财政收入和 支出，执行国家有关财经纪律和政策，保证国家财政收入的完成；做好统计 工作。</w:t>
      </w:r>
    </w:p>
    <w:p>
      <w:pPr>
        <w:pStyle w:val="6"/>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（四）协助和支持设置在本行政区域内不隶属于场的国家机关和企事 业单位工作，监督其遵守和执行国家的法律、法规和政策。</w:t>
      </w:r>
    </w:p>
    <w:p>
      <w:pPr>
        <w:pStyle w:val="6"/>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（五）承办北塔区委、区政府交办的其他事项。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640"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仿宋_GB2312" w:hAnsi="Times New Roman" w:eastAsia="仿宋_GB2312"/>
          <w:sz w:val="32"/>
          <w:szCs w:val="32"/>
          <w:lang w:val="en-US" w:eastAsia="zh-CN"/>
        </w:rPr>
        <w:t>2022年邵阳市园艺场预算批复数108.52万元，其中一般公共预算拨款108.52万元；决算批复数403.18万元，其中一般公共预算财政拨款收入303.81万元，政府性基金预算财政拨款收入0万元，其他收入0万元。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2022年度邵阳市园艺场本支出年初预算安排为</w:t>
      </w:r>
      <w:r>
        <w:rPr>
          <w:rFonts w:hint="eastAsia" w:ascii="仿宋_GB2312" w:hAnsi="Times New Roman" w:eastAsia="仿宋_GB2312"/>
          <w:sz w:val="32"/>
          <w:szCs w:val="32"/>
          <w:lang w:val="en-US" w:eastAsia="zh-CN"/>
        </w:rPr>
        <w:t>108.52</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万元，本年实际支出为</w:t>
      </w:r>
      <w:r>
        <w:rPr>
          <w:rFonts w:hint="eastAsia" w:ascii="仿宋_GB2312" w:hAnsi="Times New Roman" w:eastAsia="仿宋_GB2312"/>
          <w:sz w:val="32"/>
          <w:szCs w:val="32"/>
          <w:lang w:val="en-US" w:eastAsia="zh-CN"/>
        </w:rPr>
        <w:t>403.18</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万元，主要为人员经费支出和公用经费支出，其中人员经费支出154.16万元、公用经费支出249.02万元。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本年项目支出年初预算安排为0万元，本年实际支出为0万元，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w:t>
      </w:r>
      <w:r>
        <w:rPr>
          <w:rFonts w:hint="eastAsia" w:ascii="仿宋_GB2312" w:hAnsi="Times New Roman" w:eastAsia="仿宋_GB2312"/>
          <w:sz w:val="32"/>
          <w:szCs w:val="32"/>
          <w:lang w:val="en-US" w:eastAsia="zh-CN"/>
        </w:rPr>
        <w:t>403.18</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万元，预算安排数</w:t>
      </w:r>
      <w:r>
        <w:rPr>
          <w:rFonts w:hint="eastAsia" w:ascii="仿宋_GB2312" w:hAnsi="Times New Roman" w:eastAsia="仿宋_GB2312"/>
          <w:sz w:val="32"/>
          <w:szCs w:val="32"/>
          <w:lang w:val="en-US" w:eastAsia="zh-CN"/>
        </w:rPr>
        <w:t>403.18</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预算执行率为100%，当年预算持平；⑵公用经费预算249.02万元，实际支出249.02万元，公用经费控制率为100%；（3）“三公经费”年初预算安排0万元，实际支出0万元，“三公经费”控制率为100%。（4）政府采购年初预算</w:t>
      </w:r>
      <w:r>
        <w:rPr>
          <w:rFonts w:hint="eastAsia" w:ascii="宋体" w:hAnsi="宋体" w:eastAsia="宋体" w:cs="宋体"/>
          <w:i w:val="0"/>
          <w:iCs w:val="0"/>
          <w:caps w:val="0"/>
          <w:color w:val="000000"/>
          <w:spacing w:val="0"/>
          <w:sz w:val="32"/>
          <w:szCs w:val="32"/>
          <w:lang w:val="en-US" w:eastAsia="zh-CN"/>
        </w:rPr>
        <w:t>15.4</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万元，实际政府采购金额46.02万元，政府采购执行率298.83%。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月31日，本单位拥有各类资产总额230.19万元，其中流动资产150.13万元，固定资产80.06万元。单位为加强资产管理，内部制定了资产管理制度，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w:t>
      </w:r>
      <w:r>
        <w:rPr>
          <w:rFonts w:hint="eastAsia" w:eastAsia="黑体"/>
          <w:sz w:val="32"/>
          <w:szCs w:val="32"/>
        </w:rPr>
        <w:t>政府性基金预算支出情况</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本单位无政府基金预算支出。</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（三）国有资本经营预算支出情况</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本单位无国有资本经营预算支出</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（四）社会保险基金预算支出情况</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本单位无社会保险基金预算支出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1、预算编制不够明确和细化，预算编制的合理性需要提高，预算执行力度还要进一步加强。资金使用效益有待进一步提高，绩效目标设立不够明确、细化和量化。</w:t>
      </w:r>
    </w:p>
    <w:p>
      <w:pPr>
        <w:widowControl/>
        <w:spacing w:line="600" w:lineRule="exact"/>
        <w:ind w:firstLine="645"/>
        <w:jc w:val="left"/>
        <w:rPr>
          <w:rFonts w:hint="default" w:ascii="仿宋_GB2312" w:hAnsi="Times New Roman" w:eastAsia="仿宋_GB2312" w:cs="Times New Roman"/>
          <w:b w:val="0"/>
          <w:kern w:val="2"/>
          <w:sz w:val="32"/>
          <w:szCs w:val="32"/>
          <w:lang w:val="en-US" w:eastAsia="zh-CN" w:bidi="ar-SA"/>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财务制度方面不够规范，</w:t>
      </w:r>
      <w:r>
        <w:rPr>
          <w:rFonts w:hint="eastAsia" w:ascii="仿宋_GB2312" w:hAnsi="仿宋_GB2312" w:eastAsia="仿宋_GB2312" w:cs="仿宋_GB2312"/>
          <w:sz w:val="32"/>
          <w:szCs w:val="32"/>
          <w:lang w:val="en-US" w:eastAsia="zh-CN"/>
        </w:rPr>
        <w:t>没有建立健全完善的机制体系，对绩效评价认识不足。</w:t>
      </w:r>
    </w:p>
    <w:p>
      <w:pPr>
        <w:widowControl/>
        <w:spacing w:line="600" w:lineRule="exact"/>
        <w:ind w:firstLine="645"/>
        <w:jc w:val="left"/>
        <w:rPr>
          <w:rFonts w:hint="default"/>
          <w:lang w:val="en-US" w:eastAsia="zh-CN"/>
        </w:rPr>
      </w:pPr>
      <w:r>
        <w:rPr>
          <w:rFonts w:hint="eastAsia" w:ascii="仿宋_GB2312" w:hAnsi="Times New Roman" w:eastAsia="仿宋_GB2312" w:cs="Times New Roman"/>
          <w:b w:val="0"/>
          <w:kern w:val="2"/>
          <w:sz w:val="32"/>
          <w:szCs w:val="32"/>
          <w:lang w:val="en-US" w:eastAsia="zh-CN" w:bidi="ar-SA"/>
        </w:rPr>
        <w:t>3、人员素质有待提高。由于人员变动，单位对相关绩效管理业务不熟练，</w:t>
      </w:r>
      <w:r>
        <w:rPr>
          <w:rFonts w:hint="eastAsia" w:ascii="仿宋_GB2312" w:hAnsi="宋体" w:eastAsia="仿宋_GB2312"/>
          <w:sz w:val="32"/>
          <w:szCs w:val="32"/>
        </w:rPr>
        <w:t>加上缺乏系统的培训，</w:t>
      </w:r>
      <w:r>
        <w:rPr>
          <w:rFonts w:hint="eastAsia" w:ascii="仿宋_GB2312" w:hAnsi="宋体" w:eastAsia="仿宋_GB2312"/>
          <w:sz w:val="32"/>
          <w:szCs w:val="32"/>
          <w:lang w:val="en-US" w:eastAsia="zh-CN"/>
        </w:rPr>
        <w:t>业务操作水平有限。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1、细化预算编制工作，认真做好预算的编制。进一步加强内设机构的预算管理意识，严格按照预算编制的相关制度和要求进行预算编制。</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pStyle w:val="3"/>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3、加强政策学习，提高思想认识。组织相关人员认真学习《会计法》、《预算法》等相关法规、制度，提高业务人员的业务水平及思想认识，为绩效评价工作夯实基础。</w:t>
      </w:r>
    </w:p>
    <w:p>
      <w:pPr>
        <w:pStyle w:val="4"/>
        <w:rPr>
          <w:rFonts w:hint="eastAsia" w:ascii="Times New Roman" w:hAnsi="Times New Roman" w:eastAsia="黑体"/>
          <w:sz w:val="32"/>
          <w:szCs w:val="32"/>
        </w:rPr>
      </w:pPr>
      <w:r>
        <w:rPr>
          <w:rFonts w:hint="eastAsia" w:ascii="Times New Roman" w:hAnsi="Times New Roman" w:eastAsia="黑体"/>
          <w:sz w:val="32"/>
          <w:szCs w:val="32"/>
        </w:rPr>
        <w:t>六、部门整体支出绩效情况综合评价结论</w:t>
      </w:r>
    </w:p>
    <w:p>
      <w:pPr>
        <w:pStyle w:val="4"/>
        <w:rPr>
          <w:rFonts w:hint="eastAsia"/>
          <w:lang w:val="en-US" w:eastAsia="zh-CN"/>
        </w:rPr>
      </w:pPr>
      <w:r>
        <w:rPr>
          <w:rFonts w:hint="eastAsia" w:ascii="仿宋_GB2312" w:hAnsi="Times New Roman" w:eastAsia="仿宋_GB2312" w:cs="Times New Roman"/>
          <w:kern w:val="2"/>
          <w:sz w:val="32"/>
          <w:szCs w:val="32"/>
          <w:lang w:val="en-US" w:eastAsia="zh-CN" w:bidi="ar-SA"/>
        </w:rPr>
        <w:t>2022年对照《2022年度部门整体支出绩效评价指标评分表》等方面具体指标</w:t>
      </w:r>
      <w:bookmarkStart w:id="1" w:name="_GoBack"/>
      <w:bookmarkEnd w:id="1"/>
      <w:r>
        <w:rPr>
          <w:rFonts w:hint="eastAsia" w:ascii="仿宋_GB2312" w:hAnsi="Times New Roman" w:eastAsia="仿宋_GB2312" w:cs="Times New Roman"/>
          <w:kern w:val="2"/>
          <w:sz w:val="32"/>
          <w:szCs w:val="32"/>
          <w:lang w:val="en-US" w:eastAsia="zh-CN" w:bidi="ar-SA"/>
        </w:rPr>
        <w:t>综合评分，得分为</w:t>
      </w:r>
      <w:r>
        <w:rPr>
          <w:rFonts w:hint="eastAsia" w:ascii="仿宋_GB2312" w:eastAsia="仿宋_GB2312" w:cs="Times New Roman"/>
          <w:kern w:val="2"/>
          <w:sz w:val="32"/>
          <w:szCs w:val="32"/>
          <w:lang w:val="en-US" w:eastAsia="zh-CN" w:bidi="ar-SA"/>
        </w:rPr>
        <w:t>91</w:t>
      </w:r>
      <w:r>
        <w:rPr>
          <w:rFonts w:hint="eastAsia" w:ascii="仿宋_GB2312" w:hAnsi="Times New Roman" w:eastAsia="仿宋_GB2312" w:cs="Times New Roman"/>
          <w:kern w:val="2"/>
          <w:sz w:val="32"/>
          <w:szCs w:val="32"/>
          <w:lang w:val="en-US" w:eastAsia="zh-CN" w:bidi="ar-SA"/>
        </w:rPr>
        <w:t>分，综合评价等级分为</w:t>
      </w:r>
      <w:r>
        <w:rPr>
          <w:rFonts w:hint="eastAsia" w:ascii="仿宋_GB2312" w:hAnsi="Times New Roman" w:eastAsia="仿宋_GB2312" w:cs="Times New Roman"/>
          <w:kern w:val="2"/>
          <w:sz w:val="32"/>
          <w:szCs w:val="32"/>
          <w:highlight w:val="none"/>
          <w:lang w:val="en-US" w:eastAsia="zh-CN" w:bidi="ar-SA"/>
        </w:rPr>
        <w:t>优秀</w:t>
      </w:r>
      <w:r>
        <w:rPr>
          <w:rFonts w:hint="eastAsia" w:ascii="仿宋_GB2312" w:hAnsi="Times New Roman" w:eastAsia="仿宋_GB2312" w:cs="Times New Roman"/>
          <w:kern w:val="2"/>
          <w:sz w:val="32"/>
          <w:szCs w:val="32"/>
          <w:lang w:val="en-US" w:eastAsia="zh-CN" w:bidi="ar-SA"/>
        </w:rPr>
        <w:t>。</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p>
      <w:pPr>
        <w:pStyle w:val="4"/>
        <w:rPr>
          <w:rFonts w:hint="default"/>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bookmarkStart w:id="0" w:name="OLE_LINK1" w:colFirst="7" w:colLast="7"/>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w:t>
            </w:r>
          </w:p>
        </w:tc>
      </w:tr>
      <w:bookmarkEnd w:id="0"/>
    </w:tbl>
    <w:p>
      <w:pPr>
        <w:pStyle w:val="9"/>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OTRlN2Y4ZmMwZjVhNzc2MmQ2ODVkZDUyOWIwNjAifQ=="/>
  </w:docVars>
  <w:rsids>
    <w:rsidRoot w:val="00000000"/>
    <w:rsid w:val="00554C33"/>
    <w:rsid w:val="00D51644"/>
    <w:rsid w:val="025D08EA"/>
    <w:rsid w:val="02A74CAA"/>
    <w:rsid w:val="05213482"/>
    <w:rsid w:val="09E17252"/>
    <w:rsid w:val="0D5E3707"/>
    <w:rsid w:val="11E84674"/>
    <w:rsid w:val="126C42B4"/>
    <w:rsid w:val="17042185"/>
    <w:rsid w:val="1F010C8F"/>
    <w:rsid w:val="20F63895"/>
    <w:rsid w:val="26166273"/>
    <w:rsid w:val="2B032004"/>
    <w:rsid w:val="2C7529D1"/>
    <w:rsid w:val="2D6C05C8"/>
    <w:rsid w:val="3619015E"/>
    <w:rsid w:val="36E22B02"/>
    <w:rsid w:val="37A26170"/>
    <w:rsid w:val="3B9303B2"/>
    <w:rsid w:val="3C8416D7"/>
    <w:rsid w:val="3FAB09ED"/>
    <w:rsid w:val="44AF5D78"/>
    <w:rsid w:val="452375C5"/>
    <w:rsid w:val="45833892"/>
    <w:rsid w:val="45CB4E15"/>
    <w:rsid w:val="4ACA7AAB"/>
    <w:rsid w:val="4B991F60"/>
    <w:rsid w:val="4D113C42"/>
    <w:rsid w:val="4E58558A"/>
    <w:rsid w:val="4F3501F1"/>
    <w:rsid w:val="52C04276"/>
    <w:rsid w:val="53202F66"/>
    <w:rsid w:val="55C776C9"/>
    <w:rsid w:val="55E05C2B"/>
    <w:rsid w:val="575435C3"/>
    <w:rsid w:val="58CA4CA4"/>
    <w:rsid w:val="59A70B1E"/>
    <w:rsid w:val="59E60318"/>
    <w:rsid w:val="5CBC5F90"/>
    <w:rsid w:val="5E6D1153"/>
    <w:rsid w:val="5F83500A"/>
    <w:rsid w:val="60745B56"/>
    <w:rsid w:val="641F097E"/>
    <w:rsid w:val="65236940"/>
    <w:rsid w:val="65FC49FF"/>
    <w:rsid w:val="664A41B0"/>
    <w:rsid w:val="66D16D4F"/>
    <w:rsid w:val="66FE6113"/>
    <w:rsid w:val="6B874FA2"/>
    <w:rsid w:val="6FD52562"/>
    <w:rsid w:val="70514092"/>
    <w:rsid w:val="70852420"/>
    <w:rsid w:val="73125FD0"/>
    <w:rsid w:val="755B200B"/>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First Indent"/>
    <w:basedOn w:val="5"/>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5">
    <w:name w:val="Body Text"/>
    <w:basedOn w:val="1"/>
    <w:unhideWhenUsed/>
    <w:qFormat/>
    <w:uiPriority w:val="99"/>
    <w:pPr>
      <w:ind w:left="120"/>
    </w:pPr>
    <w:rPr>
      <w:rFonts w:ascii="仿宋" w:hAnsi="仿宋" w:eastAsia="仿宋" w:cs="仿宋"/>
      <w:sz w:val="32"/>
      <w:szCs w:val="32"/>
      <w:lang w:val="zh-CN" w:bidi="zh-C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4792</Words>
  <Characters>5088</Characters>
  <Lines>0</Lines>
  <Paragraphs>0</Paragraphs>
  <TotalTime>16</TotalTime>
  <ScaleCrop>false</ScaleCrop>
  <LinksUpToDate>false</LinksUpToDate>
  <CharactersWithSpaces>5243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2023-10-08T08:30:43Z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274B035EEB024B5BA07E88962716F62F_13</vt:lpwstr>
  </property>
</Properties>
</file>