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rPr>
          <w:rFonts w:hint="eastAsia" w:ascii="黑体" w:hAnsi="黑体" w:eastAsia="黑体" w:cs="黑体"/>
          <w:color w:val="auto"/>
          <w:sz w:val="40"/>
          <w:szCs w:val="40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cs="仿宋"/>
          <w:sz w:val="32"/>
          <w:szCs w:val="32"/>
          <w:lang w:val="en-US" w:eastAsia="zh-CN"/>
        </w:rPr>
        <w:t xml:space="preserve">3                       </w:t>
      </w:r>
      <w:r>
        <w:rPr>
          <w:rFonts w:hint="eastAsia" w:cs="仿宋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40"/>
          <w:szCs w:val="40"/>
          <w:lang w:bidi="ar"/>
        </w:rPr>
        <w:t>实绩考核量化计分表</w:t>
      </w:r>
    </w:p>
    <w:tbl>
      <w:tblPr>
        <w:tblStyle w:val="8"/>
        <w:tblpPr w:leftFromText="180" w:rightFromText="180" w:vertAnchor="text" w:horzAnchor="page" w:tblpX="1777" w:tblpY="4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587"/>
        <w:gridCol w:w="1981"/>
        <w:gridCol w:w="680"/>
        <w:gridCol w:w="779"/>
        <w:gridCol w:w="744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default" w:ascii="宋体" w:hAnsi="宋体" w:eastAsia="仿宋_GB2312" w:cs="仿宋_GB2312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黑体"/>
                <w:color w:val="auto"/>
                <w:sz w:val="22"/>
                <w:szCs w:val="22"/>
                <w:lang w:val="en-US" w:eastAsia="zh-CN" w:bidi="ar"/>
              </w:rPr>
              <w:t>考核内容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黑体"/>
                <w:color w:val="auto"/>
                <w:sz w:val="22"/>
                <w:szCs w:val="22"/>
                <w:lang w:val="en-US" w:eastAsia="zh-CN" w:bidi="ar"/>
              </w:rPr>
              <w:t>量化评价内容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auto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黑体"/>
                <w:color w:val="auto"/>
                <w:sz w:val="22"/>
                <w:szCs w:val="22"/>
                <w:lang w:bidi="ar"/>
              </w:rPr>
              <w:t>评分标准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黑体"/>
                <w:color w:val="auto"/>
                <w:sz w:val="22"/>
                <w:szCs w:val="22"/>
                <w:lang w:val="en-US" w:eastAsia="zh-CN"/>
              </w:rPr>
              <w:t>权重分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default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auto"/>
                <w:sz w:val="22"/>
                <w:szCs w:val="22"/>
                <w:lang w:val="en-US" w:eastAsia="zh-CN"/>
              </w:rPr>
              <w:t>自评分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color w:val="auto"/>
                <w:sz w:val="22"/>
                <w:szCs w:val="22"/>
                <w:lang w:val="en-US" w:eastAsia="zh-CN"/>
              </w:rPr>
              <w:t>单位评分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rPr>
                <w:rFonts w:hint="default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auto"/>
                <w:sz w:val="22"/>
                <w:szCs w:val="22"/>
                <w:lang w:val="en-US" w:eastAsia="zh-CN" w:bidi="ar"/>
              </w:rPr>
              <w:t>上级审核分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一、受教育情况</w:t>
            </w:r>
          </w:p>
        </w:tc>
        <w:tc>
          <w:tcPr>
            <w:tcW w:w="45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学历学位（15%）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中专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在职大学专科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在职大学本科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全日制大学专科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全日制大学本科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研究生及以上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bidi="ar"/>
              </w:rPr>
              <w:t>二、岗位经历</w:t>
            </w:r>
          </w:p>
        </w:tc>
        <w:tc>
          <w:tcPr>
            <w:tcW w:w="4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所在单位工作时间，核查被考核人员工资领取单，聘用合同，工作痕迹等（10%）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5年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5-8年（含8年）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8-11年（含11年）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11-14年（含14年）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14年以上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restart"/>
            <w:vAlign w:val="center"/>
          </w:tcPr>
          <w:p>
            <w:pPr>
              <w:widowControl/>
              <w:tabs>
                <w:tab w:val="left" w:pos="386"/>
              </w:tabs>
              <w:adjustRightInd w:val="0"/>
              <w:snapToGrid w:val="0"/>
              <w:jc w:val="left"/>
              <w:textAlignment w:val="top"/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val="en-US" w:eastAsia="zh-CN" w:bidi="ar"/>
              </w:rPr>
              <w:t>三、资格证书情况</w:t>
            </w:r>
          </w:p>
        </w:tc>
        <w:tc>
          <w:tcPr>
            <w:tcW w:w="4552" w:type="dxa"/>
            <w:vMerge w:val="restart"/>
            <w:vAlign w:val="center"/>
          </w:tcPr>
          <w:p>
            <w:pPr>
              <w:widowControl/>
              <w:tabs>
                <w:tab w:val="left" w:pos="751"/>
              </w:tabs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查看被考核对象资格证书，或资格证考试成绩单等（6%）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助理医师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tabs>
                <w:tab w:val="left" w:pos="386"/>
              </w:tabs>
              <w:adjustRightInd w:val="0"/>
              <w:snapToGrid w:val="0"/>
              <w:jc w:val="left"/>
              <w:textAlignment w:val="top"/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tabs>
                <w:tab w:val="left" w:pos="751"/>
              </w:tabs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执业医师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restart"/>
            <w:vAlign w:val="center"/>
          </w:tcPr>
          <w:p>
            <w:pPr>
              <w:widowControl/>
              <w:tabs>
                <w:tab w:val="left" w:pos="457"/>
              </w:tabs>
              <w:adjustRightInd w:val="0"/>
              <w:snapToGrid w:val="0"/>
              <w:jc w:val="left"/>
              <w:textAlignment w:val="top"/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val="en-US" w:eastAsia="zh-CN" w:bidi="ar"/>
              </w:rPr>
              <w:t>四、职称情况</w:t>
            </w:r>
          </w:p>
        </w:tc>
        <w:tc>
          <w:tcPr>
            <w:tcW w:w="4552" w:type="dxa"/>
            <w:vMerge w:val="restart"/>
            <w:vAlign w:val="center"/>
          </w:tcPr>
          <w:p>
            <w:pPr>
              <w:widowControl/>
              <w:tabs>
                <w:tab w:val="left" w:pos="751"/>
              </w:tabs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查看被考核对象资格证书，或资格证考试成绩单等（9%）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初级职称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bidi="ar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中级职称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bidi="ar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副高级及以上职称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color w:val="auto"/>
                <w:spacing w:val="-17"/>
                <w:sz w:val="24"/>
                <w:szCs w:val="24"/>
                <w:lang w:val="en-US" w:eastAsia="zh-CN" w:bidi="ar"/>
              </w:rPr>
              <w:t>五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val="en-US" w:eastAsia="zh-CN" w:bidi="ar"/>
              </w:rPr>
              <w:t>参加疫情防控工作情况</w:t>
            </w:r>
          </w:p>
        </w:tc>
        <w:tc>
          <w:tcPr>
            <w:tcW w:w="45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积极服从单位领导安排，参与新冠疫情工作（20%）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参与院内疫情防控工作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参与全区疫情防控工作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参与集中隔离点疫情防控工作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担任疫情防控隔离点负责人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考核内容</w:t>
            </w:r>
          </w:p>
        </w:tc>
        <w:tc>
          <w:tcPr>
            <w:tcW w:w="45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量化评价内容</w:t>
            </w:r>
          </w:p>
        </w:tc>
        <w:tc>
          <w:tcPr>
            <w:tcW w:w="3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评分标准</w:t>
            </w: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权重分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自评分</w:t>
            </w: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单位评分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 w:bidi="ar"/>
              </w:rPr>
              <w:t>上级审核分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color w:val="auto"/>
                <w:spacing w:val="-17"/>
                <w:sz w:val="24"/>
                <w:szCs w:val="24"/>
                <w:lang w:val="en-US" w:eastAsia="zh-CN" w:bidi="ar"/>
              </w:rPr>
              <w:t>六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sz w:val="24"/>
                <w:szCs w:val="24"/>
                <w:lang w:bidi="ar"/>
              </w:rPr>
              <w:t>、获奖及其他情况</w:t>
            </w:r>
          </w:p>
        </w:tc>
        <w:tc>
          <w:tcPr>
            <w:tcW w:w="455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获得区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委、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政府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表彰奖励情况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10%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获得区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委、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政府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表彰奖励，每项可计2分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最高可计10分</w:t>
            </w:r>
          </w:p>
        </w:tc>
        <w:tc>
          <w:tcPr>
            <w:tcW w:w="967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2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仿宋"/>
                <w:color w:val="auto"/>
                <w:sz w:val="24"/>
                <w:szCs w:val="24"/>
                <w:lang w:val="en-US" w:eastAsia="zh-CN" w:bidi="ar"/>
              </w:rPr>
              <w:t>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综合评价</w:t>
            </w:r>
          </w:p>
        </w:tc>
        <w:tc>
          <w:tcPr>
            <w:tcW w:w="455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（一）满意度测评（20%）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（1）原则上单位全体在编在岗职工参加；（2）“满意”计100分，“较满意”计80分，“一般”计60分，“不满意”计0分（对总体评价“不满意”票超过三分之一的实行单项否决）。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汇总测评票数，按要求计算出综合得分后，根据相应比例（比如综合得分为100分，则该项考核得分为20分）折算计分</w:t>
            </w:r>
          </w:p>
        </w:tc>
        <w:tc>
          <w:tcPr>
            <w:tcW w:w="967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adjustRightInd w:val="0"/>
              <w:snapToGrid w:val="0"/>
              <w:spacing w:line="240" w:lineRule="auto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5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（二）考核组评价（10%）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实地了解考核对象具体表现，从综合素质、招聘岗位匹配程度、履行岗位职责情况、品德与个性4个方面进行评价。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评价得分满分为100分，汇总考核组各成员评分后，求出平均分，按平均分折算计分（比如平均分为100分，则该项考核得分为10分）</w:t>
            </w:r>
          </w:p>
        </w:tc>
        <w:tc>
          <w:tcPr>
            <w:tcW w:w="967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adjustRightInd w:val="0"/>
              <w:snapToGrid w:val="0"/>
              <w:spacing w:line="240" w:lineRule="auto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"/>
                <w:color w:val="auto"/>
                <w:sz w:val="24"/>
                <w:szCs w:val="24"/>
                <w:lang w:val="en-US" w:eastAsia="zh-CN" w:bidi="ar"/>
              </w:rPr>
              <w:t>八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bidi="ar"/>
              </w:rPr>
              <w:t>、扣分项目</w:t>
            </w:r>
          </w:p>
        </w:tc>
        <w:tc>
          <w:tcPr>
            <w:tcW w:w="4552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因同一事项受到多重处理的，按最高标准扣分。</w:t>
            </w:r>
          </w:p>
        </w:tc>
        <w:tc>
          <w:tcPr>
            <w:tcW w:w="3475" w:type="dxa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受到上级主管部门通报批评、诫勉、警告、记过等处理的每次扣5分，受到区级部门通报批评、诫勉、警告、记过等处理的每次扣10分</w:t>
            </w:r>
          </w:p>
        </w:tc>
        <w:tc>
          <w:tcPr>
            <w:tcW w:w="967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widowControl/>
              <w:adjustRightInd w:val="0"/>
              <w:snapToGrid w:val="0"/>
              <w:spacing w:line="240" w:lineRule="auto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before="120" w:beforeLines="50" w:line="460" w:lineRule="exact"/>
        <w:ind w:firstLine="560" w:firstLineChars="200"/>
        <w:textAlignment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bidi="ar"/>
        </w:rPr>
        <w:t>注：满分为100分，所有计分项目以本项权重为</w:t>
      </w:r>
      <w:r>
        <w:rPr>
          <w:rFonts w:hint="eastAsia" w:ascii="仿宋" w:hAnsi="仿宋" w:eastAsia="仿宋" w:cs="仿宋"/>
          <w:color w:val="auto"/>
          <w:sz w:val="30"/>
          <w:szCs w:val="30"/>
          <w:lang w:bidi="ar"/>
        </w:rPr>
        <w:t>最高限额，超过限额的按本项权重总分计算。</w:t>
      </w:r>
    </w:p>
    <w:p>
      <w:pPr>
        <w:widowControl/>
        <w:spacing w:line="460" w:lineRule="exact"/>
        <w:ind w:firstLine="560" w:firstLineChars="200"/>
        <w:textAlignment w:val="center"/>
        <w:rPr>
          <w:rFonts w:hint="eastAsia" w:ascii="仿宋" w:hAnsi="仿宋" w:eastAsia="仿宋" w:cs="仿宋"/>
          <w:color w:val="auto"/>
          <w:kern w:val="1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bidi="ar"/>
        </w:rPr>
        <w:t>考核组成员签字：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" w:eastAsia="仿宋_GB2312" w:cs="仿宋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CEAE7F-0FB5-4F2E-8E9B-BCB5C1FE7F2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426D3C6-FA58-41B1-A718-8B91D57297DB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345935E-69A1-4E0F-A081-C74C75D383D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00000000"/>
    <w:rsid w:val="00771B65"/>
    <w:rsid w:val="02661E94"/>
    <w:rsid w:val="03054D3C"/>
    <w:rsid w:val="03CD1A9F"/>
    <w:rsid w:val="03E33FD0"/>
    <w:rsid w:val="041A79B3"/>
    <w:rsid w:val="044632A5"/>
    <w:rsid w:val="049B3D35"/>
    <w:rsid w:val="05A905EC"/>
    <w:rsid w:val="05E67587"/>
    <w:rsid w:val="05EE467B"/>
    <w:rsid w:val="065720A2"/>
    <w:rsid w:val="06EE06AA"/>
    <w:rsid w:val="073B09B3"/>
    <w:rsid w:val="07B2201F"/>
    <w:rsid w:val="081C271B"/>
    <w:rsid w:val="082500FC"/>
    <w:rsid w:val="08F51A94"/>
    <w:rsid w:val="098C6F25"/>
    <w:rsid w:val="09AA3977"/>
    <w:rsid w:val="0A3C43E8"/>
    <w:rsid w:val="0A466107"/>
    <w:rsid w:val="0A5E78F5"/>
    <w:rsid w:val="0A934AB0"/>
    <w:rsid w:val="0B505490"/>
    <w:rsid w:val="0B9B7B09"/>
    <w:rsid w:val="0CAC0566"/>
    <w:rsid w:val="0CF7772C"/>
    <w:rsid w:val="0D246FE4"/>
    <w:rsid w:val="0D6D4513"/>
    <w:rsid w:val="0D91448F"/>
    <w:rsid w:val="0E5E4367"/>
    <w:rsid w:val="0EAA05D0"/>
    <w:rsid w:val="0F5F5CA1"/>
    <w:rsid w:val="0FE86DDE"/>
    <w:rsid w:val="1102547E"/>
    <w:rsid w:val="111D059A"/>
    <w:rsid w:val="11A77DD3"/>
    <w:rsid w:val="11D13A86"/>
    <w:rsid w:val="12BA7692"/>
    <w:rsid w:val="12EF1A32"/>
    <w:rsid w:val="13480524"/>
    <w:rsid w:val="14485ADC"/>
    <w:rsid w:val="146D70B2"/>
    <w:rsid w:val="14B0757C"/>
    <w:rsid w:val="16477798"/>
    <w:rsid w:val="16B34B25"/>
    <w:rsid w:val="16D52CED"/>
    <w:rsid w:val="17461167"/>
    <w:rsid w:val="178C2908"/>
    <w:rsid w:val="182B7E50"/>
    <w:rsid w:val="18764714"/>
    <w:rsid w:val="18EE7450"/>
    <w:rsid w:val="19017DC9"/>
    <w:rsid w:val="191D1DC0"/>
    <w:rsid w:val="19C84D8B"/>
    <w:rsid w:val="19F3694B"/>
    <w:rsid w:val="1B146FBD"/>
    <w:rsid w:val="1B2F669B"/>
    <w:rsid w:val="1BB36FDE"/>
    <w:rsid w:val="1BC007FC"/>
    <w:rsid w:val="1C413097"/>
    <w:rsid w:val="1E2F7187"/>
    <w:rsid w:val="1E330FD2"/>
    <w:rsid w:val="1E333F68"/>
    <w:rsid w:val="1EA61EA5"/>
    <w:rsid w:val="1F95570F"/>
    <w:rsid w:val="1F9B2871"/>
    <w:rsid w:val="205904EB"/>
    <w:rsid w:val="20692E24"/>
    <w:rsid w:val="20EF1EF6"/>
    <w:rsid w:val="211620D1"/>
    <w:rsid w:val="219B6B50"/>
    <w:rsid w:val="21EF7359"/>
    <w:rsid w:val="22355DD1"/>
    <w:rsid w:val="22F92508"/>
    <w:rsid w:val="237C10C0"/>
    <w:rsid w:val="238339E7"/>
    <w:rsid w:val="23B87C1E"/>
    <w:rsid w:val="23D525C5"/>
    <w:rsid w:val="24003A9F"/>
    <w:rsid w:val="247471EC"/>
    <w:rsid w:val="26490D7B"/>
    <w:rsid w:val="26B172D2"/>
    <w:rsid w:val="275C3465"/>
    <w:rsid w:val="28044E18"/>
    <w:rsid w:val="28206C63"/>
    <w:rsid w:val="28536605"/>
    <w:rsid w:val="28C60DD4"/>
    <w:rsid w:val="290903B9"/>
    <w:rsid w:val="29476BC4"/>
    <w:rsid w:val="2AF50A5B"/>
    <w:rsid w:val="2B020D97"/>
    <w:rsid w:val="2B06791E"/>
    <w:rsid w:val="2B2362C5"/>
    <w:rsid w:val="2B8054C5"/>
    <w:rsid w:val="2B921295"/>
    <w:rsid w:val="2C1A1B7C"/>
    <w:rsid w:val="2C46226B"/>
    <w:rsid w:val="2D420CE2"/>
    <w:rsid w:val="2D4A7B39"/>
    <w:rsid w:val="2D856DC3"/>
    <w:rsid w:val="2D8A76CE"/>
    <w:rsid w:val="2E0247DA"/>
    <w:rsid w:val="2E08449E"/>
    <w:rsid w:val="2EE45793"/>
    <w:rsid w:val="2FED3A51"/>
    <w:rsid w:val="30087837"/>
    <w:rsid w:val="30592282"/>
    <w:rsid w:val="30F621CE"/>
    <w:rsid w:val="31261B81"/>
    <w:rsid w:val="31BB5C61"/>
    <w:rsid w:val="31D429FD"/>
    <w:rsid w:val="322408BE"/>
    <w:rsid w:val="323B1912"/>
    <w:rsid w:val="33394C0C"/>
    <w:rsid w:val="33606866"/>
    <w:rsid w:val="353A0807"/>
    <w:rsid w:val="35447075"/>
    <w:rsid w:val="369E5C9F"/>
    <w:rsid w:val="375E0F65"/>
    <w:rsid w:val="39160AB8"/>
    <w:rsid w:val="39730417"/>
    <w:rsid w:val="39897C3B"/>
    <w:rsid w:val="3AA12D62"/>
    <w:rsid w:val="3C236125"/>
    <w:rsid w:val="3C62248D"/>
    <w:rsid w:val="3D52271E"/>
    <w:rsid w:val="3DD627DC"/>
    <w:rsid w:val="3DFD7020"/>
    <w:rsid w:val="3E371A14"/>
    <w:rsid w:val="408D1972"/>
    <w:rsid w:val="41E04A53"/>
    <w:rsid w:val="41FA7928"/>
    <w:rsid w:val="42826B20"/>
    <w:rsid w:val="42B84C64"/>
    <w:rsid w:val="42C57F36"/>
    <w:rsid w:val="43CF26EE"/>
    <w:rsid w:val="44DA57EF"/>
    <w:rsid w:val="45160CB9"/>
    <w:rsid w:val="45515E99"/>
    <w:rsid w:val="455F5F3E"/>
    <w:rsid w:val="45660B86"/>
    <w:rsid w:val="46762EF3"/>
    <w:rsid w:val="47D30AFF"/>
    <w:rsid w:val="47F56FAA"/>
    <w:rsid w:val="483A7DC4"/>
    <w:rsid w:val="49695FC3"/>
    <w:rsid w:val="49943F1C"/>
    <w:rsid w:val="49A35047"/>
    <w:rsid w:val="49AA0371"/>
    <w:rsid w:val="49CA4084"/>
    <w:rsid w:val="4A7736EC"/>
    <w:rsid w:val="4A7B712C"/>
    <w:rsid w:val="4A944B1E"/>
    <w:rsid w:val="4B26466B"/>
    <w:rsid w:val="4B466488"/>
    <w:rsid w:val="4C223A89"/>
    <w:rsid w:val="4C8C73CE"/>
    <w:rsid w:val="4CB5266B"/>
    <w:rsid w:val="4CFA6A2E"/>
    <w:rsid w:val="4CFB09F8"/>
    <w:rsid w:val="4D7F0CE1"/>
    <w:rsid w:val="4DB35848"/>
    <w:rsid w:val="4E33122E"/>
    <w:rsid w:val="4E564138"/>
    <w:rsid w:val="4F324DB2"/>
    <w:rsid w:val="4F38518E"/>
    <w:rsid w:val="4F4915A7"/>
    <w:rsid w:val="4F886D9E"/>
    <w:rsid w:val="4FA709C3"/>
    <w:rsid w:val="503E4EFD"/>
    <w:rsid w:val="508C779E"/>
    <w:rsid w:val="50C57DA2"/>
    <w:rsid w:val="51336CF1"/>
    <w:rsid w:val="51996141"/>
    <w:rsid w:val="51ED64EA"/>
    <w:rsid w:val="52412A09"/>
    <w:rsid w:val="52635075"/>
    <w:rsid w:val="5376271B"/>
    <w:rsid w:val="542D76E9"/>
    <w:rsid w:val="55081F04"/>
    <w:rsid w:val="55E03723"/>
    <w:rsid w:val="56A87CBD"/>
    <w:rsid w:val="56AD4913"/>
    <w:rsid w:val="56AF5204"/>
    <w:rsid w:val="572A43B4"/>
    <w:rsid w:val="57961B32"/>
    <w:rsid w:val="591A3FB4"/>
    <w:rsid w:val="593E6953"/>
    <w:rsid w:val="595B6AA6"/>
    <w:rsid w:val="5A2C267B"/>
    <w:rsid w:val="5AD85EA1"/>
    <w:rsid w:val="5C583AA6"/>
    <w:rsid w:val="5C58551F"/>
    <w:rsid w:val="5C7530A6"/>
    <w:rsid w:val="5CAE3391"/>
    <w:rsid w:val="5D554976"/>
    <w:rsid w:val="5D8B5480"/>
    <w:rsid w:val="5E422EEA"/>
    <w:rsid w:val="5E972FF1"/>
    <w:rsid w:val="5EDA046D"/>
    <w:rsid w:val="5F245B8C"/>
    <w:rsid w:val="5F784967"/>
    <w:rsid w:val="60367784"/>
    <w:rsid w:val="604A1ADC"/>
    <w:rsid w:val="61483DB4"/>
    <w:rsid w:val="61493688"/>
    <w:rsid w:val="62EC076F"/>
    <w:rsid w:val="62F77490"/>
    <w:rsid w:val="630E7FEA"/>
    <w:rsid w:val="63211773"/>
    <w:rsid w:val="639826A5"/>
    <w:rsid w:val="64F14763"/>
    <w:rsid w:val="65360EDE"/>
    <w:rsid w:val="654900FB"/>
    <w:rsid w:val="65756003"/>
    <w:rsid w:val="66814F83"/>
    <w:rsid w:val="66CE11C4"/>
    <w:rsid w:val="67CB3049"/>
    <w:rsid w:val="67FA3DD0"/>
    <w:rsid w:val="69F10D61"/>
    <w:rsid w:val="6A0740E0"/>
    <w:rsid w:val="6B810D66"/>
    <w:rsid w:val="6BAD0377"/>
    <w:rsid w:val="6C360D18"/>
    <w:rsid w:val="6C51446C"/>
    <w:rsid w:val="6C5316EB"/>
    <w:rsid w:val="6CD417E7"/>
    <w:rsid w:val="6D390A55"/>
    <w:rsid w:val="6D526EEE"/>
    <w:rsid w:val="6DD333F3"/>
    <w:rsid w:val="6E6164B5"/>
    <w:rsid w:val="6F053DC0"/>
    <w:rsid w:val="6F3516F0"/>
    <w:rsid w:val="6F767D3E"/>
    <w:rsid w:val="71306613"/>
    <w:rsid w:val="71BC7EA6"/>
    <w:rsid w:val="726B5D38"/>
    <w:rsid w:val="727D2ACC"/>
    <w:rsid w:val="72C54B39"/>
    <w:rsid w:val="73D770CE"/>
    <w:rsid w:val="741E51F9"/>
    <w:rsid w:val="74232327"/>
    <w:rsid w:val="74A7099A"/>
    <w:rsid w:val="752B3379"/>
    <w:rsid w:val="753D5E16"/>
    <w:rsid w:val="75553DCD"/>
    <w:rsid w:val="75976C60"/>
    <w:rsid w:val="769B008A"/>
    <w:rsid w:val="77000835"/>
    <w:rsid w:val="77045FE3"/>
    <w:rsid w:val="77533239"/>
    <w:rsid w:val="77E872FF"/>
    <w:rsid w:val="79105C67"/>
    <w:rsid w:val="7A8D2E9A"/>
    <w:rsid w:val="7A992B33"/>
    <w:rsid w:val="7A996FD7"/>
    <w:rsid w:val="7BAD4AF5"/>
    <w:rsid w:val="7C080F50"/>
    <w:rsid w:val="7C653614"/>
    <w:rsid w:val="7CCF5870"/>
    <w:rsid w:val="7DBD6841"/>
    <w:rsid w:val="7E6F077A"/>
    <w:rsid w:val="7EAD04A6"/>
    <w:rsid w:val="7EC00FD6"/>
    <w:rsid w:val="7F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unhideWhenUsed/>
    <w:qFormat/>
    <w:uiPriority w:val="99"/>
    <w:rPr>
      <w:color w:val="444444"/>
      <w:sz w:val="18"/>
      <w:szCs w:val="18"/>
      <w:u w:val="none"/>
    </w:rPr>
  </w:style>
  <w:style w:type="character" w:customStyle="1" w:styleId="13">
    <w:name w:val="font51"/>
    <w:basedOn w:val="9"/>
    <w:qFormat/>
    <w:uiPriority w:val="0"/>
    <w:rPr>
      <w:rFonts w:hint="eastAsia" w:ascii="楷体_GB2312" w:eastAsia="楷体_GB2312" w:cs="楷体_GB2312"/>
      <w:color w:val="000000"/>
      <w:sz w:val="28"/>
      <w:szCs w:val="28"/>
      <w:u w:val="single"/>
    </w:rPr>
  </w:style>
  <w:style w:type="character" w:customStyle="1" w:styleId="14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eastAsia" w:ascii="楷体_GB2312" w:eastAsia="楷体_GB2312" w:cs="楷体_GB2312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5548</Words>
  <Characters>5671</Characters>
  <Lines>0</Lines>
  <Paragraphs>0</Paragraphs>
  <TotalTime>12</TotalTime>
  <ScaleCrop>false</ScaleCrop>
  <LinksUpToDate>false</LinksUpToDate>
  <CharactersWithSpaces>5863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2021-07-16T03:33:00Z</dcterms:created>
  <dc:creator>Administrator</dc:creator>
  <cp:lastModifiedBy>Administrator</cp:lastModifiedBy>
  <cp:lastPrinted>2022-09-20T03:35:00Z</cp:lastPrinted>
  <dcterms:modified xsi:type="dcterms:W3CDTF">2022-09-22T11:49:45Z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3B7A1F25A5204051836BB3BCF0613179</vt:lpwstr>
  </property>
</Properties>
</file>