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方正小标宋_GBK" w:cs="方正小标宋_GBK" w:eastAsia="方正小标宋_GBK" w:hAnsi="方正小标宋_GBK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20"/>
        <w:ind w:left="0" w:right="0" w:firstLine="0"/>
        <w:jc w:val="center"/>
        <w:textAlignment w:val="auto"/>
        <w:rPr>
          <w:rFonts w:ascii="黑体" w:cs="黑体" w:eastAsia="黑体" w:hAnsi="黑体" w:hint="eastAsia"/>
          <w:b/>
          <w:bCs/>
          <w:i w:val="false"/>
          <w:iCs w:val="false"/>
          <w:caps w:val="false"/>
          <w:color w:val="000000"/>
          <w:spacing w:val="0"/>
          <w:sz w:val="52"/>
          <w:szCs w:val="52"/>
          <w:shd w:val="clear" w:color="auto" w:fill="ffffff"/>
          <w:lang w:val="en-US" w:eastAsia="zh-CN"/>
        </w:rPr>
      </w:pPr>
      <w:r>
        <w:rPr>
          <w:rFonts w:ascii="黑体" w:cs="黑体" w:eastAsia="黑体" w:hAnsi="黑体" w:hint="eastAsia"/>
          <w:b/>
          <w:bCs/>
          <w:i w:val="false"/>
          <w:iCs w:val="false"/>
          <w:caps w:val="false"/>
          <w:color w:val="000000"/>
          <w:spacing w:val="0"/>
          <w:sz w:val="52"/>
          <w:szCs w:val="52"/>
          <w:shd w:val="clear" w:color="auto" w:fill="ffffff"/>
          <w:lang w:val="en-US" w:eastAsia="zh-CN"/>
        </w:rPr>
        <w:t>中共邵阳市北塔区委组织部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20"/>
        <w:ind w:left="0" w:right="0" w:firstLine="0"/>
        <w:jc w:val="center"/>
        <w:textAlignment w:val="auto"/>
        <w:rPr>
          <w:rFonts w:ascii="黑体" w:cs="黑体" w:eastAsia="黑体" w:hAnsi="黑体" w:hint="eastAsia"/>
          <w:b/>
          <w:bCs/>
          <w:i w:val="false"/>
          <w:iCs w:val="false"/>
          <w:caps w:val="false"/>
          <w:color w:val="000000"/>
          <w:spacing w:val="0"/>
          <w:sz w:val="52"/>
          <w:szCs w:val="52"/>
        </w:rPr>
      </w:pPr>
      <w:r>
        <w:rPr>
          <w:rFonts w:ascii="黑体" w:cs="黑体" w:eastAsia="黑体" w:hAnsi="黑体" w:hint="eastAsia"/>
          <w:b/>
          <w:bCs/>
          <w:i w:val="false"/>
          <w:iCs w:val="false"/>
          <w:caps w:val="false"/>
          <w:color w:val="000000"/>
          <w:spacing w:val="0"/>
          <w:sz w:val="52"/>
          <w:szCs w:val="52"/>
          <w:shd w:val="clear" w:color="auto" w:fill="ffffff"/>
        </w:rPr>
        <w:t>部门整体支出绩效自评报告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="0" w:right="0" w:firstLine="0"/>
        <w:jc w:val="center"/>
        <w:textAlignment w:val="auto"/>
        <w:rPr>
          <w:rFonts w:ascii="仿宋_GB2312" w:cs="仿宋_GB2312" w:eastAsia="仿宋_GB2312"/>
          <w:i w:val="false"/>
          <w:iCs w:val="false"/>
          <w:caps w:val="false"/>
          <w:color w:val="000000"/>
          <w:spacing w:val="0"/>
          <w:sz w:val="24"/>
          <w:szCs w:val="24"/>
        </w:rPr>
      </w:pP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right="0" w:firstLine="0"/>
        <w:textAlignment w:val="auto"/>
        <w:rPr>
          <w:rFonts w:ascii="黑体" w:cs="黑体" w:eastAsia="黑体" w:hAnsi="黑体" w:hint="eastAsia"/>
          <w:i w:val="false"/>
          <w:iCs w:val="false"/>
          <w:caps w:val="false"/>
          <w:color w:val="000000"/>
          <w:spacing w:val="0"/>
          <w:sz w:val="32"/>
          <w:szCs w:val="32"/>
        </w:rPr>
      </w:pPr>
      <w:r>
        <w:rPr>
          <w:rFonts w:ascii="黑体" w:cs="黑体" w:eastAsia="黑体" w:hAnsi="黑体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一、部门、单位基本情况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right="0" w:firstLine="0"/>
        <w:textAlignment w:val="auto"/>
        <w:rPr>
          <w:rFonts w:ascii="楷体_GB2312" w:cs="楷体_GB2312" w:eastAsia="楷体_GB2312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楷体_GB2312" w:cs="楷体_GB2312" w:eastAsia="楷体_GB2312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（一）机构设置情况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lineRule="exact" w:line="560"/>
        <w:ind w:firstLine="640" w:firstLineChars="200"/>
        <w:jc w:val="left"/>
        <w:textAlignment w:val="auto"/>
        <w:rPr>
          <w:rFonts w:ascii="楷体_GB2312" w:cs="楷体_GB2312" w:eastAsia="楷体_GB2312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仿宋_GB2312" w:cs="仿宋_GB2312" w:eastAsia="仿宋_GB2312" w:hAnsi="Calibri" w:hint="eastAsia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中共邵阳市北塔区委组织部(以下简称区委组织部)是北塔区委主管的职能部门，为正科级，由区委统一领导和管理。区委组织部包含区委组织部机关，内设8个机构及所属二级机构2个。内设机构分别是：</w:t>
      </w:r>
      <w:r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办公室（调研组）、组织组、干部组、人才组、干部监督组（举报中心）、考评办、干部信息组及干部教育组。</w:t>
      </w:r>
      <w:r>
        <w:rPr>
          <w:rFonts w:ascii="仿宋_GB2312" w:cs="仿宋_GB2312" w:eastAsia="仿宋_GB2312" w:hAnsi="Calibri" w:hint="eastAsia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所属二级机构是：党员教育中心、北塔区绩效事务中心。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1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right="0" w:firstLine="0"/>
        <w:textAlignment w:val="auto"/>
        <w:rPr>
          <w:rFonts w:ascii="楷体_GB2312" w:cs="楷体_GB2312" w:eastAsia="楷体_GB2312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楷体_GB2312" w:cs="楷体_GB2312" w:eastAsia="楷体_GB2312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人员编制情况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Chars="0" w:right="0" w:rightChars="0" w:firstLine="640" w:firstLineChars="200"/>
        <w:textAlignment w:val="auto"/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eastAsia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区委组织部编制人数19人，实际人数19人，离退休 0人，遗属补助人数2人。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1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="0" w:leftChars="0" w:right="0" w:firstLine="0" w:firstLineChars="0"/>
        <w:textAlignment w:val="auto"/>
        <w:rPr>
          <w:rFonts w:ascii="楷体_GB2312" w:cs="楷体_GB2312" w:eastAsia="楷体_GB2312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楷体_GB2312" w:cs="楷体_GB2312" w:eastAsia="楷体_GB2312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主要职能职责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before="0" w:beforeAutospacing="false" w:after="2" w:afterAutospacing="false" w:lineRule="exact" w:line="560"/>
        <w:ind w:left="0" w:firstLine="628"/>
        <w:textAlignment w:val="auto"/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1、贯彻执行中央、省、市关于组织、干部、人才及老干工作的方针、政策和法律、法规，拟订全区组织、干部、人才及老干工作有关制度并组织实施。 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before="0" w:beforeAutospacing="false" w:after="2" w:afterAutospacing="false" w:lineRule="exact" w:line="560"/>
        <w:ind w:left="0" w:firstLine="630"/>
        <w:textAlignment w:val="auto"/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2、负责研究和指导党组织建设，制订加强党的工作制度、党内生活制度的规定和意见，会同有关部门对乡镇（街道）党（工）委和区委管理的企事业单位党委（党组）换届选举及单位党委（党组）民主生活会进行指导；研究指导党的基层组织建设以及党组织的设置原则、隶属关系和活动内容、工作方式；研究、指导党员队伍建设，主管党员管理和发展工作，指导、协调党员教育工作；负责全区党费收缴及管理工作；组织和开展新时代党的建设的理论研究。 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before="0" w:beforeAutospacing="false" w:after="2" w:afterAutospacing="false" w:lineRule="exact" w:line="560"/>
        <w:ind w:left="0" w:firstLine="630"/>
        <w:textAlignment w:val="auto"/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3、负责干部队伍建设的宏观管理，制订和参与组织、干部、人事工作的重要政策、法规、制度，并对重要经验进行总结推介。 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before="0" w:beforeAutospacing="false" w:after="2" w:afterAutospacing="false" w:lineRule="exact" w:line="560"/>
        <w:ind w:left="0" w:firstLine="630"/>
        <w:textAlignment w:val="auto"/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4、提出乡镇（街道）和区直部门以及其他列入区委管理的领导班子调整、配备的意见和建议；负责区委管理干部的考察、任免、工资、待遇、出国（境）、退（离）休审批手续的办理；负责县处级领导班子换届选举和届中调整的有关工作；负责全区干部公开选拔的指导，承办副科级以上干部公开选拔的具体工作；组织落实培养选拔中青年干部、妇女干部、少数民族干部、党外干部的有关规划和方案；组织开展职务与职级并行工作；指导乡镇（街道）和区直部门领导班子的思想作风建设。 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before="0" w:beforeAutospacing="false" w:after="2" w:afterAutospacing="false" w:lineRule="exact" w:line="560"/>
        <w:ind w:left="0" w:firstLine="630"/>
        <w:textAlignment w:val="auto"/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5、研究制订全区组织管理信息系统建设规划，指导全区组织系统信息网络建设；负责全区干部人事档案、党员统计、干部统计工作的宏观指导。 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before="0" w:beforeAutospacing="false" w:after="2" w:afterAutospacing="false" w:lineRule="exact" w:line="560"/>
        <w:ind w:left="0" w:firstLine="630"/>
        <w:textAlignment w:val="auto"/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6、负责干部监督工作的宏观指导，负责组织工作和干部工作的督促检查，及时向市委组织部和区委反映重要情况，对反映领导班子和领导干部的重要问题进行调查了解和督办；负责对全区干部选拔任用工作进行监督，对有关监督制度的落实情况进行督查，对市委和区委管理的干部的历史遗留问题进行初审和审查。 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before="0" w:beforeAutospacing="false" w:after="2" w:afterAutospacing="false" w:lineRule="exact" w:line="560"/>
        <w:ind w:left="0" w:firstLine="630"/>
        <w:textAlignment w:val="auto"/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7、制订干部教育工作规划，组织、协调市管、区管干部和部分中青年干部的培训，指导、协调、检查全区和区直部门的干部教育工作。 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before="0" w:beforeAutospacing="false" w:after="2" w:afterAutospacing="false" w:lineRule="exact" w:line="560"/>
        <w:ind w:left="0" w:firstLine="630"/>
        <w:textAlignment w:val="auto"/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8、制订或参与制订有关人才工作的政策、规定，指导、协调、检查人才工作和选拔优秀人才；指导有关专家开展活动。 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before="0" w:beforeAutospacing="false" w:after="2" w:afterAutospacing="false" w:lineRule="exact" w:line="560"/>
        <w:ind w:left="0" w:firstLine="630"/>
        <w:textAlignment w:val="auto"/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9、负责全区离（退）休干部工作。贯彻执行上级有关离（退）休干部工作的方针、政策，制订全区离（退）休干部工作规划和制度，指导、监督、协调各单位做好离（退）休干部管理和服务工作，加强对离退休干部党建工作指导；承担区关心下一代工作委员会的工作。 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before="0" w:beforeAutospacing="false" w:after="2" w:afterAutospacing="false" w:lineRule="exact" w:line="560"/>
        <w:ind w:left="0" w:firstLine="630"/>
        <w:textAlignment w:val="auto"/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10、负责区直属机关工作委员会工作。研究、规划、指导区直属单位党组织建设，按机关党建工作要求，负责所属党组织的组织建设、管理和发展党员工作，加强机关党员队伍和党务工作者队伍建设，促进机关作风建设。 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before="0" w:beforeAutospacing="false" w:after="2" w:afterAutospacing="false" w:lineRule="exact" w:line="560"/>
        <w:ind w:left="0" w:firstLine="630"/>
        <w:textAlignment w:val="auto"/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11、负责区委非公有制经济组织和社会组织工作委员会工作。研究、规划、指导全区非公有制经济组织和新社会组织基层党建工作，规范基层组织建设，扩大党的组织覆盖和工作覆盖。 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before="0" w:beforeAutospacing="false" w:after="2" w:afterAutospacing="false" w:lineRule="exact" w:line="560"/>
        <w:ind w:left="0" w:firstLine="630"/>
        <w:textAlignment w:val="auto"/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12、负责全区公务员管理工作。组织实施全区国家公务员的职位分类、录用、考核等管理工作。 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Chars="0" w:right="0" w:rightChars="0"/>
        <w:textAlignment w:val="auto"/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13、承办区委、区政府和上级部门交办的其他事项。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right="0" w:firstLine="0"/>
        <w:textAlignment w:val="auto"/>
        <w:rPr>
          <w:rFonts w:ascii="楷体_GB2312" w:cs="楷体_GB2312" w:eastAsia="楷体_GB2312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楷体_GB2312" w:cs="楷体_GB2312" w:eastAsia="楷体_GB2312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（四）绩效目标设定情况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right="0" w:firstLine="640" w:firstLineChars="200"/>
        <w:textAlignment w:val="auto"/>
        <w:rPr>
          <w:rFonts w:ascii="仿宋_GB2312" w:cs="仿宋_GB2312" w:eastAsia="仿宋_GB2312" w:hAnsi="Calibri" w:hint="eastAsia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eastAsia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本部门高度重视绩效目标设定工作，以服务区域发展，加强党组织建设和干部队伍管理为核心。明确了提升了提升干部选拔任用的科学性和公正性，加大基层党组织建设力度，增强党员教育培训效果等主要目标。在干部工作方面，致力于选拔出德才兼备、适应发展需求的优秀干部。在党组织建设上，力求实现党组织覆盖更广、组织活力更强。同时，注重党员教育的针对性和实效性，提高党员素质和先锋模范作用。通过严谨科学的绩效目标设定，为区域发展提供坚强的组织保障和人才支撑。</w:t>
      </w:r>
    </w:p>
    <w:p>
      <w:pPr>
        <w:pStyle w:val="style0"/>
        <w:keepNext w:val="false"/>
        <w:keepLines w:val="false"/>
        <w:pageBreakBefore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Rule="exact" w:line="560"/>
        <w:ind w:firstLine="0"/>
        <w:textAlignment w:val="auto"/>
        <w:rPr>
          <w:rFonts w:ascii="黑体" w:cs="黑体" w:eastAsia="黑体" w:hAnsi="黑体" w:hint="eastAsia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黑体" w:cs="黑体" w:eastAsia="黑体" w:hAnsi="黑体" w:hint="eastAsia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二、部门整体支出管理及使用情况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right="0" w:firstLine="0"/>
        <w:textAlignment w:val="auto"/>
        <w:rPr>
          <w:rFonts w:ascii="楷体_GB2312" w:cs="楷体_GB2312" w:eastAsia="楷体_GB2312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楷体_GB2312" w:cs="楷体_GB2312" w:eastAsia="楷体_GB2312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（一）</w:t>
      </w:r>
      <w:r>
        <w:rPr>
          <w:rFonts w:ascii="楷体_GB2312" w:cs="楷体_GB2312" w:eastAsia="楷体_GB2312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预算执行、使用、管理总体情况。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before="0" w:beforeAutospacing="false" w:after="2" w:afterAutospacing="false" w:lineRule="exact" w:line="560"/>
        <w:ind w:left="0" w:firstLine="630"/>
        <w:textAlignment w:val="auto"/>
        <w:rPr>
          <w:rFonts w:ascii="楷体_GB2312" w:cs="楷体_GB2312" w:eastAsia="楷体_GB2312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仿宋_GB2312" w:cs="仿宋_GB2312" w:eastAsia="仿宋_GB2312" w:hAnsi="Calibri" w:hint="eastAsia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2023年度区委组织部财政预算拨款收入为586.88万元，年初预算数为262.78万元；2023年度实际支出586.88万元（基本支出586.88万元、项目支出0万元），其中一般公共服务支出489.91万元、社会保障和就业支出18.75万元、卫生健康支出18.78万元、农林水支出42.51万元、住房保障支出16.92万元。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right="0" w:firstLine="0"/>
        <w:textAlignment w:val="auto"/>
        <w:rPr>
          <w:rFonts w:ascii="楷体_GB2312" w:cs="楷体_GB2312" w:eastAsia="楷体_GB2312" w:hint="default"/>
          <w:i w:val="false"/>
          <w:iCs w:val="false"/>
          <w:caps w:val="false"/>
          <w:color w:val="000000"/>
          <w:spacing w:val="0"/>
          <w:sz w:val="32"/>
          <w:szCs w:val="32"/>
        </w:rPr>
      </w:pPr>
      <w:r>
        <w:rPr>
          <w:rFonts w:ascii="楷体_GB2312" w:cs="楷体_GB2312" w:eastAsia="楷体_GB2312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（二）部门预算执行情况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="640" w:right="0" w:firstLine="0"/>
        <w:textAlignment w:val="auto"/>
        <w:rPr>
          <w:rFonts w:ascii="仿宋_GB2312" w:cs="仿宋_GB2312" w:eastAsia="仿宋_GB2312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仿宋_GB2312" w:cs="仿宋_GB2312" w:eastAsia="仿宋_GB2312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1.基本支出情况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before="0" w:beforeAutospacing="false" w:after="2" w:afterAutospacing="false" w:lineRule="exact" w:line="560"/>
        <w:ind w:left="0" w:firstLine="630"/>
        <w:textAlignment w:val="auto"/>
        <w:rPr>
          <w:rFonts w:ascii="仿宋_GB2312" w:cs="仿宋_GB2312" w:eastAsia="仿宋_GB2312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仿宋_GB2312" w:cs="仿宋_GB2312" w:eastAsia="仿宋_GB2312" w:hAnsi="Calibri" w:hint="eastAsia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ascii="仿宋_GB2312" w:cs="仿宋_GB2312" w:eastAsia="仿宋_GB2312" w:hint="eastAsia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仿宋_GB2312" w:cs="仿宋_GB2312" w:eastAsia="仿宋_GB2312" w:hAnsi="Calibri" w:hint="eastAsia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年度区委组织部基本支出年初预算安排为</w:t>
      </w:r>
      <w:r>
        <w:rPr>
          <w:rFonts w:ascii="仿宋_GB2312" w:cs="仿宋_GB2312" w:eastAsia="仿宋_GB2312" w:hint="eastAsia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262.78</w:t>
      </w:r>
      <w:r>
        <w:rPr>
          <w:rFonts w:ascii="仿宋_GB2312" w:cs="仿宋_GB2312" w:eastAsia="仿宋_GB2312" w:hAnsi="Calibri" w:hint="eastAsia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万元，本年实际支出为586.88万元，主要为人员经费支出和公用经费支出，其中人员经费支出</w:t>
      </w:r>
      <w:r>
        <w:rPr>
          <w:rFonts w:ascii="仿宋_GB2312" w:cs="仿宋_GB2312" w:eastAsia="仿宋_GB2312" w:hint="eastAsia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303.93</w:t>
      </w:r>
      <w:r>
        <w:rPr>
          <w:rFonts w:ascii="仿宋_GB2312" w:cs="仿宋_GB2312" w:eastAsia="仿宋_GB2312" w:hAnsi="Calibri" w:hint="eastAsia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万元、公用经费支出</w:t>
      </w:r>
      <w:r>
        <w:rPr>
          <w:rFonts w:ascii="仿宋_GB2312" w:cs="仿宋_GB2312" w:eastAsia="仿宋_GB2312" w:hint="eastAsia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282.95</w:t>
      </w:r>
      <w:r>
        <w:rPr>
          <w:rFonts w:ascii="仿宋_GB2312" w:cs="仿宋_GB2312" w:eastAsia="仿宋_GB2312" w:hAnsi="Calibri" w:hint="eastAsia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万元。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="640" w:leftChars="0" w:right="0" w:rightChars="0"/>
        <w:textAlignment w:val="auto"/>
        <w:rPr>
          <w:rFonts w:ascii="仿宋_GB2312" w:cs="仿宋_GB2312" w:eastAsia="仿宋_GB2312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仿宋_GB2312" w:cs="仿宋_GB2312" w:eastAsia="仿宋_GB2312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ascii="仿宋_GB2312" w:cs="仿宋_GB2312" w:eastAsia="仿宋_GB2312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项目支出情况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kinsoku/>
        <w:wordWrap/>
        <w:overflowPunct/>
        <w:topLinePunct w:val="false"/>
        <w:autoSpaceDE/>
        <w:autoSpaceDN/>
        <w:bidi w:val="false"/>
        <w:adjustRightInd/>
        <w:spacing w:before="240" w:beforeAutospacing="false" w:after="0" w:afterAutospacing="false" w:lineRule="exact" w:line="560"/>
        <w:ind w:right="0" w:rightChars="0" w:firstLine="640" w:firstLineChars="200"/>
        <w:jc w:val="both"/>
        <w:textAlignment w:val="auto"/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eastAsia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本年项目支出年初预算安排为</w:t>
      </w:r>
      <w:r>
        <w:rPr>
          <w:rFonts w:ascii="仿宋_GB2312" w:cs="仿宋_GB2312" w:eastAsia="仿宋_GB2312" w:hint="eastAsia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40.8</w:t>
      </w:r>
      <w:r>
        <w:rPr>
          <w:rFonts w:ascii="仿宋_GB2312" w:cs="仿宋_GB2312" w:eastAsia="仿宋_GB2312" w:hAnsi="Calibri" w:hint="eastAsia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万元，本年实际支出为0万元，无项目支出。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Chars="0" w:right="0" w:rightChars="0"/>
        <w:textAlignment w:val="auto"/>
        <w:rPr>
          <w:rFonts w:ascii="楷体_GB2312" w:cs="楷体_GB2312" w:eastAsia="楷体_GB2312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楷体_GB2312" w:cs="楷体_GB2312" w:eastAsia="楷体_GB2312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eastAsia="zh-CN"/>
        </w:rPr>
        <w:t>（三）</w:t>
      </w:r>
      <w:r>
        <w:rPr>
          <w:rFonts w:ascii="楷体_GB2312" w:cs="楷体_GB2312" w:eastAsia="楷体_GB2312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"三公"经费使用和管理情况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right="0" w:firstLine="640" w:firstLineChars="200"/>
        <w:textAlignment w:val="auto"/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eastAsia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2023年我部厉行节约，缩节开支，“三公”经费预算数为0.5万元，决算数为0万元，其中公务用车购置及运行维护费预算数为0万元，决算数0万元，公务接待费预算数0.5万元，决算数0万元。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2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right="0" w:firstLine="0"/>
        <w:textAlignment w:val="auto"/>
        <w:rPr>
          <w:rFonts w:ascii="黑体" w:cs="黑体" w:eastAsia="黑体" w:hAnsi="黑体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黑体" w:cs="黑体" w:eastAsia="黑体" w:hAnsi="黑体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政府性基金预算支出情况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right="0" w:firstLine="320" w:firstLineChars="100"/>
        <w:textAlignment w:val="auto"/>
        <w:rPr>
          <w:rFonts w:ascii="黑体" w:cs="黑体" w:eastAsia="黑体" w:hAnsi="黑体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仿宋" w:cs="仿宋" w:eastAsia="仿宋" w:hAnsi="仿宋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　2023年，我</w:t>
      </w:r>
      <w:r>
        <w:rPr>
          <w:rFonts w:ascii="仿宋" w:cs="仿宋" w:eastAsia="仿宋" w:hAnsi="仿宋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eastAsia="zh-CN"/>
        </w:rPr>
        <w:t>部</w:t>
      </w:r>
      <w:r>
        <w:rPr>
          <w:rFonts w:ascii="仿宋" w:cs="仿宋" w:eastAsia="仿宋" w:hAnsi="仿宋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无政府性基金预算支出。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2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="0" w:leftChars="0" w:right="0" w:firstLine="0" w:firstLineChars="0"/>
        <w:textAlignment w:val="auto"/>
        <w:rPr>
          <w:rFonts w:ascii="黑体" w:cs="黑体" w:eastAsia="黑体" w:hAnsi="黑体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黑体" w:cs="黑体" w:eastAsia="黑体" w:hAnsi="黑体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国有资本经营预算支出情况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Chars="0" w:right="0" w:rightChars="0" w:firstLine="640" w:firstLineChars="200"/>
        <w:textAlignment w:val="auto"/>
        <w:rPr>
          <w:rFonts w:ascii="黑体" w:cs="黑体" w:eastAsia="黑体" w:hAnsi="黑体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仿宋" w:cs="仿宋" w:eastAsia="仿宋" w:hAnsi="仿宋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2023年，我</w:t>
      </w:r>
      <w:r>
        <w:rPr>
          <w:rFonts w:ascii="仿宋" w:cs="仿宋" w:eastAsia="仿宋" w:hAnsi="仿宋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eastAsia="zh-CN"/>
        </w:rPr>
        <w:t>部</w:t>
      </w:r>
      <w:r>
        <w:rPr>
          <w:rFonts w:ascii="仿宋" w:cs="仿宋" w:eastAsia="仿宋" w:hAnsi="仿宋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无</w:t>
      </w:r>
      <w:r>
        <w:rPr>
          <w:rFonts w:ascii="仿宋" w:cs="仿宋" w:eastAsia="仿宋" w:hAnsi="仿宋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eastAsia="zh-CN"/>
        </w:rPr>
        <w:t>国有资本经营</w:t>
      </w:r>
      <w:r>
        <w:rPr>
          <w:rFonts w:ascii="仿宋" w:cs="仿宋" w:eastAsia="仿宋" w:hAnsi="仿宋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预算支出。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2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="0" w:leftChars="0" w:right="0" w:firstLine="0" w:firstLineChars="0"/>
        <w:textAlignment w:val="auto"/>
        <w:rPr>
          <w:rFonts w:ascii="黑体" w:cs="黑体" w:eastAsia="黑体" w:hAnsi="黑体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黑体" w:cs="黑体" w:eastAsia="黑体" w:hAnsi="黑体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社会保险基金预算支出情况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Chars="0" w:right="0" w:rightChars="0" w:firstLine="640" w:firstLineChars="200"/>
        <w:textAlignment w:val="auto"/>
        <w:rPr>
          <w:rFonts w:ascii="黑体" w:cs="黑体" w:eastAsia="黑体" w:hAnsi="黑体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仿宋" w:cs="仿宋" w:eastAsia="仿宋" w:hAnsi="仿宋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2023年，我</w:t>
      </w:r>
      <w:r>
        <w:rPr>
          <w:rFonts w:ascii="仿宋" w:cs="仿宋" w:eastAsia="仿宋" w:hAnsi="仿宋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eastAsia="zh-CN"/>
        </w:rPr>
        <w:t>部</w:t>
      </w:r>
      <w:r>
        <w:rPr>
          <w:rFonts w:ascii="仿宋" w:cs="仿宋" w:eastAsia="仿宋" w:hAnsi="仿宋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无</w:t>
      </w:r>
      <w:r>
        <w:rPr>
          <w:rFonts w:ascii="仿宋" w:cs="仿宋" w:eastAsia="仿宋" w:hAnsi="仿宋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eastAsia="zh-CN"/>
        </w:rPr>
        <w:t>社会保险基金</w:t>
      </w:r>
      <w:r>
        <w:rPr>
          <w:rFonts w:ascii="仿宋" w:cs="仿宋" w:eastAsia="仿宋" w:hAnsi="仿宋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预算支出。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right="0" w:firstLine="0"/>
        <w:textAlignment w:val="auto"/>
        <w:rPr>
          <w:rFonts w:ascii="黑体" w:cs="黑体" w:eastAsia="黑体" w:hAnsi="黑体" w:hint="eastAsia"/>
          <w:i w:val="false"/>
          <w:iCs w:val="false"/>
          <w:caps w:val="false"/>
          <w:color w:val="000000"/>
          <w:spacing w:val="0"/>
          <w:sz w:val="32"/>
          <w:szCs w:val="32"/>
        </w:rPr>
      </w:pPr>
      <w:r>
        <w:rPr>
          <w:rFonts w:ascii="黑体" w:cs="黑体" w:eastAsia="黑体" w:hAnsi="黑体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六、部门整体支出绩效情况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right="0" w:firstLine="0"/>
        <w:textAlignment w:val="auto"/>
        <w:rPr>
          <w:rFonts w:ascii="仿宋_GB2312" w:cs="仿宋_GB2312" w:eastAsia="仿宋_GB2312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楷体_GB2312" w:cs="楷体_GB2312" w:eastAsia="楷体_GB2312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（一）综合评价结论。</w:t>
      </w: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pacing w:before="0" w:beforeAutospacing="false" w:after="2" w:afterAutospacing="false" w:lineRule="exact" w:line="560"/>
        <w:ind w:left="0" w:firstLine="630"/>
        <w:textAlignment w:val="auto"/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eastAsia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2023年，</w:t>
      </w:r>
      <w:r>
        <w:rPr>
          <w:rFonts w:ascii="仿宋_GB2312" w:cs="仿宋_GB2312" w:eastAsia="仿宋_GB2312" w:hint="eastAsia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我</w:t>
      </w:r>
      <w:r>
        <w:rPr>
          <w:rFonts w:ascii="仿宋_GB2312" w:cs="仿宋_GB2312" w:eastAsia="仿宋_GB2312" w:hAnsi="Calibri" w:hint="eastAsia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部整体预算绩效支出年度总体目标基本完成，在干部队伍建设、基层党组织建设、人才工作、组织工作信息化水平和组织部自身建设等方面取得了显著成效。</w:t>
      </w:r>
      <w:r>
        <w:rPr>
          <w:rFonts w:ascii="仿宋_GB2312" w:cs="仿宋_GB2312" w:eastAsia="仿宋_GB2312" w:hint="eastAsia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并</w:t>
      </w:r>
      <w:r>
        <w:rPr>
          <w:rFonts w:ascii="仿宋_GB2312" w:cs="仿宋_GB2312" w:eastAsia="仿宋_GB2312" w:hAnsi="Calibri" w:hint="eastAsia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充分履行职责职能，严格执行各项管理制度，经费开支严格按预算执行，管理制度健全，会计基础规范，资金使用符合国家财经法规和财务管理制度规定。严格实行收支两条线，无截留、挤占、挪用、虚列支出、随意借用、大额现金支付等情况，重大财务事项经由集体研究决策。按要求执行政府采购，严控支出，开源节流，一般性支出和“三公经费”均按要求压减，预决算信息公开及时完善。资产管理安全，固定资产利用率、重点工作完成率等均达到或超过年初计划数，经济、社会等效益显著、社会公众满意度上升。2023年度部门整体支出绩效自评分数为9</w:t>
      </w:r>
      <w:r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ascii="仿宋_GB2312" w:cs="仿宋_GB2312" w:eastAsia="仿宋_GB2312" w:hAnsi="Calibri" w:hint="eastAsia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分，绩效评价等次为“优秀”。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3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="0" w:leftChars="0" w:right="0" w:rightChars="0" w:firstLine="0" w:firstLineChars="0"/>
        <w:textAlignment w:val="auto"/>
        <w:rPr>
          <w:rFonts w:ascii="楷体_GB2312" w:cs="楷体_GB2312" w:eastAsia="楷体_GB2312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楷体_GB2312" w:cs="楷体_GB2312" w:eastAsia="楷体_GB2312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评价指标分析（或综合评价情况）。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Chars="0" w:right="0" w:rightChars="0" w:firstLine="640" w:firstLineChars="200"/>
        <w:textAlignment w:val="auto"/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区委组织部作为党在组织工作方面的重要职能部门，肩负着组织建设、干部管理、人才培养等重要职责。为了提高资金使用效益，推动组织工作高质量发展，本部门围绕部门职责和行业发展规划，以预算资金管理为主线，对“四本预算”支出的绩效目标完成情况进行了全面、深入的综合分析。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="0" w:leftChars="0" w:right="0" w:rightChars="0" w:firstLine="640" w:firstLineChars="200"/>
        <w:textAlignment w:val="auto"/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一、整体绩效目标设定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="0" w:leftChars="0" w:right="0" w:rightChars="0" w:firstLine="640" w:firstLineChars="200"/>
        <w:textAlignment w:val="auto"/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在年初制定预算时，区委组织部紧密结合区域发展战略和组织工作重点任务，明确了各项工作的绩效目标。这些目标涵盖了干部选拔任用的科学性、党组织建设的有效性、人才工作的创新性等多个方面，并通过具体的指标和量化标准进行了清晰的界定。例如，在干部选拔任用方面，设定了选拔出符合岗位要求、群众满意度高的干部的比例目标；在党组织建设方面，设定了新建或优化党组织的数量目标；在人才工作方面，设定了引进高层次人才的数量和质量目标等。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="0" w:leftChars="0" w:right="0" w:rightChars="0" w:firstLine="640" w:firstLineChars="200"/>
        <w:textAlignment w:val="auto"/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二、预算配置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="0" w:leftChars="0" w:right="0" w:rightChars="0" w:firstLine="640" w:firstLineChars="200"/>
        <w:textAlignment w:val="auto"/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1. 人员经费方面，根据部门实际在编人员和相关政策标准，合理安排人员工资、福利、社保等支出，确保人员待遇的落实，为组织工作的顺利开展提供了人力保障。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="0" w:leftChars="0" w:right="0" w:rightChars="0" w:firstLine="640" w:firstLineChars="200"/>
        <w:textAlignment w:val="auto"/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2. 公用经费方面，本着节约、高效的原则，统筹安排办公费、差旅费、会议费等支出，保障了部门日常运转的基本需求。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="0" w:leftChars="0" w:right="0" w:rightChars="0" w:firstLine="640" w:firstLineChars="200"/>
        <w:textAlignment w:val="auto"/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3. 项目经费方面，根据工作重点和发展需求，合理分配资金用于干部培训、人才引进、基层党组织建设等项目，确保资金向重点领域和关键环节倾斜。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="0" w:leftChars="0" w:right="0" w:rightChars="0" w:firstLine="640" w:firstLineChars="200"/>
        <w:textAlignment w:val="auto"/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三、预算执行 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="0" w:leftChars="0" w:right="0" w:rightChars="0" w:firstLine="640" w:firstLineChars="200"/>
        <w:textAlignment w:val="auto"/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1. 严格按照预算批复和相关财务制度执行预算，加强对资金支出的审批和监管，确保资金使用合规、合理。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="0" w:leftChars="0" w:right="0" w:rightChars="0" w:firstLine="640" w:firstLineChars="200"/>
        <w:textAlignment w:val="auto"/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2. 建立了预算执行进度跟踪机制，定期对各项预算的执行情况进行分析和通报，及时发现和解决预算执行过程中存在的问题，确保预算执行进度与时间进度相匹配。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="0" w:leftChars="0" w:right="0" w:rightChars="0" w:firstLine="640" w:firstLineChars="200"/>
        <w:textAlignment w:val="auto"/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3. 加强与财政部门的沟通协调，积极争取资金支持，保障重点项目的资金需求。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="0" w:leftChars="0" w:right="0" w:rightChars="0" w:firstLine="640" w:firstLineChars="200"/>
        <w:textAlignment w:val="auto"/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四、预算管理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="0" w:leftChars="0" w:right="0" w:rightChars="0" w:firstLine="640" w:firstLineChars="200"/>
        <w:textAlignment w:val="auto"/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ascii="仿宋_GB2312" w:cs="仿宋_GB2312" w:eastAsia="仿宋_GB2312" w:hAnsi="Calibri" w:hint="eastAsia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严格按照</w:t>
      </w:r>
      <w:r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预算管理制度</w:t>
      </w:r>
      <w:r>
        <w:rPr>
          <w:rFonts w:ascii="仿宋_GB2312" w:cs="仿宋_GB2312" w:eastAsia="仿宋_GB2312" w:hAnsi="Calibri" w:hint="eastAsia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的要求</w:t>
      </w:r>
      <w:r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，明确了预算编制、执行、监督等各个环节的职责和流程，确保预算管理工作有章可循。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="0" w:leftChars="0" w:right="0" w:rightChars="0" w:firstLine="640" w:firstLineChars="200"/>
        <w:textAlignment w:val="auto"/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2. 加强预算绩效管理，对项目资金的使用效果进行跟踪评价，及时调整和优化预算安排，提高资金使用效益。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="0" w:leftChars="0" w:right="0" w:rightChars="0" w:firstLine="640" w:firstLineChars="200"/>
        <w:textAlignment w:val="auto"/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3. 强化财务内部控制，规范财务核算和资金管理，防范财务风险。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="0" w:leftChars="0" w:right="0" w:rightChars="0" w:firstLine="640" w:firstLineChars="200"/>
        <w:textAlignment w:val="auto"/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五、资产管理 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="0" w:leftChars="0" w:right="0" w:rightChars="0" w:firstLine="640" w:firstLineChars="200"/>
        <w:textAlignment w:val="auto"/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1. 建立了资产管理制度，对资产的购置、使用、处置等进行规范管理，确保资产安全完整。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="0" w:leftChars="0" w:right="0" w:rightChars="0" w:firstLine="640" w:firstLineChars="200"/>
        <w:textAlignment w:val="auto"/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2. 定期开展资产清查盘点，及时掌握资产的数量、价值和使用状况，提高资产使用效率。 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="0" w:leftChars="0" w:right="0" w:rightChars="0" w:firstLine="640" w:firstLineChars="200"/>
        <w:textAlignment w:val="auto"/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六、职责履行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="0" w:leftChars="0" w:right="0" w:rightChars="0" w:firstLine="640" w:firstLineChars="200"/>
        <w:textAlignment w:val="auto"/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1. 在干部工作方面，严格按照干部选拔任用程序，选拔了一批政治素质高、工作能力强、群众认可的干部，为区域发展提供了有力的组织保障。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="0" w:leftChars="0" w:right="0" w:rightChars="0" w:firstLine="640" w:firstLineChars="200"/>
        <w:textAlignment w:val="auto"/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2. 在党组织建设方面，加强了基层党组织的规范化建设，推进了党组织的覆盖和工作创新，提高了党组织的凝聚力和战斗力。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="0" w:leftChars="0" w:right="0" w:rightChars="0" w:firstLine="640" w:firstLineChars="200"/>
        <w:textAlignment w:val="auto"/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3. 在人才工作方面，通过出台优惠政策、搭建引才平台等措施，吸引了一批高层次人才和创新创业团队，为区域经济社会发展注入了新的活力。 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="0" w:leftChars="0" w:right="0" w:rightChars="0" w:firstLine="640" w:firstLineChars="200"/>
        <w:textAlignment w:val="auto"/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七、履职效益 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Chars="0" w:right="0" w:rightChars="0" w:firstLine="640" w:firstLineChars="200"/>
        <w:textAlignment w:val="auto"/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1. 政治效益方面，通过加强干部队伍建设和党组织建设，提高了党组织的领导核心作用和党员干部的政治素质，为区域发展营造了良好的政治生态。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Chars="0" w:right="0" w:rightChars="0" w:firstLine="640" w:firstLineChars="200"/>
        <w:textAlignment w:val="auto"/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2. 社会效益方面，通过选拔任用优秀干部、加强基层党组织建设和推动人才工作，促进了区域经济社会的协调发展，提高了人民群众的满意度。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Chars="0" w:right="0" w:rightChars="0" w:firstLine="640" w:firstLineChars="200"/>
        <w:textAlignment w:val="auto"/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3. 经济效益方面，通过引进高层次人才和创新创业团队，推动了产业升级和科技创新，为区域经济发展增添了新的动力。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Chars="0" w:right="0" w:rightChars="0" w:firstLine="640" w:firstLineChars="200"/>
        <w:textAlignment w:val="auto"/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default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综上所述，区委组织部在“四本预算”支出方面，较好地完成了绩效目标，实现了产出和取得了显著的效益。在今后的工作中，我们将进一步加强预算管理，提高资金使用效益，为推动区域组织工作高质量发展提供更加有力的保障。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right="0" w:firstLine="0"/>
        <w:textAlignment w:val="auto"/>
        <w:rPr>
          <w:rFonts w:ascii="黑体" w:cs="黑体" w:eastAsia="黑体" w:hAnsi="黑体" w:hint="eastAsia"/>
          <w:i w:val="false"/>
          <w:iCs w:val="false"/>
          <w:caps w:val="false"/>
          <w:color w:val="000000"/>
          <w:spacing w:val="0"/>
          <w:sz w:val="32"/>
          <w:szCs w:val="32"/>
        </w:rPr>
      </w:pPr>
      <w:r>
        <w:rPr>
          <w:rFonts w:ascii="黑体" w:cs="黑体" w:eastAsia="黑体" w:hAnsi="黑体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七、存在的问题及原因分析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right="0" w:rightChars="0" w:firstLine="640" w:firstLineChars="200"/>
        <w:textAlignment w:val="auto"/>
        <w:rPr>
          <w:rFonts w:ascii="仿宋_GB2312" w:cs="仿宋_GB2312" w:eastAsia="仿宋_GB2312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仿宋_GB2312" w:cs="仿宋_GB2312" w:eastAsia="仿宋_GB2312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ascii="仿宋_GB2312" w:cs="仿宋_GB2312" w:eastAsia="仿宋_GB2312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预算执行进度不够均衡，部分项目支出进度较慢。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right="0" w:rightChars="0" w:firstLine="640" w:firstLineChars="200"/>
        <w:textAlignment w:val="auto"/>
        <w:rPr>
          <w:rFonts w:ascii="仿宋_GB2312" w:cs="仿宋_GB2312" w:eastAsia="仿宋_GB2312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仿宋_GB2312" w:cs="仿宋_GB2312" w:eastAsia="仿宋_GB2312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ascii="仿宋_GB2312" w:cs="仿宋_GB2312" w:eastAsia="仿宋_GB2312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预算绩效管理的指标体系还不够完善，部分指标的可衡量性和可操作性有待提高。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right="0" w:rightChars="0" w:firstLine="640" w:firstLineChars="200"/>
        <w:textAlignment w:val="auto"/>
        <w:rPr>
          <w:rFonts w:ascii="仿宋_GB2312" w:cs="仿宋_GB2312" w:eastAsia="仿宋_GB2312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仿宋_GB2312" w:cs="仿宋_GB2312" w:eastAsia="仿宋_GB2312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ascii="仿宋_GB2312" w:cs="仿宋_GB2312" w:eastAsia="仿宋_GB2312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预算绩效管理的信息化水平还不够高，信息共享和数据分析能力有待加强。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right="0" w:firstLine="0"/>
        <w:textAlignment w:val="auto"/>
        <w:rPr>
          <w:rFonts w:ascii="黑体" w:cs="黑体" w:eastAsia="黑体" w:hAnsi="黑体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黑体" w:cs="黑体" w:eastAsia="黑体" w:hAnsi="黑体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八、下一步改进措施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Chars="0" w:right="0" w:rightChars="0" w:firstLine="640" w:firstLineChars="200"/>
        <w:textAlignment w:val="auto"/>
        <w:rPr>
          <w:rFonts w:ascii="仿宋_GB2312" w:cs="仿宋_GB2312" w:eastAsia="仿宋_GB2312" w:hAnsi="Calibri" w:hint="eastAsia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eastAsia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1.加强预算执行的监控和管理，建立健全预算执行进度通报和督促机制，确保预算支出按时完成。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Chars="0" w:right="0" w:rightChars="0" w:firstLine="640" w:firstLineChars="200"/>
        <w:textAlignment w:val="auto"/>
        <w:rPr>
          <w:rFonts w:ascii="仿宋_GB2312" w:cs="仿宋_GB2312" w:eastAsia="仿宋_GB2312" w:hAnsi="Calibri" w:hint="eastAsia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eastAsia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2.进一步完善预算绩效管理的指标体系，结合组织工作的实际情况，科学合理地设置指标，提高指标的可衡量性和可操作性。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Chars="0" w:right="0" w:rightChars="0" w:firstLine="640" w:firstLineChars="200"/>
        <w:textAlignment w:val="auto"/>
        <w:rPr>
          <w:rFonts w:ascii="仿宋_GB2312" w:cs="仿宋_GB2312" w:eastAsia="仿宋_GB2312" w:hAnsi="Calibri" w:hint="eastAsia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cs="仿宋_GB2312" w:eastAsia="仿宋_GB2312" w:hAnsi="Calibri" w:hint="eastAsia"/>
          <w:i w:val="false"/>
          <w:iCs w:val="false"/>
          <w:caps w:val="false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3.加强预算绩效管理的信息化建设，建立预算绩效管理信息系统，实现预算绩效管理的信息化、规范化和科学化。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right="0" w:firstLine="0"/>
        <w:textAlignment w:val="auto"/>
        <w:rPr>
          <w:rFonts w:ascii="黑体" w:cs="黑体" w:eastAsia="黑体" w:hAnsi="黑体" w:hint="eastAsia"/>
          <w:i w:val="false"/>
          <w:iCs w:val="false"/>
          <w:caps w:val="false"/>
          <w:color w:val="000000"/>
          <w:spacing w:val="0"/>
          <w:sz w:val="32"/>
          <w:szCs w:val="32"/>
        </w:rPr>
      </w:pPr>
      <w:r>
        <w:rPr>
          <w:rFonts w:ascii="黑体" w:cs="黑体" w:eastAsia="黑体" w:hAnsi="黑体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九、其他需要说明的情况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Chars="0" w:right="0" w:rightChars="0" w:firstLine="640" w:firstLineChars="200"/>
        <w:textAlignment w:val="auto"/>
        <w:rPr>
          <w:rFonts w:ascii="仿宋_GB2312" w:cs="仿宋_GB2312" w:eastAsia="仿宋_GB2312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ascii="仿宋_GB2312" w:cs="仿宋_GB2312" w:eastAsia="仿宋_GB2312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eastAsia="zh-CN"/>
        </w:rPr>
        <w:t>无其他说明情况</w:t>
      </w:r>
    </w:p>
    <w:p>
      <w:pPr>
        <w:pStyle w:val="style94"/>
        <w:keepNext w:val="false"/>
        <w:keepLines w:val="false"/>
        <w:pageBreakBefore w:val="false"/>
        <w:widowControl/>
        <w:numPr>
          <w:ilvl w:val="0"/>
          <w:numId w:val="0"/>
        </w:numPr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leftChars="0" w:right="0" w:rightChars="0" w:firstLine="640" w:firstLineChars="200"/>
        <w:textAlignment w:val="auto"/>
        <w:rPr>
          <w:rFonts w:ascii="仿宋_GB2312" w:cs="仿宋_GB2312" w:eastAsia="仿宋_GB2312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right="0" w:firstLine="0"/>
        <w:jc w:val="left"/>
        <w:textAlignment w:val="auto"/>
        <w:rPr>
          <w:rFonts w:ascii="仿宋_GB2312" w:cs="仿宋_GB2312" w:eastAsia="仿宋_GB2312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仿宋_GB2312" w:cs="仿宋_GB2312" w:eastAsia="仿宋_GB2312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附件：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right="0" w:firstLine="0"/>
        <w:jc w:val="left"/>
        <w:textAlignment w:val="auto"/>
        <w:rPr>
          <w:rFonts w:ascii="仿宋_GB2312" w:cs="仿宋_GB2312" w:eastAsia="仿宋_GB2312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仿宋_GB2312" w:cs="仿宋_GB2312" w:eastAsia="仿宋_GB2312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ascii="仿宋_GB2312" w:cs="仿宋_GB2312" w:eastAsia="仿宋_GB2312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部门整体支出绩效评价基础数据表</w:t>
      </w:r>
      <w:r>
        <w:rPr>
          <w:rFonts w:ascii="仿宋_GB2312" w:cs="仿宋_GB2312" w:eastAsia="仿宋_GB2312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before="0" w:beforeAutospacing="false" w:after="0" w:afterAutospacing="false" w:lineRule="exact" w:line="560"/>
        <w:ind w:right="0" w:firstLine="0"/>
        <w:jc w:val="left"/>
        <w:textAlignment w:val="auto"/>
        <w:rPr>
          <w:rFonts w:ascii="仿宋_GB2312" w:cs="仿宋_GB2312" w:eastAsia="仿宋_GB2312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仿宋_GB2312" w:cs="仿宋_GB2312" w:eastAsia="仿宋_GB2312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ascii="仿宋_GB2312" w:cs="仿宋_GB2312" w:eastAsia="仿宋_GB2312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</w:rPr>
        <w:t>部门整体支出绩效自评表</w:t>
      </w: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80"/>
        <w:ind w:left="0" w:right="0" w:firstLine="0"/>
        <w:jc w:val="both"/>
        <w:rPr>
          <w:rFonts w:ascii="Calibri" w:cs="Calibri" w:hAnsi="Calibri" w:hint="default"/>
          <w:i w:val="false"/>
          <w:iCs w:val="false"/>
          <w:caps w:val="false"/>
          <w:color w:val="000000"/>
          <w:spacing w:val="0"/>
          <w:sz w:val="24"/>
          <w:szCs w:val="24"/>
        </w:rPr>
      </w:pP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80"/>
        <w:ind w:left="0" w:right="0" w:firstLine="0"/>
        <w:jc w:val="both"/>
        <w:rPr>
          <w:rFonts w:ascii="Calibri" w:cs="Calibri" w:hAnsi="Calibri" w:hint="default"/>
          <w:i w:val="false"/>
          <w:iCs w:val="false"/>
          <w:caps w:val="false"/>
          <w:color w:val="000000"/>
          <w:spacing w:val="0"/>
          <w:sz w:val="24"/>
          <w:szCs w:val="24"/>
        </w:rPr>
      </w:pP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80"/>
        <w:ind w:left="0" w:right="0" w:firstLine="0"/>
        <w:jc w:val="both"/>
        <w:rPr>
          <w:rFonts w:ascii="Calibri" w:cs="Calibri" w:hAnsi="Calibri" w:hint="default"/>
          <w:i w:val="false"/>
          <w:iCs w:val="false"/>
          <w:caps w:val="false"/>
          <w:color w:val="000000"/>
          <w:spacing w:val="0"/>
          <w:sz w:val="24"/>
          <w:szCs w:val="24"/>
        </w:rPr>
      </w:pP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80"/>
        <w:ind w:left="0" w:right="0" w:firstLine="0"/>
        <w:jc w:val="both"/>
        <w:rPr>
          <w:rFonts w:ascii="Calibri" w:cs="Calibri" w:hAnsi="Calibri" w:hint="default"/>
          <w:i w:val="false"/>
          <w:iCs w:val="false"/>
          <w:caps w:val="false"/>
          <w:color w:val="000000"/>
          <w:spacing w:val="0"/>
          <w:sz w:val="24"/>
          <w:szCs w:val="24"/>
        </w:rPr>
      </w:pP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80"/>
        <w:ind w:left="0" w:right="0" w:firstLine="0"/>
        <w:jc w:val="both"/>
        <w:rPr>
          <w:rFonts w:ascii="Calibri" w:cs="Calibri" w:hAnsi="Calibri" w:hint="default"/>
          <w:i w:val="false"/>
          <w:iCs w:val="false"/>
          <w:caps w:val="false"/>
          <w:color w:val="000000"/>
          <w:spacing w:val="0"/>
          <w:sz w:val="24"/>
          <w:szCs w:val="24"/>
        </w:rPr>
      </w:pP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80"/>
        <w:ind w:left="0" w:right="0" w:firstLine="0"/>
        <w:jc w:val="both"/>
        <w:rPr>
          <w:rFonts w:ascii="Calibri" w:cs="Calibri" w:hAnsi="Calibri" w:hint="default"/>
          <w:i w:val="false"/>
          <w:iCs w:val="false"/>
          <w:caps w:val="false"/>
          <w:color w:val="000000"/>
          <w:spacing w:val="0"/>
          <w:sz w:val="24"/>
          <w:szCs w:val="24"/>
        </w:rPr>
      </w:pPr>
    </w:p>
    <w:p>
      <w:pPr>
        <w:pStyle w:val="style94"/>
        <w:keepNext w:val="false"/>
        <w:keepLines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spacing w:before="0" w:beforeAutospacing="false" w:after="0" w:afterAutospacing="false" w:lineRule="atLeast" w:line="480"/>
        <w:ind w:left="0" w:right="0" w:firstLine="0"/>
        <w:jc w:val="both"/>
        <w:rPr>
          <w:rFonts w:ascii="Calibri" w:cs="Calibri" w:hAnsi="Calibri" w:hint="default"/>
          <w:i w:val="false"/>
          <w:iCs w:val="false"/>
          <w:caps w:val="false"/>
          <w:color w:val="000000"/>
          <w:spacing w:val="0"/>
          <w:sz w:val="24"/>
          <w:szCs w:val="24"/>
        </w:rPr>
      </w:pP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480"/>
        <w:ind w:left="0" w:right="0" w:firstLine="0"/>
        <w:jc w:val="both"/>
        <w:textAlignment w:val="auto"/>
        <w:rPr>
          <w:rFonts w:ascii="方正小标宋_GBK" w:cs="方正小标宋_GBK" w:eastAsia="方正小标宋_GBK" w:hAnsi="方正小标宋_GBK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480"/>
        <w:ind w:left="0" w:right="0" w:firstLine="0"/>
        <w:jc w:val="both"/>
        <w:textAlignment w:val="auto"/>
        <w:rPr>
          <w:rFonts w:ascii="方正小标宋_GBK" w:cs="方正小标宋_GBK" w:eastAsia="方正小标宋_GBK" w:hAnsi="方正小标宋_GBK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方正小标宋_GBK" w:cs="方正小标宋_GBK" w:eastAsia="方正小标宋_GBK" w:hAnsi="方正小标宋_GBK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附件1-1 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480"/>
        <w:ind w:left="0" w:right="0" w:firstLine="0"/>
        <w:jc w:val="both"/>
        <w:textAlignment w:val="auto"/>
        <w:rPr>
          <w:rFonts w:ascii="方正小标宋简体" w:cs="方正小标宋简体" w:eastAsia="方正小标宋简体" w:hAnsi="方正小标宋简体" w:hint="eastAsia"/>
          <w:color w:val="000000"/>
          <w:kern w:val="0"/>
          <w:sz w:val="44"/>
          <w:szCs w:val="44"/>
          <w:lang w:val="en-US" w:eastAsia="zh-CN"/>
        </w:rPr>
      </w:pPr>
      <w:r>
        <w:rPr>
          <w:rFonts w:ascii="方正小标宋_GBK" w:cs="方正小标宋_GBK" w:eastAsia="方正小标宋_GBK" w:hAnsi="方正小标宋_GBK" w:hint="eastAsia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 </w:t>
      </w:r>
      <w:r>
        <w:rPr>
          <w:rFonts w:ascii="微软雅黑" w:cs="微软雅黑" w:eastAsia="微软雅黑" w:hAnsi="微软雅黑" w:hint="eastAsia"/>
          <w:i w:val="false"/>
          <w:iCs w:val="false"/>
          <w:caps w:val="false"/>
          <w:color w:val="000000"/>
          <w:spacing w:val="0"/>
          <w:sz w:val="24"/>
          <w:szCs w:val="24"/>
          <w:shd w:val="clear" w:color="auto" w:fill="ffffff"/>
        </w:rPr>
        <w:t xml:space="preserve">    </w:t>
      </w:r>
      <w:r>
        <w:rPr>
          <w:rFonts w:ascii="方正小标宋简体" w:cs="方正小标宋简体" w:eastAsia="方正小标宋简体" w:hAnsi="方正小标宋简体" w:hint="eastAsia"/>
          <w:color w:val="000000"/>
          <w:kern w:val="0"/>
          <w:sz w:val="44"/>
          <w:szCs w:val="44"/>
          <w:lang w:val="en-US" w:eastAsia="zh-CN"/>
        </w:rPr>
        <w:t>部门整体支出绩效评价基础数据表</w:t>
      </w:r>
    </w:p>
    <w:p>
      <w:pPr>
        <w:pStyle w:val="style0"/>
        <w:widowControl/>
        <w:tabs>
          <w:tab w:val="left" w:leader="none" w:pos="3611"/>
          <w:tab w:val="left" w:leader="none" w:pos="4791"/>
          <w:tab w:val="left" w:leader="none" w:pos="5951"/>
          <w:tab w:val="left" w:leader="none" w:pos="7071"/>
          <w:tab w:val="left" w:leader="none" w:pos="8191"/>
          <w:tab w:val="left" w:leader="none" w:pos="9311"/>
        </w:tabs>
        <w:ind w:left="91"/>
        <w:jc w:val="left"/>
        <w:rPr>
          <w:rFonts w:eastAsia="仿宋_GB2312" w:hint="default"/>
          <w:kern w:val="0"/>
          <w:sz w:val="24"/>
          <w:lang w:val="en-US" w:eastAsia="zh-CN"/>
        </w:rPr>
      </w:pPr>
      <w:r>
        <w:rPr>
          <w:rFonts w:eastAsia="仿宋_GB2312" w:hint="eastAsia"/>
          <w:kern w:val="0"/>
          <w:sz w:val="24"/>
          <w:lang w:val="en-US" w:eastAsia="zh-CN"/>
        </w:rPr>
        <w:t xml:space="preserve">填报单位：中共邵阳市北塔区委组织部                                        </w:t>
      </w:r>
    </w:p>
    <w:tbl>
      <w:tblPr>
        <w:tblStyle w:val="style105"/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>
        <w:trPr>
          <w:trHeight w:val="397" w:hRule="atLeast"/>
          <w:jc w:val="center"/>
        </w:trPr>
        <w:tc>
          <w:tcPr>
            <w:tcW w:w="3354" w:type="dxa"/>
            <w:vMerge w:val="restart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财政供养人员情况</w:t>
            </w:r>
          </w:p>
        </w:tc>
        <w:tc>
          <w:tcPr>
            <w:tcW w:w="2038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20</w:t>
            </w: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年实际在职人数</w:t>
            </w:r>
          </w:p>
        </w:tc>
        <w:tc>
          <w:tcPr>
            <w:tcW w:w="1832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控制率</w:t>
            </w:r>
          </w:p>
        </w:tc>
      </w:tr>
      <w:tr>
        <w:tblPrEx/>
        <w:trPr>
          <w:trHeight w:val="90" w:hRule="atLeast"/>
          <w:jc w:val="center"/>
        </w:trPr>
        <w:tc>
          <w:tcPr>
            <w:tcW w:w="3354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default"/>
                <w:b w:val="false"/>
                <w:bCs w:val="false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　</w:t>
            </w: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2240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default"/>
                <w:b w:val="false"/>
                <w:bCs w:val="false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　</w:t>
            </w: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832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  <w:lang w:val="en-US" w:eastAsia="zh-CN"/>
              </w:rPr>
              <w:t>100%</w:t>
            </w: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　</w:t>
            </w:r>
          </w:p>
        </w:tc>
      </w:tr>
      <w:tr>
        <w:tblPrEx/>
        <w:trPr>
          <w:trHeight w:val="397" w:hRule="atLeast"/>
          <w:jc w:val="center"/>
        </w:trPr>
        <w:tc>
          <w:tcPr>
            <w:tcW w:w="335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经费控制情况</w:t>
            </w:r>
          </w:p>
        </w:tc>
        <w:tc>
          <w:tcPr>
            <w:tcW w:w="2038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20</w:t>
            </w: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年决算数</w:t>
            </w:r>
          </w:p>
        </w:tc>
        <w:tc>
          <w:tcPr>
            <w:tcW w:w="2240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20</w:t>
            </w: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年预算数</w:t>
            </w:r>
          </w:p>
        </w:tc>
        <w:tc>
          <w:tcPr>
            <w:tcW w:w="1832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20</w:t>
            </w: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年决算数</w:t>
            </w:r>
          </w:p>
        </w:tc>
      </w:tr>
      <w:tr>
        <w:tblPrEx/>
        <w:trPr>
          <w:trHeight w:val="397" w:hRule="atLeast"/>
          <w:jc w:val="center"/>
        </w:trPr>
        <w:tc>
          <w:tcPr>
            <w:tcW w:w="3354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0.09</w:t>
            </w:r>
          </w:p>
        </w:tc>
        <w:tc>
          <w:tcPr>
            <w:tcW w:w="2240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0.5</w:t>
            </w:r>
          </w:p>
        </w:tc>
        <w:tc>
          <w:tcPr>
            <w:tcW w:w="1832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　</w:t>
            </w: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/>
        <w:trPr>
          <w:trHeight w:val="397" w:hRule="atLeast"/>
          <w:jc w:val="center"/>
        </w:trPr>
        <w:tc>
          <w:tcPr>
            <w:tcW w:w="3354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　</w:t>
            </w:r>
          </w:p>
        </w:tc>
      </w:tr>
      <w:tr>
        <w:tblPrEx/>
        <w:trPr>
          <w:trHeight w:val="397" w:hRule="atLeast"/>
          <w:jc w:val="center"/>
        </w:trPr>
        <w:tc>
          <w:tcPr>
            <w:tcW w:w="3354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　</w:t>
            </w:r>
          </w:p>
        </w:tc>
      </w:tr>
      <w:tr>
        <w:tblPrEx/>
        <w:trPr>
          <w:trHeight w:val="397" w:hRule="atLeast"/>
          <w:jc w:val="center"/>
        </w:trPr>
        <w:tc>
          <w:tcPr>
            <w:tcW w:w="3354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　</w:t>
            </w:r>
          </w:p>
        </w:tc>
      </w:tr>
      <w:tr>
        <w:tblPrEx/>
        <w:trPr>
          <w:trHeight w:val="397" w:hRule="atLeast"/>
          <w:jc w:val="center"/>
        </w:trPr>
        <w:tc>
          <w:tcPr>
            <w:tcW w:w="3354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　</w:t>
            </w:r>
          </w:p>
        </w:tc>
      </w:tr>
      <w:tr>
        <w:tblPrEx/>
        <w:trPr>
          <w:trHeight w:val="397" w:hRule="atLeast"/>
          <w:jc w:val="center"/>
        </w:trPr>
        <w:tc>
          <w:tcPr>
            <w:tcW w:w="3354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0.09</w:t>
            </w:r>
          </w:p>
        </w:tc>
        <w:tc>
          <w:tcPr>
            <w:tcW w:w="2240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0.5</w:t>
            </w:r>
          </w:p>
        </w:tc>
        <w:tc>
          <w:tcPr>
            <w:tcW w:w="1832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　</w:t>
            </w:r>
          </w:p>
        </w:tc>
      </w:tr>
      <w:tr>
        <w:tblPrEx/>
        <w:trPr>
          <w:trHeight w:val="397" w:hRule="atLeast"/>
          <w:jc w:val="center"/>
        </w:trPr>
        <w:tc>
          <w:tcPr>
            <w:tcW w:w="3354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40.8</w:t>
            </w:r>
          </w:p>
        </w:tc>
        <w:tc>
          <w:tcPr>
            <w:tcW w:w="1832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　</w:t>
            </w:r>
          </w:p>
        </w:tc>
      </w:tr>
      <w:tr>
        <w:tblPrEx/>
        <w:trPr>
          <w:trHeight w:val="397" w:hRule="atLeast"/>
          <w:jc w:val="center"/>
        </w:trPr>
        <w:tc>
          <w:tcPr>
            <w:tcW w:w="3354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40.8</w:t>
            </w:r>
          </w:p>
        </w:tc>
        <w:tc>
          <w:tcPr>
            <w:tcW w:w="1832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　</w:t>
            </w:r>
          </w:p>
        </w:tc>
      </w:tr>
      <w:tr>
        <w:tblPrEx/>
        <w:trPr>
          <w:trHeight w:val="397" w:hRule="atLeast"/>
          <w:jc w:val="center"/>
        </w:trPr>
        <w:tc>
          <w:tcPr>
            <w:tcW w:w="3354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　</w:t>
            </w:r>
          </w:p>
        </w:tc>
      </w:tr>
      <w:tr>
        <w:tblPrEx/>
        <w:trPr>
          <w:trHeight w:val="624" w:hRule="atLeast"/>
          <w:jc w:val="center"/>
        </w:trPr>
        <w:tc>
          <w:tcPr>
            <w:tcW w:w="3354" w:type="dxa"/>
            <w:tcBorders/>
            <w:vAlign w:val="center"/>
          </w:tcPr>
          <w:p>
            <w:pPr>
              <w:pStyle w:val="style0"/>
              <w:widowControl/>
              <w:ind w:firstLine="400" w:firstLineChars="200"/>
              <w:jc w:val="left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3、</w:t>
            </w: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  <w:lang w:val="en-US" w:eastAsia="zh-CN"/>
              </w:rPr>
              <w:t>市级</w:t>
            </w: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专项资金</w:t>
            </w:r>
          </w:p>
          <w:p>
            <w:pPr>
              <w:pStyle w:val="style0"/>
              <w:widowControl/>
              <w:ind w:firstLine="600" w:firstLineChars="300"/>
              <w:jc w:val="left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（一个专项一行）</w:t>
            </w:r>
          </w:p>
        </w:tc>
        <w:tc>
          <w:tcPr>
            <w:tcW w:w="2038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397" w:hRule="atLeast"/>
          <w:jc w:val="center"/>
        </w:trPr>
        <w:tc>
          <w:tcPr>
            <w:tcW w:w="3354" w:type="dxa"/>
            <w:tcBorders/>
            <w:vAlign w:val="center"/>
          </w:tcPr>
          <w:p>
            <w:pPr>
              <w:pStyle w:val="style0"/>
              <w:widowControl/>
              <w:ind w:firstLine="400" w:firstLineChars="200"/>
              <w:jc w:val="left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4、其他事业类发展资金</w:t>
            </w:r>
          </w:p>
        </w:tc>
        <w:tc>
          <w:tcPr>
            <w:tcW w:w="2038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　</w:t>
            </w:r>
          </w:p>
        </w:tc>
      </w:tr>
      <w:tr>
        <w:tblPrEx/>
        <w:trPr>
          <w:trHeight w:val="397" w:hRule="atLeast"/>
          <w:jc w:val="center"/>
        </w:trPr>
        <w:tc>
          <w:tcPr>
            <w:tcW w:w="335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……</w:t>
            </w:r>
          </w:p>
        </w:tc>
        <w:tc>
          <w:tcPr>
            <w:tcW w:w="2038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397" w:hRule="atLeast"/>
          <w:jc w:val="center"/>
        </w:trPr>
        <w:tc>
          <w:tcPr>
            <w:tcW w:w="3354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仿宋" w:cs="仿宋" w:eastAsia="仿宋" w:hAnsi="仿宋" w:hint="default"/>
                <w:b w:val="false"/>
                <w:bCs w:val="false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  <w:lang w:val="en-US" w:eastAsia="zh-CN"/>
              </w:rPr>
              <w:t>公用经费</w:t>
            </w:r>
          </w:p>
        </w:tc>
        <w:tc>
          <w:tcPr>
            <w:tcW w:w="2038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291.14</w:t>
            </w:r>
          </w:p>
        </w:tc>
        <w:tc>
          <w:tcPr>
            <w:tcW w:w="2240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24.95</w:t>
            </w:r>
          </w:p>
        </w:tc>
        <w:tc>
          <w:tcPr>
            <w:tcW w:w="1832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282.95</w:t>
            </w:r>
          </w:p>
        </w:tc>
      </w:tr>
      <w:tr>
        <w:tblPrEx/>
        <w:trPr>
          <w:trHeight w:val="397" w:hRule="atLeast"/>
          <w:jc w:val="center"/>
        </w:trPr>
        <w:tc>
          <w:tcPr>
            <w:tcW w:w="3354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 xml:space="preserve">    其中：办公费</w:t>
            </w:r>
          </w:p>
        </w:tc>
        <w:tc>
          <w:tcPr>
            <w:tcW w:w="2038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b w:val="false"/>
                <w:bCs w:val="false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18.71</w:t>
            </w:r>
          </w:p>
        </w:tc>
        <w:tc>
          <w:tcPr>
            <w:tcW w:w="224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 w:val="false"/>
                <w:bCs w:val="false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b w:val="false"/>
                <w:bCs w:val="false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26.51</w:t>
            </w:r>
          </w:p>
        </w:tc>
      </w:tr>
      <w:tr>
        <w:tblPrEx/>
        <w:trPr>
          <w:trHeight w:val="397" w:hRule="atLeast"/>
          <w:jc w:val="center"/>
        </w:trPr>
        <w:tc>
          <w:tcPr>
            <w:tcW w:w="3354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b w:val="false"/>
                <w:bCs w:val="false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8.13</w:t>
            </w:r>
          </w:p>
        </w:tc>
        <w:tc>
          <w:tcPr>
            <w:tcW w:w="224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 w:val="false"/>
                <w:bCs w:val="false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b w:val="false"/>
                <w:bCs w:val="false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8.32</w:t>
            </w:r>
          </w:p>
        </w:tc>
      </w:tr>
      <w:tr>
        <w:tblPrEx/>
        <w:trPr>
          <w:trHeight w:val="397" w:hRule="atLeast"/>
          <w:jc w:val="center"/>
        </w:trPr>
        <w:tc>
          <w:tcPr>
            <w:tcW w:w="3354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b w:val="false"/>
                <w:bCs w:val="false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36.13</w:t>
            </w:r>
          </w:p>
        </w:tc>
        <w:tc>
          <w:tcPr>
            <w:tcW w:w="224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 w:val="false"/>
                <w:bCs w:val="false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b w:val="false"/>
                <w:bCs w:val="false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28.33</w:t>
            </w:r>
          </w:p>
        </w:tc>
      </w:tr>
      <w:tr>
        <w:tblPrEx/>
        <w:trPr>
          <w:trHeight w:val="397" w:hRule="atLeast"/>
          <w:jc w:val="center"/>
        </w:trPr>
        <w:tc>
          <w:tcPr>
            <w:tcW w:w="3354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151.65</w:t>
            </w:r>
          </w:p>
        </w:tc>
        <w:tc>
          <w:tcPr>
            <w:tcW w:w="224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102.71</w:t>
            </w:r>
          </w:p>
        </w:tc>
      </w:tr>
      <w:tr>
        <w:tblPrEx/>
        <w:trPr>
          <w:trHeight w:val="397" w:hRule="atLeast"/>
          <w:jc w:val="center"/>
        </w:trPr>
        <w:tc>
          <w:tcPr>
            <w:tcW w:w="3354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　</w:t>
            </w:r>
          </w:p>
        </w:tc>
      </w:tr>
      <w:tr>
        <w:tblPrEx/>
        <w:trPr>
          <w:trHeight w:val="837" w:hRule="atLeast"/>
          <w:jc w:val="center"/>
        </w:trPr>
        <w:tc>
          <w:tcPr>
            <w:tcW w:w="3354" w:type="dxa"/>
            <w:vMerge w:val="restart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楼堂馆所控制情况</w:t>
            </w: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br/>
            </w: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（20</w:t>
            </w: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年完工项目）</w:t>
            </w:r>
          </w:p>
        </w:tc>
        <w:tc>
          <w:tcPr>
            <w:tcW w:w="1189" w:type="dxa"/>
            <w:tcBorders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批复规模</w:t>
            </w: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br/>
            </w: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（㎡）</w:t>
            </w:r>
          </w:p>
        </w:tc>
        <w:tc>
          <w:tcPr>
            <w:tcW w:w="849" w:type="dxa"/>
            <w:tcBorders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实际规模（㎡）</w:t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tcBorders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预算投资（万元）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实际投资（万元）</w:t>
            </w:r>
          </w:p>
        </w:tc>
        <w:tc>
          <w:tcPr>
            <w:tcW w:w="863" w:type="dxa"/>
            <w:tcBorders/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投资概算控制率</w:t>
            </w:r>
          </w:p>
        </w:tc>
      </w:tr>
      <w:tr>
        <w:tblPrEx/>
        <w:trPr>
          <w:trHeight w:val="454" w:hRule="atLeast"/>
          <w:jc w:val="center"/>
        </w:trPr>
        <w:tc>
          <w:tcPr>
            <w:tcW w:w="3354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　</w:t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　</w:t>
            </w:r>
          </w:p>
        </w:tc>
        <w:tc>
          <w:tcPr>
            <w:tcW w:w="1111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　</w:t>
            </w:r>
          </w:p>
        </w:tc>
        <w:tc>
          <w:tcPr>
            <w:tcW w:w="969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　</w:t>
            </w:r>
          </w:p>
        </w:tc>
        <w:tc>
          <w:tcPr>
            <w:tcW w:w="863" w:type="dxa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　</w:t>
            </w:r>
          </w:p>
        </w:tc>
      </w:tr>
      <w:tr>
        <w:tblPrEx/>
        <w:trPr>
          <w:trHeight w:val="450" w:hRule="atLeast"/>
          <w:jc w:val="center"/>
        </w:trPr>
        <w:tc>
          <w:tcPr>
            <w:tcW w:w="3354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厉行节约保障措施</w:t>
            </w:r>
          </w:p>
        </w:tc>
        <w:tc>
          <w:tcPr>
            <w:tcW w:w="6110" w:type="dxa"/>
            <w:gridSpan w:val="6"/>
            <w:tcBorders/>
            <w:vAlign w:val="center"/>
          </w:tcPr>
          <w:p>
            <w:pPr>
              <w:pStyle w:val="style0"/>
              <w:widowControl/>
              <w:jc w:val="left"/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b w:val="false"/>
                <w:bCs w:val="false"/>
                <w:kern w:val="0"/>
                <w:sz w:val="20"/>
                <w:szCs w:val="20"/>
              </w:rPr>
              <w:t>为深入贯彻落实厉行节约的要求，区委组织部制定以下保障措施： 一、加强宣传教育  通过组织学习、内部会议等形式，向全体干部宣传厉行节约的重要意义，增强节约意识； 二、规范办公流程  优化工作流程，减少不必要的环节和文件，推行电子办公，降低纸张等耗材的使用； 三、严格经费管理  加强预算编制的科学性和合理性，严格执行经费审批制度，杜绝浪费和超支；四、节约能源资源  倡导随手关灯、关水，合理设置空调温度，减少办公设备待机能耗； 五、加强监督检查  定期对节约措施的执行情况进行检查，对违反规定的行为进行批评和纠正。 区委组织部将切实落实以上措施，形成厉行节约的良好风尚。　</w:t>
            </w:r>
          </w:p>
        </w:tc>
      </w:tr>
    </w:tbl>
    <w:p>
      <w:pPr>
        <w:pStyle w:val="style4097"/>
        <w:keepNext/>
        <w:keepLines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80"/>
        <w:textAlignment w:val="auto"/>
        <w:rPr>
          <w:rFonts w:hint="eastAsia"/>
          <w:lang w:val="en-US" w:eastAsia="zh-CN"/>
        </w:rPr>
      </w:pPr>
      <w:r>
        <w:rPr>
          <w:rFonts w:eastAsia="仿宋_GB2312"/>
          <w:kern w:val="0"/>
          <w:sz w:val="22"/>
        </w:rPr>
        <w:t>说明：“项目支出”需要填报基本支出以外的所有项目支出情况，“公用经费”填报基本支出中的一般商品和服务支出。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480"/>
        <w:ind w:left="0" w:right="0" w:firstLine="0"/>
        <w:jc w:val="both"/>
        <w:textAlignment w:val="auto"/>
        <w:rPr>
          <w:rFonts w:ascii="方正小标宋_GBK" w:cs="方正小标宋_GBK" w:eastAsia="方正小标宋_GBK" w:hAnsi="方正小标宋_GBK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cs="Times New Roman" w:eastAsia="仿宋_GB2312" w:hAnsi="Times New Roman" w:hint="default"/>
          <w:snapToGrid/>
          <w:color w:val="000000"/>
          <w:kern w:val="0"/>
          <w:sz w:val="24"/>
          <w:szCs w:val="24"/>
          <w:lang w:val="en-US" w:bidi="ar-SA" w:eastAsia="zh-CN"/>
        </w:rPr>
        <w:t>填表人：</w:t>
      </w:r>
      <w:r>
        <w:rPr>
          <w:rFonts w:ascii="Times New Roman" w:cs="Times New Roman" w:eastAsia="仿宋_GB2312" w:hAnsi="Times New Roman" w:hint="eastAsia"/>
          <w:snapToGrid/>
          <w:color w:val="000000"/>
          <w:kern w:val="0"/>
          <w:sz w:val="24"/>
          <w:szCs w:val="24"/>
          <w:lang w:val="en-US" w:bidi="ar-SA" w:eastAsia="zh-CN"/>
        </w:rPr>
        <w:t xml:space="preserve">刘飞飞     </w:t>
      </w:r>
      <w:r>
        <w:rPr>
          <w:rFonts w:ascii="Times New Roman" w:cs="Times New Roman" w:eastAsia="仿宋_GB2312" w:hAnsi="Times New Roman" w:hint="default"/>
          <w:snapToGrid/>
          <w:color w:val="000000"/>
          <w:kern w:val="0"/>
          <w:sz w:val="24"/>
          <w:szCs w:val="24"/>
          <w:lang w:val="en-US" w:bidi="ar-SA" w:eastAsia="zh-CN"/>
        </w:rPr>
        <w:t xml:space="preserve"> 填报日期：</w:t>
      </w:r>
      <w:r>
        <w:rPr>
          <w:rFonts w:ascii="Times New Roman" w:cs="Times New Roman" w:eastAsia="仿宋_GB2312" w:hAnsi="Times New Roman" w:hint="eastAsia"/>
          <w:snapToGrid/>
          <w:color w:val="000000"/>
          <w:kern w:val="0"/>
          <w:sz w:val="24"/>
          <w:szCs w:val="24"/>
          <w:lang w:val="en-US" w:bidi="ar-SA" w:eastAsia="zh-CN"/>
        </w:rPr>
        <w:t xml:space="preserve">2024年7月30日    </w:t>
      </w:r>
      <w:r>
        <w:rPr>
          <w:rFonts w:ascii="Times New Roman" w:cs="Times New Roman" w:eastAsia="仿宋_GB2312" w:hAnsi="Times New Roman" w:hint="default"/>
          <w:snapToGrid/>
          <w:color w:val="000000"/>
          <w:kern w:val="0"/>
          <w:sz w:val="24"/>
          <w:szCs w:val="24"/>
          <w:lang w:val="en-US" w:bidi="ar-SA" w:eastAsia="zh-CN"/>
        </w:rPr>
        <w:t xml:space="preserve">  联系电话：</w:t>
      </w:r>
      <w:r>
        <w:rPr>
          <w:rFonts w:ascii="Times New Roman" w:cs="Times New Roman" w:eastAsia="仿宋_GB2312" w:hAnsi="Times New Roman" w:hint="eastAsia"/>
          <w:snapToGrid/>
          <w:color w:val="000000"/>
          <w:kern w:val="0"/>
          <w:sz w:val="24"/>
          <w:szCs w:val="24"/>
          <w:lang w:val="en-US" w:bidi="ar-SA" w:eastAsia="zh-CN"/>
        </w:rPr>
        <w:t>13975939183</w:t>
      </w: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480"/>
        <w:ind w:left="0" w:right="0" w:firstLine="0"/>
        <w:jc w:val="both"/>
        <w:textAlignment w:val="auto"/>
        <w:rPr>
          <w:rFonts w:ascii="方正小标宋_GBK" w:cs="方正小标宋_GBK" w:eastAsia="方正小标宋_GBK" w:hAnsi="方正小标宋_GBK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480"/>
        <w:ind w:left="0" w:right="0" w:firstLine="0"/>
        <w:jc w:val="both"/>
        <w:textAlignment w:val="auto"/>
        <w:rPr>
          <w:rFonts w:ascii="方正小标宋_GBK" w:cs="方正小标宋_GBK" w:eastAsia="方正小标宋_GBK" w:hAnsi="方正小标宋_GBK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bookmarkStart w:id="0" w:name="_GoBack"/>
    <w:bookmarkEnd w:id="0"/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480"/>
        <w:ind w:left="0" w:right="0" w:firstLine="0"/>
        <w:jc w:val="both"/>
        <w:textAlignment w:val="auto"/>
        <w:rPr>
          <w:rFonts w:ascii="方正小标宋_GBK" w:cs="方正小标宋_GBK" w:eastAsia="方正小标宋_GBK" w:hAnsi="方正小标宋_GBK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480"/>
        <w:ind w:left="0" w:right="0" w:firstLine="0"/>
        <w:jc w:val="both"/>
        <w:textAlignment w:val="auto"/>
        <w:rPr>
          <w:rFonts w:ascii="方正小标宋_GBK" w:cs="方正小标宋_GBK" w:eastAsia="方正小标宋_GBK" w:hAnsi="方正小标宋_GBK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480"/>
        <w:ind w:left="0" w:right="0" w:firstLine="0"/>
        <w:jc w:val="both"/>
        <w:textAlignment w:val="auto"/>
        <w:rPr>
          <w:rFonts w:ascii="方正小标宋_GBK" w:cs="方正小标宋_GBK" w:eastAsia="方正小标宋_GBK" w:hAnsi="方正小标宋_GBK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480"/>
        <w:ind w:left="0" w:right="0" w:firstLine="0"/>
        <w:jc w:val="both"/>
        <w:textAlignment w:val="auto"/>
        <w:rPr>
          <w:rFonts w:ascii="方正小标宋_GBK" w:cs="方正小标宋_GBK" w:eastAsia="方正小标宋_GBK" w:hAnsi="方正小标宋_GBK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480"/>
        <w:ind w:left="0" w:right="0" w:firstLine="0"/>
        <w:jc w:val="both"/>
        <w:textAlignment w:val="auto"/>
        <w:rPr>
          <w:rFonts w:ascii="方正小标宋_GBK" w:cs="方正小标宋_GBK" w:eastAsia="方正小标宋_GBK" w:hAnsi="方正小标宋_GBK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480"/>
        <w:ind w:left="0" w:right="0" w:firstLine="0"/>
        <w:jc w:val="both"/>
        <w:textAlignment w:val="auto"/>
        <w:rPr>
          <w:rFonts w:ascii="方正小标宋_GBK" w:cs="方正小标宋_GBK" w:eastAsia="方正小标宋_GBK" w:hAnsi="方正小标宋_GBK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480"/>
        <w:ind w:left="0" w:right="0" w:firstLine="0"/>
        <w:jc w:val="both"/>
        <w:textAlignment w:val="auto"/>
        <w:rPr>
          <w:rFonts w:ascii="方正小标宋_GBK" w:cs="方正小标宋_GBK" w:eastAsia="方正小标宋_GBK" w:hAnsi="方正小标宋_GBK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480"/>
        <w:ind w:left="0" w:right="0" w:firstLine="0"/>
        <w:jc w:val="both"/>
        <w:textAlignment w:val="auto"/>
        <w:rPr>
          <w:rFonts w:ascii="方正小标宋_GBK" w:cs="方正小标宋_GBK" w:eastAsia="方正小标宋_GBK" w:hAnsi="方正小标宋_GBK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480"/>
        <w:ind w:left="0" w:right="0" w:firstLine="0"/>
        <w:jc w:val="both"/>
        <w:textAlignment w:val="auto"/>
        <w:rPr>
          <w:rFonts w:ascii="方正小标宋_GBK" w:cs="方正小标宋_GBK" w:eastAsia="方正小标宋_GBK" w:hAnsi="方正小标宋_GBK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480"/>
        <w:ind w:left="0" w:right="0" w:firstLine="0"/>
        <w:jc w:val="both"/>
        <w:textAlignment w:val="auto"/>
        <w:rPr>
          <w:rFonts w:ascii="方正小标宋_GBK" w:cs="方正小标宋_GBK" w:eastAsia="方正小标宋_GBK" w:hAnsi="方正小标宋_GBK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480"/>
        <w:ind w:left="0" w:right="0" w:firstLine="0"/>
        <w:jc w:val="both"/>
        <w:textAlignment w:val="auto"/>
        <w:rPr>
          <w:rFonts w:ascii="方正小标宋_GBK" w:cs="方正小标宋_GBK" w:eastAsia="方正小标宋_GBK" w:hAnsi="方正小标宋_GBK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480"/>
        <w:ind w:left="0" w:right="0" w:firstLine="0"/>
        <w:jc w:val="both"/>
        <w:textAlignment w:val="auto"/>
        <w:rPr>
          <w:rFonts w:ascii="方正小标宋_GBK" w:cs="方正小标宋_GBK" w:eastAsia="方正小标宋_GBK" w:hAnsi="方正小标宋_GBK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480"/>
        <w:ind w:left="0" w:right="0" w:firstLine="0"/>
        <w:jc w:val="both"/>
        <w:textAlignment w:val="auto"/>
        <w:rPr>
          <w:rFonts w:ascii="方正小标宋_GBK" w:cs="方正小标宋_GBK" w:eastAsia="方正小标宋_GBK" w:hAnsi="方正小标宋_GBK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480"/>
        <w:ind w:left="0" w:right="0" w:firstLine="0"/>
        <w:jc w:val="both"/>
        <w:textAlignment w:val="auto"/>
        <w:rPr>
          <w:rFonts w:ascii="方正小标宋_GBK" w:cs="方正小标宋_GBK" w:eastAsia="方正小标宋_GBK" w:hAnsi="方正小标宋_GBK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480"/>
        <w:ind w:left="0" w:right="0" w:firstLine="0"/>
        <w:jc w:val="both"/>
        <w:textAlignment w:val="auto"/>
        <w:rPr>
          <w:rFonts w:ascii="方正小标宋_GBK" w:cs="方正小标宋_GBK" w:eastAsia="方正小标宋_GBK" w:hAnsi="方正小标宋_GBK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480"/>
        <w:ind w:left="0" w:right="0" w:firstLine="0"/>
        <w:jc w:val="both"/>
        <w:textAlignment w:val="auto"/>
        <w:rPr>
          <w:rFonts w:ascii="方正小标宋_GBK" w:cs="方正小标宋_GBK" w:eastAsia="方正小标宋_GBK" w:hAnsi="方正小标宋_GBK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style94"/>
        <w:keepNext w:val="false"/>
        <w:keepLines w:val="false"/>
        <w:pageBreakBefore w:val="false"/>
        <w:widowControl/>
        <w:suppressLineNumbers w:val="false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</w:pBdr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beforeAutospacing="false" w:after="0" w:afterAutospacing="false" w:lineRule="exact" w:line="480"/>
        <w:ind w:left="0" w:right="0" w:firstLine="0"/>
        <w:jc w:val="both"/>
        <w:textAlignment w:val="auto"/>
        <w:rPr>
          <w:rFonts w:ascii="方正小标宋_GBK" w:cs="方正小标宋_GBK" w:eastAsia="方正小标宋_GBK" w:hAnsi="方正小标宋_GBK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方正小标宋_GBK" w:cs="方正小标宋_GBK" w:eastAsia="方正小标宋_GBK" w:hAnsi="方正小标宋_GBK" w:hint="default"/>
          <w:i w:val="false"/>
          <w:iCs w:val="false"/>
          <w:caps w:val="false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附件1-2</w:t>
      </w:r>
    </w:p>
    <w:p>
      <w:pPr>
        <w:pStyle w:val="style0"/>
        <w:keepNext w:val="false"/>
        <w:keepLines w:val="false"/>
        <w:pageBreakBefore w:val="false"/>
        <w:widowControl/>
        <w:tabs>
          <w:tab w:val="left" w:leader="none" w:pos="3611"/>
          <w:tab w:val="left" w:leader="none" w:pos="4791"/>
          <w:tab w:val="left" w:leader="none" w:pos="5951"/>
          <w:tab w:val="left" w:leader="none" w:pos="7071"/>
          <w:tab w:val="left" w:leader="none" w:pos="8191"/>
          <w:tab w:val="left" w:leader="none" w:pos="9311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80"/>
        <w:ind w:left="91"/>
        <w:jc w:val="center"/>
        <w:textAlignment w:val="auto"/>
        <w:rPr>
          <w:rFonts w:ascii="方正小标宋简体" w:cs="方正小标宋简体" w:eastAsia="方正小标宋简体" w:hAnsi="方正小标宋简体" w:hint="eastAsia"/>
          <w:color w:val="000000"/>
          <w:kern w:val="0"/>
          <w:sz w:val="44"/>
          <w:szCs w:val="44"/>
          <w:lang w:val="en-US" w:eastAsia="zh-CN"/>
        </w:rPr>
      </w:pPr>
      <w:r>
        <w:rPr>
          <w:rFonts w:ascii="方正小标宋简体" w:cs="方正小标宋简体" w:eastAsia="方正小标宋简体" w:hAnsi="方正小标宋简体" w:hint="eastAsia"/>
          <w:color w:val="000000"/>
          <w:kern w:val="0"/>
          <w:sz w:val="44"/>
          <w:szCs w:val="44"/>
          <w:lang w:val="en-US" w:eastAsia="zh-CN"/>
        </w:rPr>
        <w:t>整体支出绩效自评表</w:t>
      </w:r>
    </w:p>
    <w:tbl>
      <w:tblPr>
        <w:tblStyle w:val="style105"/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176"/>
        <w:gridCol w:w="961"/>
        <w:gridCol w:w="1165"/>
        <w:gridCol w:w="95"/>
        <w:gridCol w:w="1035"/>
        <w:gridCol w:w="1299"/>
        <w:gridCol w:w="709"/>
        <w:gridCol w:w="782"/>
        <w:gridCol w:w="871"/>
      </w:tblGrid>
      <w:tr>
        <w:trPr>
          <w:trHeight w:val="388" w:hRule="atLeast"/>
          <w:jc w:val="center"/>
        </w:trPr>
        <w:tc>
          <w:tcPr>
            <w:tcW w:w="116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预算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8093" w:type="dxa"/>
            <w:gridSpan w:val="9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  <w:lang w:eastAsia="zh-CN"/>
              </w:rPr>
              <w:t>中共邵阳市北塔区委组织部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1169" w:type="dxa"/>
            <w:vMerge w:val="restar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年度预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算申请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37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sz w:val="20"/>
                <w:szCs w:val="20"/>
              </w:rPr>
            </w:pPr>
          </w:p>
        </w:tc>
        <w:tc>
          <w:tcPr>
            <w:tcW w:w="116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sz w:val="20"/>
                <w:szCs w:val="20"/>
              </w:rPr>
              <w:t>年初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sz w:val="20"/>
                <w:szCs w:val="20"/>
              </w:rPr>
              <w:t>预算数</w:t>
            </w:r>
          </w:p>
        </w:tc>
        <w:tc>
          <w:tcPr>
            <w:tcW w:w="1130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sz w:val="20"/>
                <w:szCs w:val="20"/>
              </w:rPr>
              <w:t>全年预算数</w:t>
            </w:r>
          </w:p>
        </w:tc>
        <w:tc>
          <w:tcPr>
            <w:tcW w:w="129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sz w:val="20"/>
                <w:szCs w:val="20"/>
              </w:rPr>
              <w:t>全年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sz w:val="20"/>
                <w:szCs w:val="20"/>
              </w:rPr>
              <w:t>执行数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sz w:val="20"/>
                <w:szCs w:val="20"/>
              </w:rPr>
              <w:t>分值</w:t>
            </w:r>
          </w:p>
        </w:tc>
        <w:tc>
          <w:tcPr>
            <w:tcW w:w="78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sz w:val="20"/>
                <w:szCs w:val="20"/>
              </w:rPr>
              <w:t>执行率</w:t>
            </w:r>
          </w:p>
        </w:tc>
        <w:tc>
          <w:tcPr>
            <w:tcW w:w="8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sz w:val="20"/>
                <w:szCs w:val="20"/>
              </w:rPr>
              <w:t>得分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1169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116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Times New Roman" w:cs="Times New Roman" w:eastAsia="宋体" w:hAnsi="Times New Roman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262.78</w:t>
            </w:r>
          </w:p>
        </w:tc>
        <w:tc>
          <w:tcPr>
            <w:tcW w:w="1130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Times New Roman" w:cs="Times New Roman" w:eastAsia="宋体" w:hAnsi="Times New Roman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586.88</w:t>
            </w:r>
          </w:p>
        </w:tc>
        <w:tc>
          <w:tcPr>
            <w:tcW w:w="129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Times New Roman" w:cs="Times New Roman" w:eastAsia="宋体" w:hAnsi="Times New Roman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586.88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Times New Roman" w:cs="Times New Roman" w:eastAsia="宋体" w:hAnsi="Times New Roman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78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Times New Roman" w:cs="Times New Roman" w:eastAsia="宋体" w:hAnsi="Times New Roman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100.00%</w:t>
            </w:r>
          </w:p>
        </w:tc>
        <w:tc>
          <w:tcPr>
            <w:tcW w:w="8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sz w:val="20"/>
                <w:szCs w:val="20"/>
              </w:rPr>
            </w:pPr>
            <w:r>
              <w:rPr>
                <w:rFonts w:ascii="Times New Roman" w:cs="Times New Roman" w:eastAsia="宋体" w:hAnsi="Times New Roman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10.00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1169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left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2" w:type="dxa"/>
            <w:gridSpan w:val="5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left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按收入性质分：</w:t>
            </w:r>
          </w:p>
        </w:tc>
        <w:tc>
          <w:tcPr>
            <w:tcW w:w="3661" w:type="dxa"/>
            <w:gridSpan w:val="4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left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按支出性质分：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1169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left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2" w:type="dxa"/>
            <w:gridSpan w:val="5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left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 xml:space="preserve">  其中：  一般公共预算：586.88</w:t>
            </w:r>
          </w:p>
        </w:tc>
        <w:tc>
          <w:tcPr>
            <w:tcW w:w="3661" w:type="dxa"/>
            <w:gridSpan w:val="4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left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其中：基本支出：586.88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1169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left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2" w:type="dxa"/>
            <w:gridSpan w:val="5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ind w:firstLine="800" w:firstLineChars="400"/>
              <w:jc w:val="left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政府性基金拨款：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61" w:type="dxa"/>
            <w:gridSpan w:val="4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ind w:firstLine="600" w:firstLineChars="300"/>
              <w:jc w:val="left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项目支出：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1169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left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2" w:type="dxa"/>
            <w:gridSpan w:val="5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left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纳入专户管理的非税收入拨款：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61" w:type="dxa"/>
            <w:gridSpan w:val="4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left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340" w:hRule="atLeast"/>
          <w:jc w:val="center"/>
        </w:trPr>
        <w:tc>
          <w:tcPr>
            <w:tcW w:w="1169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left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2" w:type="dxa"/>
            <w:gridSpan w:val="5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ind w:firstLine="1400" w:firstLineChars="700"/>
              <w:jc w:val="left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其他资金：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61" w:type="dxa"/>
            <w:gridSpan w:val="4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left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340" w:hRule="atLeast"/>
          <w:jc w:val="center"/>
        </w:trPr>
        <w:tc>
          <w:tcPr>
            <w:tcW w:w="1169" w:type="dxa"/>
            <w:vMerge w:val="restar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432" w:type="dxa"/>
            <w:gridSpan w:val="5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3661" w:type="dxa"/>
            <w:gridSpan w:val="4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/>
        <w:trPr>
          <w:trHeight w:val="335" w:hRule="atLeast"/>
          <w:jc w:val="center"/>
        </w:trPr>
        <w:tc>
          <w:tcPr>
            <w:tcW w:w="1169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left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32" w:type="dxa"/>
            <w:gridSpan w:val="5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1.加强干部队伍建设，选拔和培养一批政治素质高、业务能力强、作风优良的干部，优化干部队伍结构；2.推进基层党组织建设，增强基层党组织的凝聚力和战斗力，提高基层党建工作水平；3.加强人才工作，吸引和培训各类优秀人才支撑；4.提高组织工作信息化水平，建立健全组织工作信息化体系，提高工作效率和管理水平；5.加强组织部自身建设，提高组织部工作人员的综合素质和业务能力，打造一支忠诚干净担当的组工干部队伍。　　</w:t>
            </w:r>
          </w:p>
        </w:tc>
        <w:tc>
          <w:tcPr>
            <w:tcW w:w="3661" w:type="dxa"/>
            <w:gridSpan w:val="4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left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　1.干部队伍建设方面，完成了干部选拔任用工作，选拔了一批优秀干部充实到各级领导岗位，干部队伍结构得到了优化；2.基层党组织建设方面，加强了基层党组织的规范化建设，制定了基层党组织工作规范和标准，基层党组织的工作水平得到了明显提升；3.人才工作方面，制定和完善了一系列人才政策，吸引了一批高层次人才和创新创业团队来本地发展；4.组织工作信息化水平方面，建立了组织工作信息化平台，实现了组织工作信息的数字化管理和共享，加强信息安全管理，保障了组织工作信息的安全和稳定；5.组织部自身建设方面，加强了组织部内部管理，完善了各项规章制度，工作流程更加规范和科学，开展业务培训和学习，提高业务能力和综合素质。</w:t>
            </w:r>
          </w:p>
        </w:tc>
      </w:tr>
      <w:tr>
        <w:tblPrEx/>
        <w:trPr>
          <w:trHeight w:val="550" w:hRule="atLeast"/>
          <w:jc w:val="center"/>
        </w:trPr>
        <w:tc>
          <w:tcPr>
            <w:tcW w:w="1169" w:type="dxa"/>
            <w:vMerge w:val="restar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176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96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260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3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9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78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871" w:type="dxa"/>
            <w:tcBorders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1169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分)</w:t>
            </w:r>
          </w:p>
        </w:tc>
        <w:tc>
          <w:tcPr>
            <w:tcW w:w="961" w:type="dxa"/>
            <w:vMerge w:val="restar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260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组织离退休干部活动</w:t>
            </w:r>
          </w:p>
        </w:tc>
        <w:tc>
          <w:tcPr>
            <w:tcW w:w="103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≥2</w:t>
            </w:r>
          </w:p>
        </w:tc>
        <w:tc>
          <w:tcPr>
            <w:tcW w:w="129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78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340" w:hRule="atLeast"/>
          <w:jc w:val="center"/>
        </w:trPr>
        <w:tc>
          <w:tcPr>
            <w:tcW w:w="1169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left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开展党员、干部和人才工作的培训学习（期数）</w:t>
            </w:r>
          </w:p>
        </w:tc>
        <w:tc>
          <w:tcPr>
            <w:tcW w:w="103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≥10</w:t>
            </w:r>
          </w:p>
        </w:tc>
        <w:tc>
          <w:tcPr>
            <w:tcW w:w="129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default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78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8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340" w:hRule="atLeast"/>
          <w:jc w:val="center"/>
        </w:trPr>
        <w:tc>
          <w:tcPr>
            <w:tcW w:w="1169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left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公务员考录人次</w:t>
            </w:r>
          </w:p>
        </w:tc>
        <w:tc>
          <w:tcPr>
            <w:tcW w:w="103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计划内</w:t>
            </w:r>
          </w:p>
        </w:tc>
        <w:tc>
          <w:tcPr>
            <w:tcW w:w="129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达到预期目标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78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340" w:hRule="atLeast"/>
          <w:jc w:val="center"/>
        </w:trPr>
        <w:tc>
          <w:tcPr>
            <w:tcW w:w="1169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left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260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组织工作任务</w:t>
            </w:r>
          </w:p>
        </w:tc>
        <w:tc>
          <w:tcPr>
            <w:tcW w:w="103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按上级及区委、区政府部署任务完成</w:t>
            </w:r>
          </w:p>
        </w:tc>
        <w:tc>
          <w:tcPr>
            <w:tcW w:w="129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达到预期目标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78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8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340" w:hRule="atLeast"/>
          <w:jc w:val="center"/>
        </w:trPr>
        <w:tc>
          <w:tcPr>
            <w:tcW w:w="1169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left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260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工作完成时间</w:t>
            </w:r>
          </w:p>
        </w:tc>
        <w:tc>
          <w:tcPr>
            <w:tcW w:w="103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2023年1-12月</w:t>
            </w:r>
          </w:p>
        </w:tc>
        <w:tc>
          <w:tcPr>
            <w:tcW w:w="129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达到预期目标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78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340" w:hRule="atLeast"/>
          <w:jc w:val="center"/>
        </w:trPr>
        <w:tc>
          <w:tcPr>
            <w:tcW w:w="1169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6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60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340" w:hRule="atLeast"/>
          <w:jc w:val="center"/>
        </w:trPr>
        <w:tc>
          <w:tcPr>
            <w:tcW w:w="1169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left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Merge w:val="restar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60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社会影响力</w:t>
            </w:r>
          </w:p>
        </w:tc>
        <w:tc>
          <w:tcPr>
            <w:tcW w:w="103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为区委、区政府配备领导及后备干部提供保障</w:t>
            </w: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，</w:t>
            </w: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补充干部队伍的力量</w:t>
            </w:r>
          </w:p>
        </w:tc>
        <w:tc>
          <w:tcPr>
            <w:tcW w:w="129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达到预期目标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78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宋体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8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340" w:hRule="atLeast"/>
          <w:jc w:val="center"/>
        </w:trPr>
        <w:tc>
          <w:tcPr>
            <w:tcW w:w="1169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left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领导干部履职能力</w:t>
            </w:r>
          </w:p>
        </w:tc>
        <w:tc>
          <w:tcPr>
            <w:tcW w:w="103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明显提升</w:t>
            </w:r>
          </w:p>
        </w:tc>
        <w:tc>
          <w:tcPr>
            <w:tcW w:w="129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达到预期目标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78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340" w:hRule="atLeast"/>
          <w:jc w:val="center"/>
        </w:trPr>
        <w:tc>
          <w:tcPr>
            <w:tcW w:w="1169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left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党组织工作影响力</w:t>
            </w:r>
          </w:p>
        </w:tc>
        <w:tc>
          <w:tcPr>
            <w:tcW w:w="103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明显提升</w:t>
            </w:r>
          </w:p>
        </w:tc>
        <w:tc>
          <w:tcPr>
            <w:tcW w:w="129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达到预期目标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78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340" w:hRule="atLeast"/>
          <w:jc w:val="center"/>
        </w:trPr>
        <w:tc>
          <w:tcPr>
            <w:tcW w:w="1169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left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60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340" w:hRule="atLeast"/>
          <w:jc w:val="center"/>
        </w:trPr>
        <w:tc>
          <w:tcPr>
            <w:tcW w:w="1169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left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260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340" w:hRule="atLeast"/>
          <w:jc w:val="center"/>
        </w:trPr>
        <w:tc>
          <w:tcPr>
            <w:tcW w:w="1169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left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61" w:type="dxa"/>
            <w:vMerge w:val="restar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260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单位人员满意度</w:t>
            </w:r>
          </w:p>
        </w:tc>
        <w:tc>
          <w:tcPr>
            <w:tcW w:w="103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≥98%</w:t>
            </w:r>
          </w:p>
        </w:tc>
        <w:tc>
          <w:tcPr>
            <w:tcW w:w="129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99%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78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71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340" w:hRule="atLeast"/>
          <w:jc w:val="center"/>
        </w:trPr>
        <w:tc>
          <w:tcPr>
            <w:tcW w:w="1169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left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社会公众满意度</w:t>
            </w:r>
          </w:p>
        </w:tc>
        <w:tc>
          <w:tcPr>
            <w:tcW w:w="103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≥95%</w:t>
            </w:r>
          </w:p>
        </w:tc>
        <w:tc>
          <w:tcPr>
            <w:tcW w:w="129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98%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78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871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340" w:hRule="atLeast"/>
          <w:jc w:val="center"/>
        </w:trPr>
        <w:tc>
          <w:tcPr>
            <w:tcW w:w="1169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left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left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left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离退休干部服务满意度</w:t>
            </w:r>
          </w:p>
        </w:tc>
        <w:tc>
          <w:tcPr>
            <w:tcW w:w="103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≥95%</w:t>
            </w:r>
          </w:p>
        </w:tc>
        <w:tc>
          <w:tcPr>
            <w:tcW w:w="129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95%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78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71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340" w:hRule="atLeast"/>
          <w:jc w:val="center"/>
        </w:trPr>
        <w:tc>
          <w:tcPr>
            <w:tcW w:w="1169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left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left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成本指标（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96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  <w:lang w:val="en-US" w:eastAsia="zh-CN"/>
              </w:rPr>
              <w:t>经济成本指标</w:t>
            </w:r>
          </w:p>
        </w:tc>
        <w:tc>
          <w:tcPr>
            <w:tcW w:w="1260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3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99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82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71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340" w:hRule="atLeast"/>
          <w:jc w:val="center"/>
        </w:trPr>
        <w:tc>
          <w:tcPr>
            <w:tcW w:w="1169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left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left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  <w:lang w:val="en-US" w:eastAsia="zh-CN"/>
              </w:rPr>
              <w:t>社会成本指标</w:t>
            </w:r>
          </w:p>
        </w:tc>
        <w:tc>
          <w:tcPr>
            <w:tcW w:w="1260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  <w:lang w:val="en-US" w:eastAsia="zh-CN"/>
              </w:rPr>
              <w:t>成本控制有效性</w:t>
            </w:r>
          </w:p>
        </w:tc>
        <w:tc>
          <w:tcPr>
            <w:tcW w:w="1035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控制在预算范围内</w:t>
            </w:r>
          </w:p>
        </w:tc>
        <w:tc>
          <w:tcPr>
            <w:tcW w:w="129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控制在合理预算范围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78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871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340" w:hRule="atLeast"/>
          <w:jc w:val="center"/>
        </w:trPr>
        <w:tc>
          <w:tcPr>
            <w:tcW w:w="1169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left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left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  <w:lang w:val="en-US" w:eastAsia="zh-CN"/>
              </w:rPr>
              <w:t>生态环境成本指标</w:t>
            </w:r>
          </w:p>
        </w:tc>
        <w:tc>
          <w:tcPr>
            <w:tcW w:w="1260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3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99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82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宋体" w:hint="default"/>
                <w:i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71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/>
        <w:trPr>
          <w:trHeight w:val="340" w:hRule="atLeast"/>
          <w:jc w:val="center"/>
        </w:trPr>
        <w:tc>
          <w:tcPr>
            <w:tcW w:w="6900" w:type="dxa"/>
            <w:gridSpan w:val="7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82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center"/>
              <w:textAlignment w:val="auto"/>
              <w:rPr>
                <w:rFonts w:ascii="仿宋" w:cs="仿宋" w:eastAsia="仿宋" w:hAnsi="仿宋" w:hint="default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  <w:tc>
          <w:tcPr>
            <w:tcW w:w="871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240"/>
              <w:jc w:val="left"/>
              <w:textAlignment w:val="auto"/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pStyle w:val="style0"/>
        <w:widowControl w:val="false"/>
        <w:kinsoku/>
        <w:autoSpaceDE/>
        <w:autoSpaceDN/>
        <w:adjustRightInd/>
        <w:snapToGrid/>
        <w:spacing w:lineRule="exact" w:line="600"/>
        <w:jc w:val="both"/>
        <w:textAlignment w:val="auto"/>
        <w:rPr>
          <w:rFonts w:hint="default"/>
          <w:lang w:val="en-US" w:eastAsia="zh-CN"/>
        </w:rPr>
      </w:pPr>
      <w:r>
        <w:rPr>
          <w:rFonts w:ascii="Times New Roman" w:cs="Times New Roman" w:eastAsia="仿宋_GB2312" w:hAnsi="Times New Roman" w:hint="default"/>
          <w:snapToGrid/>
          <w:color w:val="000000"/>
          <w:kern w:val="0"/>
          <w:sz w:val="24"/>
          <w:szCs w:val="24"/>
          <w:lang w:val="en-US" w:bidi="ar-SA" w:eastAsia="zh-CN"/>
        </w:rPr>
        <w:t>填表人：</w:t>
      </w:r>
      <w:r>
        <w:rPr>
          <w:rFonts w:ascii="Times New Roman" w:cs="Times New Roman" w:eastAsia="仿宋_GB2312" w:hAnsi="Times New Roman" w:hint="eastAsia"/>
          <w:snapToGrid/>
          <w:color w:val="000000"/>
          <w:kern w:val="0"/>
          <w:sz w:val="24"/>
          <w:szCs w:val="24"/>
          <w:lang w:val="en-US" w:bidi="ar-SA" w:eastAsia="zh-CN"/>
        </w:rPr>
        <w:t xml:space="preserve">刘飞飞     </w:t>
      </w:r>
      <w:r>
        <w:rPr>
          <w:rFonts w:ascii="Times New Roman" w:cs="Times New Roman" w:eastAsia="仿宋_GB2312" w:hAnsi="Times New Roman" w:hint="default"/>
          <w:snapToGrid/>
          <w:color w:val="000000"/>
          <w:kern w:val="0"/>
          <w:sz w:val="24"/>
          <w:szCs w:val="24"/>
          <w:lang w:val="en-US" w:bidi="ar-SA" w:eastAsia="zh-CN"/>
        </w:rPr>
        <w:t xml:space="preserve"> 填报日期：</w:t>
      </w:r>
      <w:r>
        <w:rPr>
          <w:rFonts w:ascii="Times New Roman" w:cs="Times New Roman" w:eastAsia="仿宋_GB2312" w:hAnsi="Times New Roman" w:hint="eastAsia"/>
          <w:snapToGrid/>
          <w:color w:val="000000"/>
          <w:kern w:val="0"/>
          <w:sz w:val="24"/>
          <w:szCs w:val="24"/>
          <w:lang w:val="en-US" w:bidi="ar-SA" w:eastAsia="zh-CN"/>
        </w:rPr>
        <w:t xml:space="preserve">2024年7月30日    </w:t>
      </w:r>
      <w:r>
        <w:rPr>
          <w:rFonts w:ascii="Times New Roman" w:cs="Times New Roman" w:eastAsia="仿宋_GB2312" w:hAnsi="Times New Roman" w:hint="default"/>
          <w:snapToGrid/>
          <w:color w:val="000000"/>
          <w:kern w:val="0"/>
          <w:sz w:val="24"/>
          <w:szCs w:val="24"/>
          <w:lang w:val="en-US" w:bidi="ar-SA" w:eastAsia="zh-CN"/>
        </w:rPr>
        <w:t xml:space="preserve">  联系电话：</w:t>
      </w:r>
      <w:r>
        <w:rPr>
          <w:rFonts w:ascii="Times New Roman" w:cs="Times New Roman" w:eastAsia="仿宋_GB2312" w:hAnsi="Times New Roman" w:hint="eastAsia"/>
          <w:snapToGrid/>
          <w:color w:val="000000"/>
          <w:kern w:val="0"/>
          <w:sz w:val="24"/>
          <w:szCs w:val="24"/>
          <w:lang w:val="en-US" w:bidi="ar-SA" w:eastAsia="zh-CN"/>
        </w:rPr>
        <w:t xml:space="preserve">13975939183 </w:t>
      </w:r>
    </w:p>
    <w:sectPr>
      <w:footerReference w:type="default" r:id="rId2"/>
      <w:pgSz w:w="11906" w:h="16838" w:orient="portrait"/>
      <w:pgMar w:top="2098" w:right="1800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Calibri Light">
    <w:altName w:val="Calibri Light"/>
    <w:panose1 w:val="020f0302020002030204"/>
    <w:charset w:val="00"/>
    <w:family w:val="auto"/>
    <w:pitch w:val="default"/>
    <w:sig w:usb0="A00002EF" w:usb1="4000207B" w:usb2="00000000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方正小标宋_GBK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80F3C52" w:usb2="00000016" w:usb3="00000000" w:csb0="0004001F" w:csb1="00000000"/>
  </w:font>
  <w:font w:name="方正仿宋_GB2312">
    <w:altName w:val="方正仿宋_GB2312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Tahoma">
    <w:altName w:val="Tahoma"/>
    <w:panose1 w:val="020b0604030005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>
        <w:sz w:val="18"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828800" cy="182880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32"/>
                            <w:rPr/>
                          </w:pPr>
                          <w:r>
                            <w:rPr>
                              <w:rFonts w:ascii="方正仿宋_GB2312" w:cs="方正仿宋_GB2312" w:eastAsia="方正仿宋_GB2312" w:hAnsi="方正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方正仿宋_GB2312" w:cs="方正仿宋_GB2312" w:eastAsia="方正仿宋_GB2312" w:hAnsi="方正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2312" w:cs="方正仿宋_GB2312" w:eastAsia="方正仿宋_GB2312" w:hAnsi="方正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2312" w:cs="方正仿宋_GB2312" w:eastAsia="方正仿宋_GB2312" w:hAnsi="方正仿宋_GB2312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方正仿宋_GB2312" w:cs="方正仿宋_GB2312" w:eastAsia="方正仿宋_GB2312" w:hAnsi="方正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none" upright="fals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0.0pt;margin-top:0.0pt;width:144.0pt;height:144.0pt;z-index:2;mso-position-horizontal:right;mso-position-horizontal-relative:margin;mso-position-vertical-relative:text;mso-width-relative:page;mso-height-relative:page;mso-wrap-distance-left:0.0pt;mso-wrap-distance-right:0.0pt;visibility:visible;mso-wrap-style:none;">
              <v:stroke on="f" weight="0.5pt"/>
              <v:fill/>
              <v:textbox inset="0.0pt,0.0pt,0.0pt,0.0pt" style="mso-fit-shape-to-text:true;">
                <w:txbxContent>
                  <w:p>
                    <w:pPr>
                      <w:pStyle w:val="style32"/>
                      <w:rPr/>
                    </w:pPr>
                    <w:r>
                      <w:rPr>
                        <w:rFonts w:ascii="方正仿宋_GB2312" w:cs="方正仿宋_GB2312" w:eastAsia="方正仿宋_GB2312" w:hAnsi="方正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方正仿宋_GB2312" w:cs="方正仿宋_GB2312" w:eastAsia="方正仿宋_GB2312" w:hAnsi="方正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方正仿宋_GB2312" w:cs="方正仿宋_GB2312" w:eastAsia="方正仿宋_GB2312" w:hAnsi="方正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2312" w:cs="方正仿宋_GB2312" w:eastAsia="方正仿宋_GB2312" w:hAnsi="方正仿宋_GB2312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方正仿宋_GB2312" w:cs="方正仿宋_GB2312" w:eastAsia="方正仿宋_GB2312" w:hAnsi="方正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24BD1AB6"/>
    <w:lvl w:ilvl="0">
      <w:start w:val="2"/>
      <w:numFmt w:val="chineseCounting"/>
      <w:suff w:val="nothing"/>
      <w:lvlText w:val="（%1）"/>
      <w:lvlJc w:val="left"/>
      <w:pPr/>
      <w:rPr>
        <w:rFonts w:hint="eastAsia"/>
      </w:rPr>
    </w:lvl>
  </w:abstractNum>
  <w:abstractNum w:abstractNumId="1">
    <w:nsid w:val="00000001"/>
    <w:multiLevelType w:val="singleLevel"/>
    <w:tmpl w:val="5484512D"/>
    <w:lvl w:ilvl="0">
      <w:start w:val="2"/>
      <w:numFmt w:val="chineseCounting"/>
      <w:suff w:val="nothing"/>
      <w:lvlText w:val="（%1）"/>
      <w:lvlJc w:val="left"/>
      <w:pPr/>
      <w:rPr>
        <w:rFonts w:hint="eastAsia"/>
      </w:rPr>
    </w:lvl>
  </w:abstractNum>
  <w:abstractNum w:abstractNumId="2">
    <w:nsid w:val="00000002"/>
    <w:multiLevelType w:val="singleLevel"/>
    <w:tmpl w:val="7DC9C2FD"/>
    <w:lvl w:ilvl="0">
      <w:start w:val="3"/>
      <w:numFmt w:val="chineseCounting"/>
      <w:suff w:val="nothing"/>
      <w:lvlText w:val="%1、"/>
      <w:lvlJc w:val="left"/>
      <w:pPr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embedTrueTypeFonts/>
  <w:saveSubset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2">
    <w:name w:val="heading 2"/>
    <w:basedOn w:val="style0"/>
    <w:next w:val="style0"/>
    <w:qFormat/>
    <w:uiPriority w:val="0"/>
    <w:pPr>
      <w:keepNext/>
      <w:keepLines/>
      <w:spacing w:lineRule="exact" w:line="560"/>
      <w:ind w:firstLine="200" w:firstLineChars="200"/>
      <w:outlineLvl w:val="1"/>
    </w:pPr>
    <w:rPr>
      <w:rFonts w:ascii="Calibri Light" w:cs="宋体" w:eastAsia="楷体_GB2312" w:hAnsi="Calibri Light"/>
      <w:bCs/>
      <w:sz w:val="32"/>
      <w:szCs w:val="32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67">
    <w:name w:val="Body Text Indent"/>
    <w:basedOn w:val="style0"/>
    <w:next w:val="style67"/>
    <w:qFormat/>
    <w:uiPriority w:val="0"/>
    <w:pPr>
      <w:ind w:firstLine="640" w:firstLineChars="200"/>
    </w:pPr>
    <w:rPr>
      <w:rFonts w:hint="default"/>
      <w:sz w:val="32"/>
    </w:r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  <w:style w:type="paragraph" w:styleId="style94">
    <w:name w:val="Normal (Web)"/>
    <w:basedOn w:val="style0"/>
    <w:next w:val="style94"/>
    <w:qFormat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  <w:style w:type="paragraph" w:styleId="style78">
    <w:name w:val="Body Text First Indent 2"/>
    <w:basedOn w:val="style67"/>
    <w:next w:val="style0"/>
    <w:qFormat/>
    <w:uiPriority w:val="99"/>
    <w:pPr>
      <w:ind w:firstLine="420"/>
    </w:pPr>
    <w:rPr>
      <w:rFonts w:hint="default"/>
      <w:sz w:val="32"/>
    </w:rPr>
  </w:style>
  <w:style w:type="paragraph" w:customStyle="1" w:styleId="style4097">
    <w:name w:val="标题1"/>
    <w:basedOn w:val="style2"/>
    <w:next w:val="style4097"/>
    <w:qFormat/>
    <w:uiPriority w:val="0"/>
    <w:pPr/>
    <w:rPr>
      <w:rFonts w:eastAsia="黑体"/>
    </w:rPr>
  </w:style>
  <w:style w:type="paragraph" w:customStyle="1" w:styleId="style4098">
    <w:name w:val="首行缩进"/>
    <w:basedOn w:val="style0"/>
    <w:next w:val="style4098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5974</Words>
  <Pages>17</Pages>
  <Characters>6298</Characters>
  <Application>WPS Office</Application>
  <DocSecurity>0</DocSecurity>
  <Paragraphs>503</Paragraphs>
  <ScaleCrop>false</ScaleCrop>
  <LinksUpToDate>false</LinksUpToDate>
  <CharactersWithSpaces>6527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2024-02-22T02:03:00Z</dcterms:created>
  <dc:creator>1402836399</dc:creator>
  <lastModifiedBy>NTH-AN00</lastModifiedBy>
  <lastPrinted>2024-04-04T04:38:00Z</lastPrinted>
  <dcterms:modified xsi:type="dcterms:W3CDTF">2024-07-30T14:34:02Z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C3122977022B45F399FAC8233ABA2157_13</vt:lpwstr>
  </property>
</Properties>
</file>