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i w:val="0"/>
          <w:iCs w:val="0"/>
          <w:caps w:val="0"/>
          <w:color w:val="444444"/>
          <w:spacing w:val="0"/>
          <w:kern w:val="0"/>
          <w:sz w:val="44"/>
          <w:szCs w:val="44"/>
          <w:shd w:val="clear" w:fill="FFFFFF"/>
          <w:lang w:val="en-US" w:eastAsia="zh-CN" w:bidi="ar"/>
        </w:rPr>
      </w:pPr>
      <w:r>
        <w:rPr>
          <w:rFonts w:hint="eastAsia" w:ascii="宋体" w:hAnsi="宋体" w:eastAsia="宋体" w:cs="宋体"/>
          <w:b/>
          <w:bCs/>
          <w:i w:val="0"/>
          <w:iCs w:val="0"/>
          <w:caps w:val="0"/>
          <w:color w:val="444444"/>
          <w:spacing w:val="0"/>
          <w:kern w:val="0"/>
          <w:sz w:val="44"/>
          <w:szCs w:val="44"/>
          <w:shd w:val="clear" w:fill="FFFFFF"/>
          <w:lang w:val="en-US" w:eastAsia="zh-CN" w:bidi="ar"/>
        </w:rPr>
        <w:t>北塔区委组织部2022年度部门整体支出绩效评价报告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中共邵阳市北塔区委组织部(以下简称区委组织部)是北塔区委主管的职能部门，为正科级，由区委统一领导和管理。区委组织部包含区委组织部机关，内设8个机构，党校及所属二级机构2个。内设机构分别是：办公室（调研组）、组织组、干部组、人才组、干部监督组（举报中心）、考评办、干部信息组及干部教育组。所属二级机构是：党员教育中心、北塔区绩效事务中心。</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区委组织部编制人数22人（含党校编制人数6人），实际人数19人，离退休 1人，遗属补助人数2人，小车编制数0台，实际无，房屋使用面积213平方米。</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（1）贯彻执行中央、省、市关于组织、干部、人才及老干工作的方针、政策和法律、法规，拟订全区组织、干部、人才及老干工作有关制度并组织实施。</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负责研究和指导党组织建设，制订加强党的工作制度、党内生活制度的规定和意见，会同有关部门对乡镇（街道）党（工）委和区委管理的企事业单位党委（党组）换届选举及单位党委（党组）民主生活会进行指导；研究指导党的基层组织建设以及党组织的设置原则、隶属关系和活动内容、工作方式；研究、指导党员队伍建设，主管党员管理和发展工作，指导、协调党员教育工作；负责全区党费收缴及管理工作；组织和开展新时代党的建设的理论研究。</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（3）负责干部队伍建设的宏观管理，制订和参与组织、干部、人事工作的重要政策、法规、制度，并对重要经验进行总结推介。</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提出乡镇（街道）和区直部门以及其他列入区委管理的领导班子调整、配备的意见和建议；负责区委管理干部的考察、任免、工资、待遇、出国（境）、退（离）休审批手续的办理；负责县处级领导班子换届选举和届中调整的有关工作；负责全区干部公开选拔的指导，承办副科级以上干部公开选拔的具体工作；组织落实培养选拔中青年干部、妇女干部、少数民族干部、党外干部的有关规划和方案；组织开展职务与职级并行工作；指导乡镇（街道）和区直部门领导班子的思想作风建设。</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（5）研究制订全区组织管理信息系统建设规划，指导全区组织系统信息网络建设；负责全区干部人事档案、党员统计、干部统计工作的宏观指导。</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负责干部监督工作的宏观指导，负责组织工作和干部工作的督促检查，及时向市委组织部和区委反映重要情况，对反映领导班子和领导干部的重要问题进行调查了解和督办；负责对全区干部选拔任用工作进行监督，对有关监督制度的落实情况进行督查，对市委和区委管理的干部的历史遗留问题进行初审和审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（7）制订干部教育工作规划，组织、协调市管、区管干部和部分中青年干部的培训，指导、协调、检查全区和区直部门的干部教育工作。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（8）制订或参与制订有关人才工作的政策、规定，指导、协调、检查人才工作和选拔优秀人才；指导有关专家开展活动。</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负责全区离（退）休干部工作。贯彻执行上级有关离（退）休干部工作的方针、政策，制订全区离（退）休干部工作规划和制度，指导、监督、协调各单位做好离（退）休干部管理和服务工作，加强对离退休干部党建工作指导；承担区关心下一代工作委员会的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负责区直属机关工作委员会工作。研究、规划、指导区直属单位党组织建设，按机关党建工作要求，负责所属党组织的组织建设、管理和发展党员工作，加强机关党员队伍和党务工作者队伍建设，促进机关作风建设。</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（11）负责区委非公有制经济组织和社会组织工作委员会工作。研究、规划、指导全区非公有制经济组织和新社会组织基层党建工作，规范基层组织建设，扩大党的组织覆盖和工作覆盖。</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（12）负责全区公务员管理工作。组织实施全区国家公务员的职位分类、录用、考核等管理工作。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（13）承办区委、区政府和上级部门交办的其他事项。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委组织部财政预算拨款收入为563.47万元，年初预算数为254.91万元，其他收入为31.94万元；2022年度实际支出595.4万元（基本支出595.4万元、项目支出0万元），其中一般公共服务支出478.71万元、社会保障和就业支出18.75万元、卫生健康支出13.18万元、农林水支出36.12万元、住房保障支出16.61万元；其他支出为31.94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2022年度区委组织部基本支出年初预算安排为241.51万元，本年实际支出为595.4万元，主要为人员经费支出和公用经费支出，其中人员经费支出275.33万元、公用经费支出320.08万元。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本年项目支出年初预算安排为30.4万元，本年实际支出为0万元，无项目支出。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2022年财政拨款预算执行数595.4万元，预算安排数245.91万元，预算执行率为242.12%，当年预算有超支349.49万元；（2）公用经费预算28.84万元，实际支出320.08万元，公用经费控制率为1109.85%；（3）“三公经费”年初预算安排4万元，实际支出0.09万元，“三公经费”控制率为2.25%。（4）政府采购年初预算14.7万元，实际政府采购金额151.65万元，政府采购执行率1031.63%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区委组织部及时在区政府统一平台公开了部门预算、决算和绩效目标、绩效自评报告、“三公经费”等信息，接受群众和社会监督。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区委组织部拥有各类资产总额42.23万元，其中流动资产5.63万元，固定资产净额36.6万元。单位为加强资产管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部充分履行职责职能，严格执行各项管理制度，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经济、社会等效益显著、社会公众满意度上升，较好地完成了全年工作目标。</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11"/>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620" w:lineRule="exact"/>
        <w:ind w:firstLine="600"/>
        <w:jc w:val="both"/>
        <w:textAlignment w:val="top"/>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1、预算编制工作有待细化。预算编制不够明确和细化，预算编制的合理性需要提高，预算执行力度还要进一步加强。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2、绩效评价工作机制有待进一步完善。由于在平时工作中未加强对绩效监控工作的重视，绩效监控工作容易滞后，未形成对绩效目标进行监控的习惯。</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Autospacing="0" w:line="620" w:lineRule="exact"/>
        <w:ind w:left="0" w:right="0" w:firstLine="560" w:firstLineChars="200"/>
        <w:jc w:val="left"/>
        <w:textAlignment w:val="top"/>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w:t>
      </w:r>
      <w:r>
        <w:rPr>
          <w:rFonts w:hint="default" w:ascii="宋体" w:hAnsi="宋体" w:eastAsia="宋体" w:cs="宋体"/>
          <w:color w:val="444444"/>
          <w:kern w:val="0"/>
          <w:sz w:val="28"/>
          <w:szCs w:val="28"/>
          <w:shd w:val="clear" w:fill="FFFFFF"/>
          <w:lang w:val="en-US" w:eastAsia="zh-CN" w:bidi="ar-SA"/>
        </w:rPr>
        <w:t>增强预算编制的</w:t>
      </w:r>
      <w:r>
        <w:rPr>
          <w:rFonts w:hint="eastAsia" w:ascii="宋体" w:hAnsi="宋体" w:eastAsia="宋体" w:cs="宋体"/>
          <w:color w:val="444444"/>
          <w:kern w:val="0"/>
          <w:sz w:val="28"/>
          <w:szCs w:val="28"/>
          <w:shd w:val="clear" w:fill="FFFFFF"/>
          <w:lang w:val="en-US" w:eastAsia="zh-CN" w:bidi="ar-SA"/>
        </w:rPr>
        <w:t>科学性、</w:t>
      </w:r>
      <w:r>
        <w:rPr>
          <w:rFonts w:hint="default" w:ascii="宋体" w:hAnsi="宋体" w:eastAsia="宋体" w:cs="宋体"/>
          <w:color w:val="444444"/>
          <w:kern w:val="0"/>
          <w:sz w:val="28"/>
          <w:szCs w:val="28"/>
          <w:shd w:val="clear" w:fill="FFFFFF"/>
          <w:lang w:val="en-US" w:eastAsia="zh-CN" w:bidi="ar-SA"/>
        </w:rPr>
        <w:t>全面性</w:t>
      </w:r>
      <w:r>
        <w:rPr>
          <w:rFonts w:hint="eastAsia" w:ascii="宋体" w:hAnsi="宋体" w:eastAsia="宋体" w:cs="宋体"/>
          <w:color w:val="444444"/>
          <w:kern w:val="0"/>
          <w:sz w:val="28"/>
          <w:szCs w:val="28"/>
          <w:shd w:val="clear" w:fill="FFFFFF"/>
          <w:lang w:val="en-US" w:eastAsia="zh-CN" w:bidi="ar-SA"/>
        </w:rPr>
        <w:t>和</w:t>
      </w:r>
      <w:r>
        <w:rPr>
          <w:rFonts w:hint="default" w:ascii="宋体" w:hAnsi="宋体" w:eastAsia="宋体" w:cs="宋体"/>
          <w:color w:val="444444"/>
          <w:kern w:val="0"/>
          <w:sz w:val="28"/>
          <w:szCs w:val="28"/>
          <w:shd w:val="clear" w:fill="FFFFFF"/>
          <w:lang w:val="en-US" w:eastAsia="zh-CN" w:bidi="ar-SA"/>
        </w:rPr>
        <w:t>准确性</w:t>
      </w:r>
      <w:r>
        <w:rPr>
          <w:rFonts w:hint="eastAsia" w:ascii="宋体" w:hAnsi="宋体" w:eastAsia="宋体" w:cs="宋体"/>
          <w:color w:val="444444"/>
          <w:kern w:val="0"/>
          <w:sz w:val="28"/>
          <w:szCs w:val="28"/>
          <w:shd w:val="clear" w:fill="FFFFFF"/>
          <w:lang w:val="en-US" w:eastAsia="zh-CN" w:bidi="ar-SA"/>
        </w:rPr>
        <w:t>。认真分析上年度执行情况，通过实际情况与预算对比，摸索收支规律，了解和掌握了预算年度事业发展计划及资金供需情况，安排支出预算时做到保证重点，兼顾一般，强化支出计划，严格经费支出管理。</w:t>
      </w:r>
    </w:p>
    <w:p>
      <w:pPr>
        <w:pStyle w:val="10"/>
        <w:ind w:firstLine="560" w:firstLineChars="200"/>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2、重视绩效评价工作，进一步提高绩效管理水平。加强预算执行的准确性，开展好支出绩效管理工作，运用好绩效评价结果，不断提升绩效管理水平。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10"/>
        <w:ind w:firstLine="560" w:firstLineChars="200"/>
        <w:rPr>
          <w:rFonts w:hint="eastAsia" w:ascii="宋体" w:hAnsi="宋体" w:eastAsia="宋体" w:cs="宋体"/>
          <w:color w:val="444444"/>
          <w:kern w:val="0"/>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2D44D"/>
    <w:multiLevelType w:val="singleLevel"/>
    <w:tmpl w:val="D722D44D"/>
    <w:lvl w:ilvl="0" w:tentative="0">
      <w:start w:val="4"/>
      <w:numFmt w:val="chineseCounting"/>
      <w:suff w:val="nothing"/>
      <w:lvlText w:val="%1、"/>
      <w:lvlJc w:val="left"/>
      <w:rPr>
        <w:rFonts w:hint="eastAsia"/>
      </w:rPr>
    </w:lvl>
  </w:abstractNum>
  <w:abstractNum w:abstractNumId="1">
    <w:nsid w:val="40C6B5B4"/>
    <w:multiLevelType w:val="singleLevel"/>
    <w:tmpl w:val="40C6B5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11B5B"/>
    <w:rsid w:val="025D08EA"/>
    <w:rsid w:val="02A74CAA"/>
    <w:rsid w:val="05213482"/>
    <w:rsid w:val="066C13A8"/>
    <w:rsid w:val="09E17252"/>
    <w:rsid w:val="0A292352"/>
    <w:rsid w:val="0CF42A49"/>
    <w:rsid w:val="0D5E3707"/>
    <w:rsid w:val="11E84674"/>
    <w:rsid w:val="126C42B4"/>
    <w:rsid w:val="17042185"/>
    <w:rsid w:val="1A67359E"/>
    <w:rsid w:val="1F010C8F"/>
    <w:rsid w:val="1FC730E4"/>
    <w:rsid w:val="20F63895"/>
    <w:rsid w:val="2167303D"/>
    <w:rsid w:val="23713D9D"/>
    <w:rsid w:val="26166273"/>
    <w:rsid w:val="264622C3"/>
    <w:rsid w:val="289326AB"/>
    <w:rsid w:val="2B032004"/>
    <w:rsid w:val="2BE450C4"/>
    <w:rsid w:val="2C7529D1"/>
    <w:rsid w:val="2D6C05C8"/>
    <w:rsid w:val="3267021E"/>
    <w:rsid w:val="34B175E5"/>
    <w:rsid w:val="3619015E"/>
    <w:rsid w:val="36E22B02"/>
    <w:rsid w:val="37A26170"/>
    <w:rsid w:val="3B9303B2"/>
    <w:rsid w:val="3C8416D7"/>
    <w:rsid w:val="3DDB498D"/>
    <w:rsid w:val="3F176C7D"/>
    <w:rsid w:val="3FAB09ED"/>
    <w:rsid w:val="44AF5D78"/>
    <w:rsid w:val="45833892"/>
    <w:rsid w:val="45CB4E15"/>
    <w:rsid w:val="4ACA7AAB"/>
    <w:rsid w:val="4B991F60"/>
    <w:rsid w:val="4D113C42"/>
    <w:rsid w:val="4E58558A"/>
    <w:rsid w:val="4F3501F1"/>
    <w:rsid w:val="52C04276"/>
    <w:rsid w:val="53202F66"/>
    <w:rsid w:val="55C776C9"/>
    <w:rsid w:val="575435C3"/>
    <w:rsid w:val="5881254A"/>
    <w:rsid w:val="588861D4"/>
    <w:rsid w:val="58CA4CA4"/>
    <w:rsid w:val="593E5EF4"/>
    <w:rsid w:val="59A70B1E"/>
    <w:rsid w:val="59CF6DC5"/>
    <w:rsid w:val="59E60318"/>
    <w:rsid w:val="5CBC5F90"/>
    <w:rsid w:val="5E6D1153"/>
    <w:rsid w:val="5F83500A"/>
    <w:rsid w:val="60745B56"/>
    <w:rsid w:val="624C0FE5"/>
    <w:rsid w:val="63F0211E"/>
    <w:rsid w:val="641F097E"/>
    <w:rsid w:val="65236940"/>
    <w:rsid w:val="664A41B0"/>
    <w:rsid w:val="66D16D4F"/>
    <w:rsid w:val="66FE6113"/>
    <w:rsid w:val="683C7901"/>
    <w:rsid w:val="68E31B70"/>
    <w:rsid w:val="6A7A6FA8"/>
    <w:rsid w:val="6B874FA2"/>
    <w:rsid w:val="6BB80B1D"/>
    <w:rsid w:val="6FD52562"/>
    <w:rsid w:val="70514092"/>
    <w:rsid w:val="70852420"/>
    <w:rsid w:val="73125FD0"/>
    <w:rsid w:val="75C90F3B"/>
    <w:rsid w:val="76DC35F5"/>
    <w:rsid w:val="771E0D91"/>
    <w:rsid w:val="7832658D"/>
    <w:rsid w:val="78503404"/>
    <w:rsid w:val="79074D5F"/>
    <w:rsid w:val="79B15E05"/>
    <w:rsid w:val="7AD02AE4"/>
    <w:rsid w:val="7AF745AA"/>
    <w:rsid w:val="7B7D06A6"/>
    <w:rsid w:val="7CAE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100" w:beforeAutospacing="1" w:after="0" w:line="560" w:lineRule="exact"/>
      <w:ind w:left="0" w:leftChars="200" w:firstLine="420" w:firstLineChars="200"/>
      <w:jc w:val="both"/>
    </w:pPr>
    <w:rPr>
      <w:rFonts w:eastAsia="仿宋_GB2312" w:asciiTheme="minorHAnsi" w:hAnsiTheme="minorHAnsi" w:cstheme="minorBidi"/>
      <w:kern w:val="2"/>
      <w:sz w:val="32"/>
      <w:szCs w:val="32"/>
      <w:lang w:val="en-US" w:eastAsia="zh-CN" w:bidi="ar-SA"/>
    </w:rPr>
  </w:style>
  <w:style w:type="paragraph" w:styleId="4">
    <w:name w:val="Normal Indent"/>
    <w:basedOn w:val="1"/>
    <w:qFormat/>
    <w:uiPriority w:val="0"/>
    <w:pPr>
      <w:ind w:firstLine="420"/>
    </w:pPr>
  </w:style>
  <w:style w:type="paragraph" w:styleId="5">
    <w:name w:val="Body Text Indent"/>
    <w:basedOn w:val="1"/>
    <w:next w:val="4"/>
    <w:qFormat/>
    <w:uiPriority w:val="0"/>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2302</Words>
  <Characters>2445</Characters>
  <Lines>0</Lines>
  <Paragraphs>0</Paragraphs>
  <TotalTime>0</TotalTime>
  <ScaleCrop>false</ScaleCrop>
  <LinksUpToDate>false</LinksUpToDate>
  <CharactersWithSpaces>2446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E17966C8A9FD485781626CC67661B542_13</vt:lpwstr>
  </property>
</Properties>
</file>