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="微软雅黑" w:hAnsi="微软雅黑" w:eastAsia="宋体" w:cs="微软雅黑"/>
          <w:i w:val="0"/>
          <w:iCs w:val="0"/>
          <w:caps w:val="0"/>
          <w:color w:val="666666"/>
          <w:spacing w:val="0"/>
          <w:sz w:val="16"/>
          <w:szCs w:val="16"/>
          <w:lang w:val="en-US" w:eastAsia="zh-CN"/>
        </w:rPr>
      </w:pPr>
      <w:bookmarkStart w:id="0" w:name="_GoBack"/>
      <w:bookmarkEnd w:id="0"/>
      <w:r>
        <w:rPr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</w:t>
      </w:r>
      <w:r>
        <w:rPr>
          <w:rFonts w:hint="eastAsia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年度部门整体支出绩效评价报</w:t>
      </w:r>
      <w:r>
        <w:rPr>
          <w:rFonts w:hint="eastAsia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0" w:right="0" w:firstLine="420"/>
        <w:jc w:val="both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0"/>
          <w:szCs w:val="30"/>
          <w:shd w:val="clear" w:fill="FFFFFF"/>
        </w:rPr>
        <w:t>一、部门基本情况</w:t>
      </w:r>
    </w:p>
    <w:p>
      <w:pPr>
        <w:spacing w:line="480" w:lineRule="auto"/>
        <w:ind w:firstLine="602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（一）机构设置及人员情况</w:t>
      </w:r>
    </w:p>
    <w:p>
      <w:pPr>
        <w:spacing w:line="480" w:lineRule="auto"/>
        <w:ind w:firstLine="60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  <w:t xml:space="preserve">纳入2022年部门决算编报的单位1个，包含北塔区政协和平台服务站，内设机构有：办公室、经济科技和外事委员会、文教文体和文史委员会、农业农村和人口资源委员会、提案和委员学习联络委员会。北塔区政协行政编制人数11人，事业单位1人、后勤服务1人。实有人数28人，其中在职17人，退休人员11人。 </w:t>
      </w:r>
    </w:p>
    <w:p>
      <w:pPr>
        <w:spacing w:line="480" w:lineRule="auto"/>
        <w:ind w:firstLine="602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（二）主要工作职责</w:t>
      </w:r>
    </w:p>
    <w:p>
      <w:pPr>
        <w:pStyle w:val="11"/>
        <w:spacing w:before="0" w:beforeAutospacing="0" w:after="2" w:afterAutospacing="0"/>
        <w:ind w:left="0" w:firstLine="641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  <w:t xml:space="preserve">1、负责区政协全委会议、常委会议、主席会议、专门委员会会议的组织工作和文件、文稿的起草工作。 </w:t>
      </w:r>
    </w:p>
    <w:p>
      <w:pPr>
        <w:pStyle w:val="11"/>
        <w:spacing w:before="0" w:beforeAutospacing="0" w:after="2" w:afterAutospacing="0"/>
        <w:ind w:left="0" w:firstLine="641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  <w:t xml:space="preserve">2、组织实施区政协全委会议、常委会议、主席会议的决议、决定。 </w:t>
      </w:r>
    </w:p>
    <w:p>
      <w:pPr>
        <w:pStyle w:val="11"/>
        <w:spacing w:before="0" w:beforeAutospacing="0" w:after="2" w:afterAutospacing="0"/>
        <w:ind w:left="0" w:firstLine="641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  <w:t xml:space="preserve">3、负责区政协委员视察调查、参观考察、座谈研讨、咨询服务等活动的联络和服务工作。 </w:t>
      </w:r>
    </w:p>
    <w:p>
      <w:pPr>
        <w:pStyle w:val="11"/>
        <w:spacing w:before="0" w:beforeAutospacing="0" w:after="2" w:afterAutospacing="0"/>
        <w:ind w:left="0" w:firstLine="641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  <w:t xml:space="preserve">4、组织政协委员开展学习活动，调动政协委员参政议政积极性，围绕全区工作大局建言立论、献计献策，做好各民主党派、工商联、各人民团体和社会各界知名人士联络工作， 为完成区委、区政府中心工作服务。 </w:t>
      </w:r>
    </w:p>
    <w:p>
      <w:pPr>
        <w:pStyle w:val="11"/>
        <w:spacing w:before="0" w:beforeAutospacing="0" w:after="2" w:afterAutospacing="0"/>
        <w:ind w:left="0" w:firstLine="641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  <w:t xml:space="preserve">5、研究统一战线和人民政协工作的理论、政策，提出区政协工作好的办法，供领导参阅。 </w:t>
      </w:r>
    </w:p>
    <w:p>
      <w:pPr>
        <w:pStyle w:val="11"/>
        <w:spacing w:before="0" w:beforeAutospacing="0" w:after="2" w:afterAutospacing="0"/>
        <w:ind w:left="0" w:firstLine="641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  <w:t xml:space="preserve">6、负责人民政协工作的宣传，处理群众来信、接待群众来访；收集反映社情民意和各界人士的意见、建议。 </w:t>
      </w:r>
    </w:p>
    <w:p>
      <w:pPr>
        <w:pStyle w:val="11"/>
        <w:spacing w:before="0" w:beforeAutospacing="0" w:after="2" w:afterAutospacing="0"/>
        <w:ind w:left="0" w:firstLine="641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  <w:t xml:space="preserve">7、负责与区有关部门的联系，互通情况，做好配合、协调工作。 </w:t>
      </w:r>
    </w:p>
    <w:p>
      <w:pPr>
        <w:pStyle w:val="11"/>
        <w:spacing w:before="0" w:beforeAutospacing="0" w:after="2" w:afterAutospacing="0"/>
        <w:ind w:left="0" w:firstLine="641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  <w:t xml:space="preserve">8、负责机关自身的思想、作风、组织和制度建设，做好 安全保密和后勤保障工作。 </w:t>
      </w:r>
    </w:p>
    <w:p>
      <w:pPr>
        <w:pStyle w:val="11"/>
        <w:spacing w:before="0" w:beforeAutospacing="0" w:after="2" w:afterAutospacing="0"/>
        <w:ind w:left="0" w:firstLine="641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  <w:t xml:space="preserve">9、负责机关的党建、干部人事管理和离退休老同志服务 的相关工作。 </w:t>
      </w:r>
    </w:p>
    <w:p>
      <w:pPr>
        <w:pStyle w:val="11"/>
        <w:spacing w:before="0" w:beforeAutospacing="0" w:after="2" w:afterAutospacing="0"/>
        <w:ind w:left="0" w:firstLine="641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  <w:t xml:space="preserve">10、承办区政协领导交办的其他事项。 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right="0" w:firstLine="301" w:firstLineChars="10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0"/>
          <w:szCs w:val="30"/>
          <w:shd w:val="clear" w:fill="FFFFFF"/>
        </w:rPr>
        <w:t>二、部门整体支出管理及使用情况</w:t>
      </w:r>
    </w:p>
    <w:p>
      <w:pPr>
        <w:spacing w:line="480" w:lineRule="auto"/>
        <w:ind w:firstLine="602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（一）预算执行情况</w:t>
      </w:r>
    </w:p>
    <w:p>
      <w:pPr>
        <w:spacing w:line="480" w:lineRule="auto"/>
        <w:ind w:firstLine="60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  <w:t>2022年邵阳市北塔区政协委员会预算批复数325.19万元，其中一般公共预算拨款325.19万元；决算批复数374.62万元，其中一般公共预算财政拨款收入374.62万元，政府性基金预算财政拨款收入0万元，其他收入0万元</w:t>
      </w:r>
    </w:p>
    <w:p>
      <w:pPr>
        <w:numPr>
          <w:ilvl w:val="0"/>
          <w:numId w:val="1"/>
        </w:numPr>
        <w:spacing w:line="480" w:lineRule="auto"/>
        <w:ind w:firstLine="602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0"/>
          <w:szCs w:val="30"/>
          <w:highlight w:val="none"/>
          <w:shd w:val="clear" w:fill="FFFFFF"/>
          <w:lang w:val="en-US" w:eastAsia="zh-CN"/>
        </w:rPr>
        <w:t>基本支出情况</w:t>
      </w:r>
    </w:p>
    <w:p>
      <w:pPr>
        <w:spacing w:line="480" w:lineRule="auto"/>
        <w:ind w:firstLine="60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  <w:t>2022年度基本支出年初预算安排为325.19万元（包含保运转的项目支出58.8万元），本年实际支出为374.62万元，主要为人员经费支出和公用经费支出，其中人员经费支出260.57万元、公用经费支出114.05万元。2022年决算基本支出325.19万元，其中：工资及福利支出245.2万元，商品和服务支出108.16万元，对个人和家庭的补助15.37万元，资本性支出5.89万元</w:t>
      </w:r>
    </w:p>
    <w:p>
      <w:pPr>
        <w:spacing w:line="480" w:lineRule="auto"/>
        <w:ind w:firstLine="602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0"/>
          <w:szCs w:val="30"/>
          <w:highlight w:val="none"/>
          <w:shd w:val="clear" w:fill="FFFFFF"/>
          <w:lang w:val="en-US" w:eastAsia="zh-CN"/>
        </w:rPr>
        <w:t>（三）项目支出情况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right="0" w:rightChars="0" w:firstLine="60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  <w:t>2022年决算项目支出0万元，其中：文化旅游体育与传媒支出0万元；城乡社区支出0万元；农林水支出0万元；其他支出0万元。本年项目支出年初预算安排为0万元，本年实际支出为0万元，</w:t>
      </w:r>
    </w:p>
    <w:p>
      <w:pPr>
        <w:spacing w:line="480" w:lineRule="auto"/>
        <w:ind w:firstLine="602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0"/>
          <w:szCs w:val="30"/>
          <w:highlight w:val="none"/>
          <w:shd w:val="clear" w:fill="FFFFFF"/>
          <w:lang w:val="en-US" w:eastAsia="zh-CN"/>
        </w:rPr>
        <w:t>（四）“三公”经费使用和管理情况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  <w:t>2022年，我单位“三公经费”预算金额2.7万元，其中公务接待费2.7万元，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zh-CN" w:eastAsia="zh-CN" w:bidi="ar-SA"/>
        </w:rPr>
        <w:t>公务用车购置及运行维护费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  <w:t>0万元。“三公”经费支出0万元，其中公务接待费0万元，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zh-CN" w:eastAsia="zh-CN" w:bidi="ar-SA"/>
        </w:rPr>
        <w:t>公务用车购置及运行维护费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  <w:t>支出0万元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right="0" w:rightChars="0" w:firstLine="60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0"/>
          <w:szCs w:val="30"/>
          <w:highlight w:val="none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0"/>
          <w:szCs w:val="30"/>
          <w:highlight w:val="none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0"/>
          <w:szCs w:val="30"/>
          <w:highlight w:val="none"/>
          <w:shd w:val="clear" w:fill="FFFFFF"/>
        </w:rPr>
        <w:t>、部门整体支出绩效情况</w:t>
      </w:r>
    </w:p>
    <w:p>
      <w:pPr>
        <w:spacing w:line="480" w:lineRule="auto"/>
        <w:ind w:firstLine="602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0"/>
          <w:szCs w:val="30"/>
          <w:highlight w:val="none"/>
          <w:shd w:val="clear" w:fill="FFFFFF"/>
          <w:lang w:val="en-US" w:eastAsia="zh-CN"/>
        </w:rPr>
        <w:t>（一）主要绩效指标完成情况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0"/>
          <w:szCs w:val="30"/>
          <w:highlight w:val="none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0"/>
          <w:szCs w:val="30"/>
          <w:highlight w:val="none"/>
          <w:shd w:val="clear" w:fill="FFFFFF"/>
        </w:rPr>
        <w:t>1、预算执行情况。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210" w:leftChars="10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  <w:t>⑴2022年财政拨款预算执行数374.62万元，预算安排数325.19万元，预算执行率为115.2%，当年预算调整49.43万元；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210" w:leftChars="10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  <w:t>⑵公用经费预算105.14万元，实际支出114.05万元，公用经费控制率为108.47%；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right="0" w:rightChars="0" w:firstLine="60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shd w:val="clear" w:fill="FFFFFF"/>
          <w:lang w:val="en-US" w:eastAsia="zh-CN" w:bidi="ar-SA"/>
        </w:rPr>
        <w:t>（3）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  <w:t>“三公经费”年初预算安排2.7万元，实际支出0万元，“三公经费”控制率为100%。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210" w:leftChars="100" w:right="0" w:rightChars="0" w:firstLine="300" w:firstLineChars="100"/>
        <w:jc w:val="both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  <w:t>（4）政府采购年初预算58.8万元，实际政府采购金额74.9万元，政府采购执行率127.38%。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0"/>
          <w:szCs w:val="30"/>
          <w:highlight w:val="none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0"/>
          <w:szCs w:val="30"/>
          <w:highlight w:val="none"/>
          <w:shd w:val="clear" w:fill="FFFFFF"/>
        </w:rPr>
        <w:t>2、预决算信息公开情况。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right="0" w:firstLine="900" w:firstLineChars="300"/>
        <w:jc w:val="both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  <w:t>我单位及时在区政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shd w:val="clear" w:fill="FFFFFF"/>
          <w:lang w:val="en-US" w:eastAsia="zh-CN" w:bidi="ar-SA"/>
        </w:rPr>
        <w:t>府统一平台公开了部门预算、决算和绩效目标、绩效自评报告、“三公经费”等信息，接受群众和社会监督。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0"/>
          <w:szCs w:val="30"/>
          <w:shd w:val="clear" w:fill="FFFFFF"/>
        </w:rPr>
        <w:t>资产管理情况。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420" w:leftChars="0" w:right="0" w:rightChars="0" w:firstLine="60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shd w:val="clear" w:fill="FFFFFF"/>
          <w:lang w:val="en-US" w:eastAsia="zh-CN" w:bidi="ar-SA"/>
        </w:rPr>
        <w:t>截止2022年12月31日，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highlight w:val="none"/>
          <w:shd w:val="clear" w:fill="FFFFFF"/>
          <w:lang w:val="en-US" w:eastAsia="zh-CN" w:bidi="ar-SA"/>
        </w:rPr>
        <w:t>拥有各类资产总额43.64万元，其中流动资0.07万元，固定资产43.57万元。单位为加强资产管理，内部制定了资产管理制度，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shd w:val="clear" w:fill="FFFFFF"/>
          <w:lang w:val="en-US" w:eastAsia="zh-CN" w:bidi="ar-SA"/>
        </w:rPr>
        <w:t>对各类资产的购置、保管、使用、报废、处置等方面都作出了明确的规定，制度要求所有办公设备（含办公用品）的添置，经分管财务负责人审核同意后，再由办公室及时采购并建立固定资产实物登记台账，工作人员异动，必须及时办理固定资产移交手续，不得侵占和擅自带走，不得擅自购买任何办公用品和设备，否则不予报销。</w:t>
      </w:r>
    </w:p>
    <w:p>
      <w:pPr>
        <w:spacing w:line="720" w:lineRule="auto"/>
        <w:ind w:firstLine="602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（二）职责覆行和主要绩效情况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准确把握人民政协政治属性，把迎接学习宣传贯彻党的二十大作为贯穿全年的政治任务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1.坚持不懈用习近平新时代中国特色社会主义思想凝心铸魂。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始终做到“读原著、学原文、悟原理”，围绕百年党史学习教育、人民政协史和党的二十大精神等主题，以党组理论学习中心组为引领，推进党组会议、主席会议、常委会会议、机关干部职工会议等集体学习，通过利用“政协云”线上学和集中线下学的方式，广泛组织开展“委员读书”“同心课堂”等学习教育活动，实现了理论学习和业务培训全覆盖。区政协领导到村（社区）和机关单位开展宣讲10场次，开展政协常委会会议专题学习3次，党组理论学习中心组和党组会议专题学习15次，机关专题学习会议7次，举办委员全覆盖教育培训1次，各联组实践学习活动7次，形成党的二十大精神研讨发言材料累计27篇。通过理论学习教育培训和党的二十大精神学习，引导政协委员不断深刻领悟“两个确立”的决定性意义，筑牢增强“四个意识”、坚定“四个自信”、做到“两个维护”的思想根基，“我们靠团结奋斗创造了辉煌历史，还要靠团结奋斗开辟美好未来。”正成为全区广大政协委员的普遍共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2.自始至终把党的领导贯穿政协工作各方面全过程。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认真学习贯彻《中国共产党政治协商工作条例》和《关于加强和改进新时代市县政协工作的意见》，始终把“坚持党的全面领导”作为政治协商工作的首要原则，主席会议、常委会会议开展专题学习研讨，切实抓好贯彻落实。严格执行重大问题请示报告制度，向区委请示汇报重要事项5次，报告重要工作重要活动7次，区委常委会4次听取政协工作汇报。召开党组会议8次，人事、协商监督计划、集中学习培训等重要事项经党组会议研究并报区委批准后实施。认真落实意识形态工作责任制和网络意识形态工作责任制，牢牢守住政协领域意识形态阵地，注重讲好政协故事，累计在湘声网、云邵阳、三区播报等省、市媒体宣传推介10余次，北塔发布、精美北塔等区级媒体宣传推介30余次。认真落实统一战线工作职责，依托政协云、工作联谊群积极走好网上群众路线、做好网络统战工作，把互联网这个最大变量转化为政协广聚界别群众共识的最大增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3.全面推动政协党的建设实现两个全覆盖。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健全政协党组、机关支部、集体活动临时支部的党组织体系，成立区政协机关离退休党支部，将8名退休党员纳入政协党组织教育管理，加强委员工作室党的建设，指派党员委员入驻全区9个政协委员工作室。围绕“学习二十大、建功新时代”主题，开展红色教育、座谈交流、政策宣讲、志愿服务等党建活动14次。建立落实“两个双联系”实现“两个全覆盖”两项联系制度，实现主席会议成员联系常务委员、常务委员联系界别委员，党组成员联系党员委员、党员委员联系党外委员，通过会议联系、履职活动联系、走访联系、线上联系等方式，进一步发挥常务委员引领示范作用和党员委员先锋模范作用，着重在夯实共同思想政治基础、团结引导界别群众、提升履职能力、增强履职实效、涵养协商文化等内容上做到互帮互助，确保全面推动党的组织对党员委员全覆盖、党的工作对政协委员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坚决做到“人民政协为人民”，把凝心聚力服务发展大局作为贯穿全年的首要目标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1.众志成城助力疫情防控。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乘众人之智，则无不任也；用众人之力，则无不胜也。面对疫情大考，全区各级政协组织和广大政协委员用坚定行动书写“人民至上、生命至上”的厚重答卷，顺利且圆满完成了党委、政府交付的各项工作任务，真正做到了“党委有所呼、政协有所应，人民有所需，政协有所为”，充分体现为国履职、为民尽责的情怀和担当。区政协领导以身作则，率先垂范，在防控指挥部、村（社区）一线、隔离酒店等重要点位靠前指挥、一线调度。区政协机关干部职工全员上阵、广大政协委员主动请缨，或白衣执甲、向险而行，或红甲着身、坚守岗位，或捐款捐物、共克时艰，涌现出“逆行”到一线、“连轴转”“白加黑”等感人事迹。全区150名政协委员全部投身助力疫情防控工作，担任隔离点点长和工作人员10名、采样点“大白”志愿者100余名，先后累计开展各类志愿服务600余次，捐赠物资10余万元，服务群众5万余人，帮助辖区企业解决价值60万元农产品运输采购合同一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2.搭建平台助力乡村振兴。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充分发挥联系广泛和资源充沛优势，密切联系群众，对联系的脱贫户实现“应帮尽帮”“能帮必帮”，探索搭建农产品线上销售联络平台，在部分小区挂牌农产品销售点，不断拓宽农产品销售渠道，着重解决农产品滞销、难销的问题，通过“搭建销购平台、双边自主购买”的方式，实现帮销蔬菜60余吨、鸡鸭600余只、生猪30余头。始终树立“民本政协”工作理念，以“五型机关”创建为抓手，选派优秀干部派驻联点村开展乡村振兴工作，扎实做好返贫监测、自建房安全专项整治、通组道路硬化等，先后组织开展“以购代帮”、春风行动、幸福敲门等活动，走访慰问群众260余人次，解决群众反映的民生问题30余件。引导各党派团体开展送医下乡、送教下乡、图书捐赠、社科知识进校园、送法下乡等活动，累计募集乡村建设资金？万元，公益活动资金？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3.聚焦基层治理探索履职新路径。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在营造委员履职宽松环境的基础上，建立委员融入基层治理的区、乡（镇、街道）、村（社区）三级工作网络，对150名政协委员和全区 44 个行政村采取“3+1”的工作模式，试行至少每 3 名政协委员联系 1 个行政村的委员联村机制。</w:t>
      </w:r>
      <w:r>
        <w:rPr>
          <w:rFonts w:hint="eastAsia" w:ascii="宋体" w:hAnsi="宋体" w:eastAsia="宋体" w:cs="宋体"/>
          <w:kern w:val="2"/>
          <w:sz w:val="30"/>
          <w:szCs w:val="30"/>
          <w:lang w:eastAsia="zh-CN"/>
        </w:rPr>
        <w:t>持续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  <w:t>开展“春燕入户”专项行动，以“春燕飞入寻常百姓家”的工作方式，结合“四进四促”走访，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组织政协委员开展坐班接待工作，倾听群众呼声，收集群众反映普遍、反响热烈、迫切需求的难点问题，由委员工作室梳理汇总审核后，集中上报或移送至相关部门，并及时在委员工作室醒目处张贴问题处理情况，形成工作闭环，真正做到“让委员勤履职、群众少跑腿”，切实把“民意账单”转变成“履职清单”，实现凝心聚力、服务民生的工作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充分发挥人民政协职能作用，把加强专门协商机构建设作为贯穿全年的履职主题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1.加大政治协商力度，增强建言资政实效。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年初，区委办、区政府办、区政协办联合制定并印发了《北塔区政协2022年度协商与监督工作计划》，围绕基层治理、湘窖小镇建设、教育事业发展、老旧小区改造等全区重点工作和民生实事热点，组织区政协常委在李子塘村开展专题议政性常委会会议协商1次，制定印发《北塔区政协助力基层社会治理工作实施方案》，为全区政协委员在基层社会治理领域开展政治协商提供有力指导。因地制宜创新协商品牌，组织农业、教育等界别委员在望城坡村、丰江社区等地开展“屋场议事会”民主协商5次，累计参与群众300余人，围绕村规民约、水塘维护、新农村“美丽庭院”建设等关乎百姓群众切身利益的村集体事项，协商解决民生问题6个，充分体现了有事多商量、遇事多商量、做事多商量的特点和优势，为村集体发展科学决策提供最大民主、汇聚最大人心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2.提升民主监督水平，促进转变工作效能。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制定《政协邵阳市北塔区第六届委员会统一委派民主监督小组工作方案》，向区文旅广体局、区交通运输局、区住建局委派3个民主监督小组，共15名政协委员，于5月成功召开民主监督小组工作会议暨启动会议，在7个月的时间里各民主监督小组圆满完成各项工作任务，并向区政协常委会通报了相关情况。开展“稳定全区粮食播种面积和产量”专题民主监督工作，紧盯全区全年粮食播种面积4.31万亩（早稻种植面积0.6万亩）粮食产量1.8万吨等生产目标，组织政协委员和相关部门围绕耕地保护政策、高标准农田建设等开展调查研究，形成做好粮食生产工作的调研材料，切实做到了懂政策、察实情、献良策。创新开展重点提案民主评议民主监督，召开2022年度重点提案民主评议会议，对区公安分局、区交警大队、区教育局、区发改局、区住建局承办的5个重点提案进行民主测评，通过系列举措切实强化民主监督质量，不断促进部门提升工作实效和作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3.发挥参政议政作用，助推全区社会发展。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围绕全区具有全局性、综合性、前瞻性的问题精准发力，紧盯创建全国文明城市、老旧小区改造、教育“双减”政策落实等涉及群众衣食住行、教育、医疗等切身利益的问题，累计开展协商会议4次，提出微建议49条，提交提案、反映社情民意信息和调研报告50余件，其中，《关于建立初高中生享受购买高铁学生票机制》的微建议得到省政协的受理转交，由广铁长沙办事处办理。聚焦经济平稳发展，全面落实干部联企“送政策、解难题、优服务”行动，开展“优化营商环境、服务企业发展”重点调研，组织政协委员先后走访昭阳智造、酷贝拉少儿素质教育、湘窖酒业和馨美科技等重点企业10余家30余次，排解发展难题13个，为全区贯彻落实“经济要稳住”的重要决策部署贡献了政协智慧和力量。</w:t>
      </w:r>
    </w:p>
    <w:p>
      <w:pPr>
        <w:pStyle w:val="5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存在的问题及原因分析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420" w:leftChars="0" w:right="0" w:rightChars="0" w:firstLine="60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shd w:val="clear" w:fill="FFFFFF"/>
          <w:lang w:val="en-US" w:eastAsia="zh-CN" w:bidi="ar-SA"/>
        </w:rPr>
        <w:t>1、预算编制不够明确和细化，预算编制的合理性需要提高，预算执行力度还要进一步加强。资金使用效益有待进一步提高，绩效目标设立不够明确、细化和量化。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420" w:leftChars="0" w:right="0" w:rightChars="0" w:firstLine="60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shd w:val="clear" w:fill="FFFFFF"/>
          <w:lang w:val="en-US" w:eastAsia="zh-CN" w:bidi="ar-SA"/>
        </w:rPr>
        <w:t>2、财务制度方面不够规范，没有建立健全完善的机制体系，对绩效评价认识不足。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420" w:leftChars="0" w:right="0" w:rightChars="0" w:firstLine="60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shd w:val="clear" w:fill="FFFFFF"/>
          <w:lang w:val="en-US" w:eastAsia="zh-CN" w:bidi="ar-SA"/>
        </w:rPr>
        <w:t>3、人员素质有待提高。由于人员变动，单位对相关绩效管理业务不熟练，加上缺乏系统的培训，业务操作水平有限。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五、改进措施及有关建议</w:t>
      </w:r>
    </w:p>
    <w:p>
      <w:pPr>
        <w:pStyle w:val="9"/>
        <w:ind w:firstLine="900" w:firstLineChars="300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shd w:val="clear" w:fill="FFFFFF"/>
          <w:lang w:val="en-US" w:eastAsia="zh-CN" w:bidi="ar-SA"/>
        </w:rPr>
        <w:t>1、细化预算编制工作，认真做好预算的编制。进一步加强内设机构的预算管理意识，严格按照预算编制的相关制度和要求进行预算编制。</w:t>
      </w:r>
    </w:p>
    <w:p>
      <w:pPr>
        <w:pStyle w:val="9"/>
        <w:ind w:firstLine="900" w:firstLineChars="300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30"/>
          <w:szCs w:val="30"/>
          <w:shd w:val="clear" w:fill="FFFFFF"/>
          <w:lang w:val="en-US" w:eastAsia="zh-CN" w:bidi="ar-SA"/>
        </w:rPr>
        <w:t>2、加强财务管理，严格财务审核。加强单位财务管理，健全单位财务管理制度体系，规范单位财务行为。在费用报账支付时，按照预算规定的费用项目和用途进行资金使用审核、财务严格核算，杜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绝超支现象的发生。</w:t>
      </w:r>
    </w:p>
    <w:p>
      <w:pPr>
        <w:pStyle w:val="9"/>
        <w:ind w:firstLine="840" w:firstLineChars="300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3、加强政策学习，提高思想认识。组织相关人员认真学习《会计法》、《预算法》等相关法规、制度，提高业务人员的业务水平及思想认识，为绩效评价工作夯实基础。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E5B908"/>
    <w:multiLevelType w:val="singleLevel"/>
    <w:tmpl w:val="D8E5B908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0CAA2408"/>
    <w:multiLevelType w:val="singleLevel"/>
    <w:tmpl w:val="0CAA240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2ACC286"/>
    <w:multiLevelType w:val="singleLevel"/>
    <w:tmpl w:val="52ACC28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1NGViNGJmZmRmMzA4YTdmYTU5Y2U4YWFlMWQ1YzgifQ=="/>
  </w:docVars>
  <w:rsids>
    <w:rsidRoot w:val="00000000"/>
    <w:rsid w:val="00554C33"/>
    <w:rsid w:val="00D51644"/>
    <w:rsid w:val="025D08EA"/>
    <w:rsid w:val="02A74CAA"/>
    <w:rsid w:val="05213482"/>
    <w:rsid w:val="08C30309"/>
    <w:rsid w:val="09E17252"/>
    <w:rsid w:val="0AC74E07"/>
    <w:rsid w:val="0D5E3707"/>
    <w:rsid w:val="0F1F0340"/>
    <w:rsid w:val="11E84674"/>
    <w:rsid w:val="126C42B4"/>
    <w:rsid w:val="17042185"/>
    <w:rsid w:val="1F010C8F"/>
    <w:rsid w:val="20F63895"/>
    <w:rsid w:val="2575216F"/>
    <w:rsid w:val="26166273"/>
    <w:rsid w:val="2B032004"/>
    <w:rsid w:val="2C7529D1"/>
    <w:rsid w:val="2D6C05C8"/>
    <w:rsid w:val="3619015E"/>
    <w:rsid w:val="36E22B02"/>
    <w:rsid w:val="37A26170"/>
    <w:rsid w:val="3B9303B2"/>
    <w:rsid w:val="3C8416D7"/>
    <w:rsid w:val="3EE66A72"/>
    <w:rsid w:val="3FAB09ED"/>
    <w:rsid w:val="41635215"/>
    <w:rsid w:val="4343688D"/>
    <w:rsid w:val="44AF5D78"/>
    <w:rsid w:val="45833892"/>
    <w:rsid w:val="45CB4E15"/>
    <w:rsid w:val="4ACA7AAB"/>
    <w:rsid w:val="4B991F60"/>
    <w:rsid w:val="4D113C42"/>
    <w:rsid w:val="4E58558A"/>
    <w:rsid w:val="4F3501F1"/>
    <w:rsid w:val="52C04276"/>
    <w:rsid w:val="53202F66"/>
    <w:rsid w:val="55C776C9"/>
    <w:rsid w:val="575435C3"/>
    <w:rsid w:val="58CA4CA4"/>
    <w:rsid w:val="59A70B1E"/>
    <w:rsid w:val="59E60318"/>
    <w:rsid w:val="5CBC5F90"/>
    <w:rsid w:val="5E6D1153"/>
    <w:rsid w:val="5F83500A"/>
    <w:rsid w:val="60745B56"/>
    <w:rsid w:val="641F097E"/>
    <w:rsid w:val="65236940"/>
    <w:rsid w:val="664A41B0"/>
    <w:rsid w:val="66D16D4F"/>
    <w:rsid w:val="66FE6113"/>
    <w:rsid w:val="6B874FA2"/>
    <w:rsid w:val="6FD52562"/>
    <w:rsid w:val="70514092"/>
    <w:rsid w:val="70852420"/>
    <w:rsid w:val="73125FD0"/>
    <w:rsid w:val="76DC35F5"/>
    <w:rsid w:val="7832658D"/>
    <w:rsid w:val="79074D5F"/>
    <w:rsid w:val="7AF745AA"/>
    <w:rsid w:val="7B7D06A6"/>
    <w:rsid w:val="7DAF7C17"/>
    <w:rsid w:val="7E09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/>
      <w:szCs w:val="24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4"/>
    <w:unhideWhenUsed/>
    <w:qFormat/>
    <w:uiPriority w:val="99"/>
    <w:pPr>
      <w:spacing w:after="0" w:line="660" w:lineRule="exact"/>
      <w:ind w:left="0" w:leftChars="0" w:firstLine="420" w:firstLineChars="200"/>
    </w:pPr>
    <w:rPr>
      <w:rFonts w:ascii="仿宋_GB2312" w:eastAsia="仿宋_GB2312"/>
      <w:snapToGrid w:val="0"/>
      <w:sz w:val="32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customStyle="1" w:styleId="11">
    <w:name w:val="18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等线" w:hAnsi="等线" w:eastAsia="等线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2976</Words>
  <Characters>3208</Characters>
  <Lines>0</Lines>
  <Paragraphs>0</Paragraphs>
  <TotalTime>7</TotalTime>
  <ScaleCrop>false</ScaleCrop>
  <LinksUpToDate>false</LinksUpToDate>
  <CharactersWithSpaces>3213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2022-06-28T09:10:00Z</dcterms:created>
  <dc:creator>Administrator</dc:creator>
  <cp:lastModifiedBy>筠</cp:lastModifiedBy>
  <cp:lastPrinted>2023-09-26T05:38:35Z</cp:lastPrinted>
  <dcterms:modified xsi:type="dcterms:W3CDTF">2023-09-26T05:42:42Z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940B8059199B4A289414AF523A65E0B0_13</vt:lpwstr>
  </property>
</Properties>
</file>