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第五部分</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附件</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color="040000" w:fill="FFFFFF"/>
        </w:rPr>
        <w:t> </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83" w:firstLineChars="200"/>
        <w:jc w:val="both"/>
        <w:rPr>
          <w:rFonts w:hint="eastAsia" w:ascii="宋体" w:hAnsi="宋体" w:eastAsia="宋体" w:cs="宋体"/>
          <w:sz w:val="44"/>
          <w:szCs w:val="44"/>
          <w:lang w:eastAsia="zh-CN"/>
        </w:rPr>
      </w:pPr>
      <w:r>
        <w:rPr>
          <w:rFonts w:hint="eastAsia" w:ascii="宋体" w:hAnsi="宋体" w:eastAsia="宋体" w:cs="宋体"/>
          <w:b/>
          <w:bCs/>
          <w:color w:val="444444"/>
          <w:sz w:val="44"/>
          <w:szCs w:val="44"/>
          <w:shd w:val="clear" w:color="060000" w:fill="FFFFFF"/>
        </w:rPr>
        <w:t>2021年度部门整体支出绩效评价报告</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color="050000" w:fill="FFFFFF"/>
          <w:lang w:eastAsia="zh-CN"/>
        </w:rPr>
      </w:pPr>
      <w:r>
        <w:rPr>
          <w:rFonts w:hint="eastAsia" w:ascii="宋体" w:hAnsi="宋体" w:eastAsia="宋体" w:cs="宋体"/>
          <w:color w:val="444444"/>
          <w:kern w:val="0"/>
          <w:sz w:val="28"/>
          <w:szCs w:val="28"/>
          <w:shd w:val="clear" w:color="050000" w:fill="FFFFFF"/>
        </w:rPr>
        <w:t>根据《湖南省人民政府关于全面推进预算绩效管理的意见》（湘政发[2012]33号文件精神，为加强财政资金管理，切实提高资金使用效益，进一步提高财政预算资金科学化精细化管理水平，我单位积极开展了2021年度部门整体支出绩效自评工作，现将有关情况报告如下：</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一、部门概况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（一）基本情况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（1）主要职能</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1.负责区政协全委会议、常委会议、主席会议、专门委员会会议的组织工作和文件、文稿的起草工作。</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2.组织实施区政协全委会议、常委会议、主席会议的决议、决定。</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3.负责区政协委员视察调查、参观考察、座谈研讨、咨询服务等活动的联络和服务工作。</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4.组织政协委员开展学习活动，调动政协委员参政议政积极性，围绕全区工作大</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建言立论、献计献策，做好各民主党派、工商联、各人民团体和社会各界知名人士联络工作， 为完成区委、区政府中心工作服务。</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5.研究统一战线和人民政协工作的理论、政策，提出区政协工作好的办法，供领导参阅。</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6.负责人民政协工作的宣传，处理群众来信、接待群众来访；收集反映社情民意和各界人士的意见、建议。</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7.负责与区有关部门的联系，互通情况，做好配合、协调工作。</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8.负责机关自身的思想、作风、组织和制度建设，做好 安全保密和后勤保障工作。</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9.负责机关的党建、干部人事管理和离退休老同志服务 的相关工作。</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10.承办区政协领导交办的其他事项。</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（2）机构情况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纳入202</w:t>
      </w:r>
      <w:r>
        <w:rPr>
          <w:rFonts w:hint="eastAsia" w:ascii="宋体" w:hAnsi="宋体" w:eastAsia="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年部门</w:t>
      </w:r>
      <w:r>
        <w:rPr>
          <w:rFonts w:hint="eastAsia" w:ascii="宋体" w:hAnsi="宋体" w:eastAsia="宋体" w:cs="宋体"/>
          <w:color w:val="444444"/>
          <w:kern w:val="0"/>
          <w:sz w:val="28"/>
          <w:szCs w:val="28"/>
          <w:shd w:val="clear" w:color="050000" w:fill="FFFFFF"/>
          <w:lang w:val="en-US" w:eastAsia="zh-CN"/>
        </w:rPr>
        <w:t>决算</w:t>
      </w:r>
      <w:r>
        <w:rPr>
          <w:rFonts w:hint="eastAsia" w:ascii="宋体" w:hAnsi="宋体" w:eastAsia="宋体" w:cs="宋体"/>
          <w:color w:val="444444"/>
          <w:kern w:val="0"/>
          <w:sz w:val="28"/>
          <w:szCs w:val="28"/>
          <w:shd w:val="clear" w:color="050000" w:fill="FFFFFF"/>
        </w:rPr>
        <w:t>编报的单位1个，包含北塔区政协和平台服务站，北塔区政协包括办公室、经济科技和外事委员会、文教文体和文史委员会、农业农村和人口资源委员会、提案和委员学习联络委员会。</w:t>
      </w:r>
    </w:p>
    <w:p>
      <w:pPr>
        <w:pStyle w:val="6"/>
        <w:widowControl/>
        <w:numPr>
          <w:ilvl w:val="0"/>
          <w:numId w:val="1"/>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人员情况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北塔区政协行政编制人数11人，事业单位1人、后勤服务1人。实有人数28人，其中在职17人，离退休11人</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bookmarkStart w:id="1" w:name="_GoBack"/>
      <w:bookmarkEnd w:id="1"/>
      <w:r>
        <w:rPr>
          <w:rFonts w:hint="eastAsia" w:ascii="宋体" w:hAnsi="宋体" w:eastAsia="宋体" w:cs="宋体"/>
          <w:color w:val="444444"/>
          <w:kern w:val="0"/>
          <w:sz w:val="28"/>
          <w:szCs w:val="28"/>
          <w:shd w:val="clear" w:color="050000" w:fill="FFFFFF"/>
        </w:rPr>
        <w:t>二、部门整体支出管理及使用情况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（一）基本支出</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基本支出系保障我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基本支出</w:t>
      </w:r>
      <w:r>
        <w:rPr>
          <w:rFonts w:hint="eastAsia" w:ascii="宋体" w:hAnsi="宋体" w:cs="宋体"/>
          <w:color w:val="444444"/>
          <w:kern w:val="0"/>
          <w:sz w:val="28"/>
          <w:szCs w:val="28"/>
          <w:shd w:val="clear" w:color="050000" w:fill="FFFFFF"/>
          <w:lang w:val="en-US" w:eastAsia="zh-CN"/>
        </w:rPr>
        <w:t>382.39</w:t>
      </w:r>
      <w:r>
        <w:rPr>
          <w:rFonts w:hint="eastAsia" w:ascii="宋体" w:hAnsi="宋体" w:eastAsia="宋体" w:cs="宋体"/>
          <w:color w:val="444444"/>
          <w:kern w:val="0"/>
          <w:sz w:val="28"/>
          <w:szCs w:val="28"/>
          <w:shd w:val="clear" w:color="050000" w:fill="FFFFFF"/>
        </w:rPr>
        <w:t>万元，比上年同口径增加</w:t>
      </w:r>
      <w:r>
        <w:rPr>
          <w:rFonts w:hint="eastAsia" w:ascii="宋体" w:hAnsi="宋体" w:cs="宋体"/>
          <w:color w:val="444444"/>
          <w:kern w:val="0"/>
          <w:sz w:val="28"/>
          <w:szCs w:val="28"/>
          <w:shd w:val="clear" w:color="050000" w:fill="FFFFFF"/>
          <w:lang w:val="en-US" w:eastAsia="zh-CN"/>
        </w:rPr>
        <w:t>89.04</w:t>
      </w:r>
      <w:r>
        <w:rPr>
          <w:rFonts w:hint="eastAsia" w:ascii="宋体" w:hAnsi="宋体" w:eastAsia="宋体" w:cs="宋体"/>
          <w:color w:val="444444"/>
          <w:kern w:val="0"/>
          <w:sz w:val="28"/>
          <w:szCs w:val="28"/>
          <w:shd w:val="clear" w:color="050000" w:fill="FFFFFF"/>
        </w:rPr>
        <w:t>万元，增长</w:t>
      </w:r>
      <w:r>
        <w:rPr>
          <w:rFonts w:hint="eastAsia" w:ascii="宋体" w:hAnsi="宋体" w:cs="宋体"/>
          <w:color w:val="444444"/>
          <w:kern w:val="0"/>
          <w:sz w:val="28"/>
          <w:szCs w:val="28"/>
          <w:shd w:val="clear" w:color="050000" w:fill="FFFFFF"/>
          <w:lang w:val="en-US" w:eastAsia="zh-CN"/>
        </w:rPr>
        <w:t>30.35</w:t>
      </w:r>
      <w:r>
        <w:rPr>
          <w:rFonts w:hint="eastAsia" w:ascii="宋体" w:hAnsi="宋体" w:eastAsia="宋体" w:cs="宋体"/>
          <w:color w:val="444444"/>
          <w:kern w:val="0"/>
          <w:sz w:val="28"/>
          <w:szCs w:val="28"/>
          <w:shd w:val="clear" w:color="050000" w:fill="FFFFFF"/>
        </w:rPr>
        <w:t>%。其中：工资福利支出</w:t>
      </w:r>
      <w:r>
        <w:rPr>
          <w:rFonts w:hint="eastAsia" w:ascii="宋体" w:hAnsi="宋体" w:cs="宋体"/>
          <w:color w:val="444444"/>
          <w:kern w:val="0"/>
          <w:sz w:val="28"/>
          <w:szCs w:val="28"/>
          <w:shd w:val="clear" w:color="050000" w:fill="FFFFFF"/>
          <w:lang w:val="en-US" w:eastAsia="zh-CN"/>
        </w:rPr>
        <w:t>253.37</w:t>
      </w:r>
      <w:r>
        <w:rPr>
          <w:rFonts w:hint="eastAsia" w:ascii="宋体" w:hAnsi="宋体" w:eastAsia="宋体" w:cs="宋体"/>
          <w:color w:val="444444"/>
          <w:kern w:val="0"/>
          <w:sz w:val="28"/>
          <w:szCs w:val="28"/>
          <w:shd w:val="clear" w:color="050000" w:fill="FFFFFF"/>
        </w:rPr>
        <w:t>万元，商品和服务支出</w:t>
      </w:r>
      <w:r>
        <w:rPr>
          <w:rFonts w:hint="eastAsia" w:ascii="宋体" w:hAnsi="宋体" w:cs="宋体"/>
          <w:color w:val="444444"/>
          <w:kern w:val="0"/>
          <w:sz w:val="28"/>
          <w:szCs w:val="28"/>
          <w:shd w:val="clear" w:color="050000" w:fill="FFFFFF"/>
          <w:lang w:val="en-US" w:eastAsia="zh-CN"/>
        </w:rPr>
        <w:t>116.69</w:t>
      </w:r>
      <w:r>
        <w:rPr>
          <w:rFonts w:hint="eastAsia" w:ascii="宋体" w:hAnsi="宋体" w:eastAsia="宋体" w:cs="宋体"/>
          <w:color w:val="444444"/>
          <w:kern w:val="0"/>
          <w:sz w:val="28"/>
          <w:szCs w:val="28"/>
          <w:shd w:val="clear" w:color="050000" w:fill="FFFFFF"/>
        </w:rPr>
        <w:t>万元，对个人和家庭的补助</w:t>
      </w:r>
      <w:r>
        <w:rPr>
          <w:rFonts w:hint="eastAsia" w:ascii="宋体" w:hAnsi="宋体" w:cs="宋体"/>
          <w:color w:val="444444"/>
          <w:kern w:val="0"/>
          <w:sz w:val="28"/>
          <w:szCs w:val="28"/>
          <w:shd w:val="clear" w:color="050000" w:fill="FFFFFF"/>
          <w:lang w:val="en-US" w:eastAsia="zh-CN"/>
        </w:rPr>
        <w:t>8.12</w:t>
      </w:r>
      <w:r>
        <w:rPr>
          <w:rFonts w:hint="eastAsia" w:ascii="宋体" w:hAnsi="宋体" w:eastAsia="宋体" w:cs="宋体"/>
          <w:color w:val="444444"/>
          <w:kern w:val="0"/>
          <w:sz w:val="28"/>
          <w:szCs w:val="28"/>
          <w:shd w:val="clear" w:color="050000" w:fill="FFFFFF"/>
        </w:rPr>
        <w:t>万元，资本性支出</w:t>
      </w:r>
      <w:r>
        <w:rPr>
          <w:rFonts w:hint="eastAsia" w:ascii="宋体" w:hAnsi="宋体" w:cs="宋体"/>
          <w:color w:val="444444"/>
          <w:kern w:val="0"/>
          <w:sz w:val="28"/>
          <w:szCs w:val="28"/>
          <w:shd w:val="clear" w:color="050000" w:fill="FFFFFF"/>
          <w:lang w:val="en-US" w:eastAsia="zh-CN"/>
        </w:rPr>
        <w:t>4.21</w:t>
      </w:r>
      <w:r>
        <w:rPr>
          <w:rFonts w:hint="eastAsia" w:ascii="宋体" w:hAnsi="宋体" w:eastAsia="宋体" w:cs="宋体"/>
          <w:color w:val="444444"/>
          <w:kern w:val="0"/>
          <w:sz w:val="28"/>
          <w:szCs w:val="28"/>
          <w:shd w:val="clear" w:color="050000" w:fill="FFFFFF"/>
        </w:rPr>
        <w:t>万元。</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default" w:ascii="宋体" w:hAnsi="宋体" w:eastAsia="宋体" w:cs="宋体"/>
          <w:sz w:val="28"/>
          <w:szCs w:val="28"/>
          <w:lang w:val="en-US"/>
        </w:rPr>
      </w:pPr>
      <w:r>
        <w:rPr>
          <w:rFonts w:hint="eastAsia" w:ascii="宋体" w:hAnsi="宋体" w:eastAsia="宋体" w:cs="宋体"/>
          <w:color w:val="444444"/>
          <w:kern w:val="0"/>
          <w:sz w:val="28"/>
          <w:szCs w:val="28"/>
          <w:shd w:val="clear" w:color="050000" w:fill="FFFFFF"/>
        </w:rPr>
        <w:t>2021年“三公”经费实际开支总额</w:t>
      </w:r>
      <w:r>
        <w:rPr>
          <w:rFonts w:hint="eastAsia" w:ascii="宋体" w:hAnsi="宋体" w:cs="宋体"/>
          <w:color w:val="444444"/>
          <w:kern w:val="0"/>
          <w:sz w:val="28"/>
          <w:szCs w:val="28"/>
          <w:shd w:val="clear" w:color="050000" w:fill="FFFFFF"/>
          <w:lang w:val="en-US" w:eastAsia="zh-CN"/>
        </w:rPr>
        <w:t>0.07</w:t>
      </w:r>
      <w:r>
        <w:rPr>
          <w:rFonts w:hint="eastAsia" w:ascii="宋体" w:hAnsi="宋体" w:eastAsia="宋体" w:cs="宋体"/>
          <w:color w:val="444444"/>
          <w:kern w:val="0"/>
          <w:sz w:val="28"/>
          <w:szCs w:val="28"/>
          <w:shd w:val="clear" w:color="050000" w:fill="FFFFFF"/>
        </w:rPr>
        <w:t>万元。其中：因公出国（境）费支出本年未发生。公务用车购置及运行维护费</w:t>
      </w:r>
      <w:r>
        <w:rPr>
          <w:rFonts w:hint="eastAsia" w:ascii="宋体" w:hAnsi="宋体" w:cs="宋体"/>
          <w:color w:val="444444"/>
          <w:kern w:val="0"/>
          <w:sz w:val="28"/>
          <w:szCs w:val="28"/>
          <w:shd w:val="clear" w:color="050000" w:fill="FFFFFF"/>
          <w:lang w:val="en-US" w:eastAsia="zh-CN"/>
        </w:rPr>
        <w:t>本年未发生</w:t>
      </w:r>
      <w:r>
        <w:rPr>
          <w:rFonts w:hint="eastAsia" w:ascii="宋体" w:hAnsi="宋体" w:eastAsia="宋体" w:cs="宋体"/>
          <w:color w:val="444444"/>
          <w:kern w:val="0"/>
          <w:sz w:val="28"/>
          <w:szCs w:val="28"/>
          <w:shd w:val="clear" w:color="050000" w:fill="FFFFFF"/>
        </w:rPr>
        <w:t>（公务用车购置费未发生，公务用车运行维护费未发生），公务用车保有量</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辆；公务接待费实际开支</w:t>
      </w:r>
      <w:r>
        <w:rPr>
          <w:rFonts w:hint="eastAsia" w:ascii="宋体" w:hAnsi="宋体" w:cs="宋体"/>
          <w:color w:val="444444"/>
          <w:kern w:val="0"/>
          <w:sz w:val="28"/>
          <w:szCs w:val="28"/>
          <w:shd w:val="clear" w:color="050000" w:fill="FFFFFF"/>
          <w:lang w:val="en-US" w:eastAsia="zh-CN"/>
        </w:rPr>
        <w:t>0.07</w:t>
      </w:r>
      <w:r>
        <w:rPr>
          <w:rFonts w:hint="eastAsia" w:ascii="宋体" w:hAnsi="宋体" w:eastAsia="宋体" w:cs="宋体"/>
          <w:color w:val="444444"/>
          <w:kern w:val="0"/>
          <w:sz w:val="28"/>
          <w:szCs w:val="28"/>
          <w:shd w:val="clear" w:color="050000" w:fill="FFFFFF"/>
        </w:rPr>
        <w:t>万元，公务接待</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批次</w:t>
      </w:r>
      <w:r>
        <w:rPr>
          <w:rFonts w:hint="eastAsia" w:ascii="宋体" w:hAnsi="宋体" w:cs="宋体"/>
          <w:color w:val="444444"/>
          <w:kern w:val="0"/>
          <w:sz w:val="28"/>
          <w:szCs w:val="28"/>
          <w:shd w:val="clear" w:color="050000" w:fill="FFFFFF"/>
          <w:lang w:val="en-US" w:eastAsia="zh-CN"/>
        </w:rPr>
        <w:t>5</w:t>
      </w:r>
      <w:r>
        <w:rPr>
          <w:rFonts w:hint="eastAsia" w:ascii="宋体" w:hAnsi="宋体" w:eastAsia="宋体" w:cs="宋体"/>
          <w:color w:val="444444"/>
          <w:kern w:val="0"/>
          <w:sz w:val="28"/>
          <w:szCs w:val="28"/>
          <w:shd w:val="clear" w:color="050000" w:fill="FFFFFF"/>
        </w:rPr>
        <w:t>人次。2021年“三公”经费实际开支总额比2020年同口径</w:t>
      </w:r>
      <w:r>
        <w:rPr>
          <w:rFonts w:hint="eastAsia" w:ascii="宋体" w:hAnsi="宋体" w:cs="宋体"/>
          <w:color w:val="444444"/>
          <w:kern w:val="0"/>
          <w:sz w:val="28"/>
          <w:szCs w:val="28"/>
          <w:shd w:val="clear" w:color="050000" w:fill="FFFFFF"/>
          <w:lang w:val="en-US" w:eastAsia="zh-CN"/>
        </w:rPr>
        <w:t>增加0.07</w:t>
      </w:r>
      <w:r>
        <w:rPr>
          <w:rFonts w:hint="eastAsia" w:ascii="宋体" w:hAnsi="宋体" w:eastAsia="宋体" w:cs="宋体"/>
          <w:color w:val="444444"/>
          <w:kern w:val="0"/>
          <w:sz w:val="28"/>
          <w:szCs w:val="28"/>
          <w:shd w:val="clear" w:color="050000" w:fill="FFFFFF"/>
        </w:rPr>
        <w:t>万元，因为</w:t>
      </w: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单位2020年度没有发生公务接待费，而2021年度省政协《湘声报》宣传发行调研招待费0.07万元</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（二）专项支出</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项目支出为完成</w:t>
      </w:r>
      <w:r>
        <w:rPr>
          <w:rFonts w:hint="eastAsia" w:ascii="宋体" w:hAnsi="宋体" w:cs="宋体"/>
          <w:color w:val="444444"/>
          <w:kern w:val="0"/>
          <w:sz w:val="28"/>
          <w:szCs w:val="28"/>
          <w:shd w:val="clear" w:color="050000" w:fill="FFFFFF"/>
          <w:lang w:val="en-US" w:eastAsia="zh-CN"/>
        </w:rPr>
        <w:t>本单位</w:t>
      </w:r>
      <w:r>
        <w:rPr>
          <w:rFonts w:hint="eastAsia" w:ascii="宋体" w:hAnsi="宋体" w:eastAsia="宋体" w:cs="宋体"/>
          <w:color w:val="444444"/>
          <w:kern w:val="0"/>
          <w:sz w:val="28"/>
          <w:szCs w:val="28"/>
          <w:shd w:val="clear" w:color="050000" w:fill="FFFFFF"/>
        </w:rPr>
        <w:t>相关专项工作而发生的支出。2021年预算安排</w:t>
      </w:r>
      <w:r>
        <w:rPr>
          <w:rFonts w:hint="eastAsia" w:ascii="宋体" w:hAnsi="宋体" w:cs="宋体"/>
          <w:color w:val="444444"/>
          <w:kern w:val="0"/>
          <w:sz w:val="28"/>
          <w:szCs w:val="28"/>
          <w:shd w:val="clear" w:color="050000" w:fill="FFFFFF"/>
          <w:lang w:val="en-US" w:eastAsia="zh-CN"/>
        </w:rPr>
        <w:t>保运转</w:t>
      </w:r>
      <w:r>
        <w:rPr>
          <w:rFonts w:hint="eastAsia" w:ascii="宋体" w:hAnsi="宋体" w:eastAsia="宋体" w:cs="宋体"/>
          <w:color w:val="444444"/>
          <w:kern w:val="0"/>
          <w:sz w:val="28"/>
          <w:szCs w:val="28"/>
          <w:shd w:val="clear" w:color="050000" w:fill="FFFFFF"/>
        </w:rPr>
        <w:t>项目经费</w:t>
      </w:r>
      <w:r>
        <w:rPr>
          <w:rFonts w:hint="eastAsia" w:ascii="宋体" w:hAnsi="宋体" w:cs="宋体"/>
          <w:color w:val="444444"/>
          <w:kern w:val="0"/>
          <w:sz w:val="28"/>
          <w:szCs w:val="28"/>
          <w:shd w:val="clear" w:color="050000" w:fill="FFFFFF"/>
          <w:lang w:val="en-US" w:eastAsia="zh-CN"/>
        </w:rPr>
        <w:t>58.8</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委员视察经费9.6万元，政协会议经费38.8万元，政协经费10.4万元）</w:t>
      </w: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我单位</w:t>
      </w:r>
      <w:r>
        <w:rPr>
          <w:rFonts w:hint="eastAsia" w:ascii="宋体" w:hAnsi="宋体" w:eastAsia="宋体" w:cs="宋体"/>
          <w:color w:val="444444"/>
          <w:kern w:val="0"/>
          <w:sz w:val="28"/>
          <w:szCs w:val="28"/>
          <w:shd w:val="clear" w:color="050000" w:fill="FFFFFF"/>
        </w:rPr>
        <w:t>项目支出0万元（其中：商品和服务支出0万元，资本性支出0万元），比上年同口径增加0万，提高0%。主要原因是</w:t>
      </w:r>
      <w:r>
        <w:rPr>
          <w:rFonts w:hint="eastAsia" w:ascii="宋体" w:hAnsi="宋体" w:cs="宋体"/>
          <w:color w:val="444444"/>
          <w:kern w:val="0"/>
          <w:sz w:val="28"/>
          <w:szCs w:val="28"/>
          <w:shd w:val="clear" w:color="050000" w:fill="FFFFFF"/>
          <w:lang w:val="en-US" w:eastAsia="zh-CN"/>
        </w:rPr>
        <w:t>保运转的</w:t>
      </w:r>
      <w:r>
        <w:rPr>
          <w:rFonts w:hint="eastAsia" w:ascii="宋体" w:hAnsi="宋体" w:eastAsia="宋体" w:cs="宋体"/>
          <w:color w:val="444444"/>
          <w:kern w:val="0"/>
          <w:sz w:val="28"/>
          <w:szCs w:val="28"/>
          <w:shd w:val="clear" w:color="050000" w:fill="FFFFFF"/>
        </w:rPr>
        <w:t>项目支出包含在我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rPr>
        <w:t>基本支出当中。</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三、资产管理情况</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lang w:val="en-US" w:eastAsia="zh-CN"/>
        </w:rPr>
      </w:pP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资产管理由办公室负责，资产采购按程序实行报批采购，统一在政采云平台下单，采购后登记入账，录入资产信息系统，再派发到相关科室。一是我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资产管理和使用坚持统一政策、统一领导、分级管理、责任到人、物尽其用的原则。二是运用资产信息管理系统加强资产管理</w:t>
      </w:r>
      <w:r>
        <w:rPr>
          <w:rFonts w:hint="eastAsia" w:ascii="宋体" w:hAnsi="宋体" w:cs="宋体"/>
          <w:color w:val="444444"/>
          <w:kern w:val="0"/>
          <w:sz w:val="28"/>
          <w:szCs w:val="28"/>
          <w:shd w:val="clear" w:color="050000" w:fill="FFFFFF"/>
          <w:lang w:val="en-US" w:eastAsia="zh-CN"/>
        </w:rPr>
        <w:t>，</w:t>
      </w:r>
      <w:r>
        <w:rPr>
          <w:rFonts w:hint="eastAsia" w:ascii="宋体" w:hAnsi="宋体" w:eastAsia="宋体" w:cs="宋体"/>
          <w:color w:val="444444"/>
          <w:kern w:val="0"/>
          <w:sz w:val="28"/>
          <w:szCs w:val="28"/>
          <w:shd w:val="clear" w:color="050000" w:fill="FFFFFF"/>
          <w:lang w:val="en-US" w:eastAsia="zh-CN"/>
        </w:rPr>
        <w:t>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截至2021年12月31日，</w:t>
      </w:r>
      <w:r>
        <w:rPr>
          <w:rFonts w:hint="eastAsia" w:ascii="宋体" w:hAnsi="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资产总额为</w:t>
      </w:r>
      <w:r>
        <w:rPr>
          <w:rFonts w:hint="eastAsia" w:ascii="宋体" w:hAnsi="宋体" w:cs="宋体"/>
          <w:color w:val="444444"/>
          <w:kern w:val="0"/>
          <w:sz w:val="28"/>
          <w:szCs w:val="28"/>
          <w:shd w:val="clear" w:color="050000" w:fill="FFFFFF"/>
          <w:lang w:val="en-US" w:eastAsia="zh-CN"/>
        </w:rPr>
        <w:t>43.04</w:t>
      </w:r>
      <w:r>
        <w:rPr>
          <w:rFonts w:hint="eastAsia" w:ascii="宋体" w:hAnsi="宋体" w:eastAsia="宋体" w:cs="宋体"/>
          <w:color w:val="444444"/>
          <w:kern w:val="0"/>
          <w:sz w:val="28"/>
          <w:szCs w:val="28"/>
          <w:shd w:val="clear" w:color="050000" w:fill="FFFFFF"/>
        </w:rPr>
        <w:t>万元，主要由以下部分构成：流动资产</w:t>
      </w:r>
      <w:r>
        <w:rPr>
          <w:rFonts w:hint="eastAsia" w:ascii="宋体" w:hAnsi="宋体" w:cs="宋体"/>
          <w:color w:val="444444"/>
          <w:kern w:val="0"/>
          <w:sz w:val="28"/>
          <w:szCs w:val="28"/>
          <w:shd w:val="clear" w:color="050000" w:fill="FFFFFF"/>
          <w:lang w:val="en-US" w:eastAsia="zh-CN"/>
        </w:rPr>
        <w:t>0.07</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0.16</w:t>
      </w:r>
      <w:r>
        <w:rPr>
          <w:rFonts w:hint="eastAsia" w:ascii="宋体" w:hAnsi="宋体" w:eastAsia="宋体" w:cs="宋体"/>
          <w:color w:val="444444"/>
          <w:kern w:val="0"/>
          <w:sz w:val="28"/>
          <w:szCs w:val="28"/>
          <w:shd w:val="clear" w:color="050000" w:fill="FFFFFF"/>
        </w:rPr>
        <w:t>%,主要</w:t>
      </w:r>
      <w:r>
        <w:rPr>
          <w:rFonts w:hint="eastAsia" w:ascii="宋体" w:hAnsi="宋体" w:cs="宋体"/>
          <w:color w:val="444444"/>
          <w:kern w:val="0"/>
          <w:sz w:val="28"/>
          <w:szCs w:val="28"/>
          <w:shd w:val="clear" w:color="050000" w:fill="FFFFFF"/>
          <w:lang w:eastAsia="zh-CN"/>
        </w:rPr>
        <w:t>为</w:t>
      </w:r>
      <w:r>
        <w:rPr>
          <w:rFonts w:hint="eastAsia" w:ascii="宋体" w:hAnsi="宋体" w:eastAsia="宋体" w:cs="宋体"/>
          <w:color w:val="444444"/>
          <w:kern w:val="0"/>
          <w:sz w:val="28"/>
          <w:szCs w:val="28"/>
          <w:shd w:val="clear" w:color="050000" w:fill="FFFFFF"/>
        </w:rPr>
        <w:t>其他应收款等;固定资产</w:t>
      </w:r>
      <w:r>
        <w:rPr>
          <w:rFonts w:hint="eastAsia" w:ascii="宋体" w:hAnsi="宋体" w:cs="宋体"/>
          <w:color w:val="444444"/>
          <w:kern w:val="0"/>
          <w:sz w:val="28"/>
          <w:szCs w:val="28"/>
          <w:shd w:val="clear" w:color="050000" w:fill="FFFFFF"/>
          <w:lang w:val="en-US" w:eastAsia="zh-CN"/>
        </w:rPr>
        <w:t>42.97</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99.84</w:t>
      </w:r>
      <w:r>
        <w:rPr>
          <w:rFonts w:hint="eastAsia" w:ascii="宋体" w:hAnsi="宋体" w:eastAsia="宋体" w:cs="宋体"/>
          <w:color w:val="444444"/>
          <w:kern w:val="0"/>
          <w:sz w:val="28"/>
          <w:szCs w:val="28"/>
          <w:shd w:val="clear" w:color="050000" w:fill="FFFFFF"/>
        </w:rPr>
        <w:t>%，主要包括办公设备等。 </w:t>
      </w:r>
    </w:p>
    <w:p>
      <w:pPr>
        <w:pStyle w:val="6"/>
        <w:widowControl/>
        <w:numPr>
          <w:ilvl w:val="0"/>
          <w:numId w:val="2"/>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部门整体支出绩效情况</w:t>
      </w:r>
    </w:p>
    <w:p>
      <w:pPr>
        <w:pStyle w:val="6"/>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firstLine="280" w:firstLineChars="1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2021年，区政协党组坚持以习近平新时代中国特色社会主义思想为引领，在中共北塔区委的坚强领导下，在区人大、区政府的大力支持下，围绕全面建设“现代化精美新北塔”、实施“十四五”开局、乡村振兴、常态化疫情防控等重点，始终将履职活动置于全区中心工作大局进行谋划和推进，充分发挥专门协商机构作用，坚持发扬民主和增进团结相互贯通、建言资政和凝聚共识双向发力，为推动北塔经济社会发展作出了积极的贡献。</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学习百年党史接受再洗礼，赓续建党精神初心更坚定。一是始终坚持政协机关是党的政治机关，时刻注重党建引领。深入学习习近平总书记在党史学习教育动员大会上的重要讲话、在庆祝中国共产党成立100周年大会上的重要讲话，分阶段、有目标的将党史学习教育贯穿全年。深入学习习近平新时代中国特色社会主义思想和中共十九大及十九届二中、三中、四中、五中、六中全会精神，深入学习习近平总书记在湖南考察时的重要讲话精神，深入学习贯彻省、市第十二次党代会精神和区第六次党代会精神，深入贯彻中央和省、市、区委政协工作会议精神及相关部署要求，增强“四个意识”，坚定“四个自信”，做到“两个维护”，捍卫“两个确立”，切实做到学深悟透、入脑入心。全年共开展党组专题学习12次，政协常委会议专题学习4次，举办委员专题培训1期，各联组实践学习活动10次。紧跟形势任务，着眼于提升政协委员和机关干部的思想政治素质及履职能力，利用党组会议、主席会议、政协常委会议等方式集中学习，开展委员培训、专家授课、政协云交流等多种方式的专题学习。强化理论武装，组织学习习近平新时代中国特色社会主义思想，推进党史学习教育常态化、制度化，引导党员、干部坚定理想信念宗旨，自觉加强党性锻炼。加强政协党的组织体系建设，持续探索建立党组成员联系党员委员、党员委员联系党外委员的制度，坚持在六届一次全会期间成立临时党组，确保党的组织对党员委员全覆盖、党的工作对政协委员全覆盖。机关干部和委员队伍精神状态更加饱满，工作作风更加扎实，理想信念更加坚定。</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是始终坚持在区委的领导下开展工作，围绕中心服从大局。自觉将政协工作置于区委领导之下，重大事项及时向区委请示、重要工作及时向区委汇报、重大活动及时向区委报告，努力把区委的重大部署转化为政协履职实践，为人民政协事业继承发展提供了制度保障。政协党组切实担负起党建工作主体职责，坚持把党建工作与政协工作同部署、同落实、同考核、同问责。切实发挥政协党组把方向、管大局、保落实作用，把发挥党组领导作用与政协依法依章履职统一起来。用新时代人民政协的要求指导工作实践，深入开展调研，形成了城市管理、乡村振兴等一批有质量的调研报告。进一步完善《委员履职工作规则和考核评价办法》，提高日常管理分值，加强考核结果转化应用。组织党组班子开展“为民办实事”活动，组织机关党员干部开展“微心愿”活动，聚焦民生，切实解决群众“急难愁盼”的问题。特别是面对新冠疫情，认真落实区委部署，动员政协各参加单位和广大委员参与疫情防控斗争，组织机关全体干部职工参与到入户走访摸排工作中，并以身作则积极带领干部职工家属和群众接种疫苗，筑牢疫情防控网。</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倡民主重团结广泛凝聚共识，当益友诤友“四区两城”同奋进。一是积极议政协商发挥专门协商机构作用。一年来，我们根据《北塔区政协常委会2021年工作要点》和年度协商计划，围绕我区经济社会发展中具有全局性、综合性、前瞻性的问题精准发力，先后召开党组会议20次、主席会议10次、政协常委会议4次，报送建议、提案、调研报告、社情民意、政协动态等120余件，协商议政成效明显。积极探索协商议政新形式，各活动联组、委员工作室积极主动，运行机制不断完善，全年开展座谈协商和特色活动20余次。</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是立足北塔经济社会发展积极建言献策。2021年度，共收到提案51件，立案39件。2021年，《关于将犬木塘公司设立在北塔区的建议》，敏锐地察觉到犬木塘水库邵阳分公司注册在我区、工程建设产生的各类税费落户我区的重要意义。区委、区政府高度重视该建议，把犬木塘水库工程建设作为全区的“一号工程”来推进，成立了由区委书记牵头，区长亲自抓，区委副书记具体抓的工作领导小组。目前，犬木塘灌区管理用房顺利落户我区，分公司已在我区注册，相关工作正稳步推进。委员提案内容既关注教育、医疗、交通、住房等民生热点，又重点关注生态文明、人居环境等民生福祉领域。2021年，《推进垃圾分类处理，打造宜居宜业北塔的建议》《关于推进我区城市公共绿地建设，打造生态宜居北塔的建议》《关于加强城中村综合治理的建议》等，让一桩桩看似寻常“小事”，成为了委员协商议政的新话题。</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三是回应民众关切不断提升民主监督实效。认真落实市政协《关于加强和改进人民政协民主监督工作的实施意见》，充分发挥委员联系面广的优势，积极引导委员捕捉群众普遍关心的热点、难点问题。先后选派30名政协委员组成5个民主监督小组，委派到区人民检察院、区人民法院、区人社局、区教育局等单位，定点开展民主监督工作。认真选派政协委员40余人次担任民主监督员，支持委员参与对重点项目建设、社会综治工作、教育事业发展、法制建设、公务员和事业编制人员招考等方面的民主监督。在全区违法建筑拆除、小学学位问题处置、检察公开日等活动中，发出了政协声音。</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四是“不患无位，患所以立”强基础抓自身建设。健全政协党组、专委会、政协机关多层次联系委员制度。推行委员联系界别群众、党员委员联系党外委员等制度，既组织委员围绕党政中心工作建言资政，又引导委员深入基层和界别群众，积极做好正面发声、宣传政策、解疑释惑的工作。举办委员专题培训班，提升委员履职本领。积极运用政协云平台，关注民生“急难愁盼”问题，推进“微建议”办理。建成五个镇（街道）委员工作室，实现全区委员工作室全覆盖，开展委员值班活动。深化党派合作，支持和保障各民主党派、工商联、无党派人士等在基层民主协商中的主体作用，尊重他们发表意见、参与活动的权利。支持政协活动联组和界别探索履职新方式，推广召开乡（街道）政协委员座谈会、委员工作室等做法，打通政协服务基层“最后一公里”。健全推进政协党的建设、履职工作、组织管理、内部运行等各方面制度，加强与县（区）政协沟通联系、与党政部门密切协作等机制，巩固市级文明单位创建成果。全面实行政协机关绩效管理，提升机关队伍综合素质，用更好的服务保障政协履职。</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五是把确保政协换届顺利圆满为首要任务。在区委的领导下，经过区政协、区委组织部和区委统战部以及各民主党派、工商联、各人民团体、无党派人士充分酝酿协商、综合平衡、多次征求意见，按照省市委有关要求，严格执行“五好”标准，严格落实“十五项负面清单”，再经过24个部门联审、考察公示，并报请区委常委会议审议后，按照《中国人民政治协商会议章程》第四十条的规定，由区政协第五届委员会第二十四次常委会议协商决定的。根据我区实际，确定政协邵阳市北塔区第六届委员会设置13个界别，委员规模150名，顺利完成委员换届工作。区政协六届一次全会筹备工作从2021年8月下旬开始。区政协成立了由区第五届政协主席丁祖忠任组长，党组副书记、副主席和秘书长任副组长，各委室主任为成员的筹备工作领导小组。领导小组下设秘书资料、宣传会务、后勤保障、信访维稳、提案、组织、疫情防控、会风监督8个工作组。每个工作组分别由一名副主席牵头负责，多次组织工作人员学习换届纪律要求，开展谈心谈话，工作组成员讲政治、勤奉献、守纪律、善作为，在工作中做到既分工明确又相互配合，各项工作严格按照“零差错、零违纪”的要求高效有序地开展，确保了区政协六届一次全会的圆满成功。</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五、综合评价情况及评价结论</w:t>
      </w:r>
    </w:p>
    <w:p>
      <w:pPr>
        <w:pStyle w:val="6"/>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部门整体支出绩效评价指标评分表》评分体系，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整体支出绩效自评</w:t>
      </w:r>
      <w:r>
        <w:rPr>
          <w:rFonts w:hint="eastAsia" w:ascii="宋体" w:hAnsi="宋体" w:cs="宋体"/>
          <w:color w:val="444444"/>
          <w:kern w:val="0"/>
          <w:sz w:val="28"/>
          <w:szCs w:val="28"/>
          <w:shd w:val="clear" w:color="050000" w:fill="FFFFFF"/>
          <w:lang w:val="en-US" w:eastAsia="zh-CN"/>
        </w:rPr>
        <w:t>98</w:t>
      </w:r>
      <w:r>
        <w:rPr>
          <w:rFonts w:hint="eastAsia" w:ascii="宋体" w:hAnsi="宋体" w:eastAsia="宋体" w:cs="宋体"/>
          <w:color w:val="444444"/>
          <w:kern w:val="0"/>
          <w:sz w:val="28"/>
          <w:szCs w:val="28"/>
          <w:shd w:val="clear" w:color="050000" w:fill="FFFFFF"/>
        </w:rPr>
        <w:t>分，自评</w:t>
      </w:r>
      <w:r>
        <w:rPr>
          <w:rFonts w:hint="eastAsia" w:ascii="宋体" w:hAnsi="宋体" w:eastAsia="宋体" w:cs="宋体"/>
          <w:color w:val="444444"/>
          <w:kern w:val="0"/>
          <w:sz w:val="28"/>
          <w:szCs w:val="28"/>
          <w:shd w:val="clear" w:color="050000" w:fill="FFFFFF"/>
          <w:lang w:eastAsia="zh-CN"/>
        </w:rPr>
        <w:t>结果为</w:t>
      </w:r>
      <w:r>
        <w:rPr>
          <w:rFonts w:hint="eastAsia" w:ascii="宋体" w:hAnsi="宋体" w:cs="宋体"/>
          <w:color w:val="444444"/>
          <w:kern w:val="0"/>
          <w:sz w:val="28"/>
          <w:szCs w:val="28"/>
          <w:shd w:val="clear" w:color="050000" w:fill="FFFFFF"/>
          <w:lang w:val="en-US" w:eastAsia="zh-CN"/>
        </w:rPr>
        <w:t>优秀</w:t>
      </w:r>
      <w:r>
        <w:rPr>
          <w:rFonts w:hint="eastAsia" w:ascii="宋体" w:hAnsi="宋体" w:eastAsia="宋体" w:cs="宋体"/>
          <w:color w:val="444444"/>
          <w:kern w:val="0"/>
          <w:sz w:val="28"/>
          <w:szCs w:val="28"/>
          <w:shd w:val="clear" w:color="050000" w:fill="FFFFFF"/>
        </w:rPr>
        <w:t>。</w:t>
      </w:r>
    </w:p>
    <w:p>
      <w:pPr>
        <w:pStyle w:val="6"/>
        <w:widowControl/>
        <w:numPr>
          <w:ilvl w:val="0"/>
          <w:numId w:val="3"/>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存在的问题及原因分析</w:t>
      </w:r>
    </w:p>
    <w:p>
      <w:pPr>
        <w:pStyle w:val="6"/>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i w:val="0"/>
          <w:iCs w:val="0"/>
          <w:caps w:val="0"/>
          <w:color w:val="444444"/>
          <w:spacing w:val="0"/>
          <w:sz w:val="28"/>
          <w:szCs w:val="28"/>
          <w:shd w:val="clear" w:fill="FFFFFF"/>
        </w:rPr>
        <w:t>资产管理未完善，老旧资产没有及时报废。</w:t>
      </w:r>
      <w:r>
        <w:rPr>
          <w:rFonts w:hint="eastAsia" w:ascii="宋体" w:hAnsi="宋体" w:eastAsia="宋体" w:cs="宋体"/>
          <w:color w:val="444444"/>
          <w:kern w:val="0"/>
          <w:sz w:val="28"/>
          <w:szCs w:val="28"/>
          <w:shd w:val="clear" w:color="050000" w:fill="FFFFFF"/>
        </w:rPr>
        <w:t>。</w:t>
      </w:r>
    </w:p>
    <w:p>
      <w:pPr>
        <w:pStyle w:val="6"/>
        <w:widowControl/>
        <w:numPr>
          <w:ilvl w:val="0"/>
          <w:numId w:val="3"/>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下一步改进措施</w:t>
      </w:r>
    </w:p>
    <w:p>
      <w:pPr>
        <w:pStyle w:val="6"/>
        <w:widowControl/>
        <w:numPr>
          <w:ilvl w:val="0"/>
          <w:numId w:val="4"/>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840" w:leftChars="0" w:right="0" w:firstLine="0" w:firstLineChars="0"/>
        <w:jc w:val="left"/>
        <w:rPr>
          <w:rFonts w:hint="eastAsia" w:ascii="宋体" w:hAnsi="宋体" w:eastAsia="宋体" w:cs="宋体"/>
          <w:color w:val="444444"/>
          <w:kern w:val="0"/>
          <w:sz w:val="28"/>
          <w:szCs w:val="28"/>
          <w:shd w:val="clear" w:color="050000" w:fill="FFFFFF"/>
        </w:rPr>
      </w:pPr>
      <w:bookmarkStart w:id="0" w:name="RANGE!A1:H22"/>
      <w:r>
        <w:rPr>
          <w:rFonts w:hint="eastAsia" w:ascii="宋体" w:hAnsi="宋体" w:eastAsia="宋体" w:cs="宋体"/>
          <w:color w:val="444444"/>
          <w:kern w:val="0"/>
          <w:sz w:val="28"/>
          <w:szCs w:val="28"/>
          <w:shd w:val="clear" w:color="050000" w:fill="FFFFFF"/>
        </w:rPr>
        <w:t>加强</w:t>
      </w:r>
      <w:r>
        <w:rPr>
          <w:rFonts w:hint="eastAsia" w:ascii="宋体" w:hAnsi="宋体" w:cs="宋体"/>
          <w:color w:val="444444"/>
          <w:kern w:val="0"/>
          <w:sz w:val="28"/>
          <w:szCs w:val="28"/>
          <w:shd w:val="clear" w:color="050000" w:fill="FFFFFF"/>
          <w:lang w:val="en-US" w:eastAsia="zh-CN"/>
        </w:rPr>
        <w:t>资产</w:t>
      </w:r>
      <w:r>
        <w:rPr>
          <w:rFonts w:hint="eastAsia" w:ascii="宋体" w:hAnsi="宋体" w:eastAsia="宋体" w:cs="宋体"/>
          <w:color w:val="444444"/>
          <w:kern w:val="0"/>
          <w:sz w:val="28"/>
          <w:szCs w:val="28"/>
          <w:shd w:val="clear" w:color="050000" w:fill="FFFFFF"/>
        </w:rPr>
        <w:t>管理，</w:t>
      </w:r>
      <w:r>
        <w:rPr>
          <w:rFonts w:hint="eastAsia" w:ascii="宋体" w:hAnsi="宋体" w:cs="宋体"/>
          <w:color w:val="444444"/>
          <w:kern w:val="0"/>
          <w:sz w:val="28"/>
          <w:szCs w:val="28"/>
          <w:shd w:val="clear" w:color="050000" w:fill="FFFFFF"/>
          <w:lang w:val="en-US" w:eastAsia="zh-CN"/>
        </w:rPr>
        <w:t>及时对老旧资产进行报废处理。</w:t>
      </w:r>
    </w:p>
    <w:p>
      <w:pPr>
        <w:pStyle w:val="6"/>
        <w:widowControl/>
        <w:numPr>
          <w:ilvl w:val="0"/>
          <w:numId w:val="4"/>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840" w:leftChars="0" w:right="0" w:firstLine="0" w:firstLine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加强对相关人员培训，特别是针对</w:t>
      </w:r>
      <w:r>
        <w:rPr>
          <w:rFonts w:hint="eastAsia" w:ascii="宋体" w:hAnsi="宋体" w:cs="宋体"/>
          <w:color w:val="444444"/>
          <w:kern w:val="0"/>
          <w:sz w:val="28"/>
          <w:szCs w:val="28"/>
          <w:shd w:val="clear" w:color="050000" w:fill="FFFFFF"/>
          <w:lang w:val="en-US" w:eastAsia="zh-CN"/>
        </w:rPr>
        <w:t>资产管理</w:t>
      </w:r>
      <w:r>
        <w:rPr>
          <w:rFonts w:hint="eastAsia" w:ascii="宋体" w:hAnsi="宋体" w:eastAsia="宋体" w:cs="宋体"/>
          <w:color w:val="444444"/>
          <w:kern w:val="0"/>
          <w:sz w:val="28"/>
          <w:szCs w:val="28"/>
          <w:shd w:val="clear" w:color="050000" w:fill="FFFFFF"/>
        </w:rPr>
        <w:t>等方面学习培训</w:t>
      </w:r>
      <w:r>
        <w:rPr>
          <w:rFonts w:hint="eastAsia" w:ascii="宋体" w:hAnsi="宋体" w:cs="宋体"/>
          <w:color w:val="444444"/>
          <w:kern w:val="0"/>
          <w:sz w:val="28"/>
          <w:szCs w:val="28"/>
          <w:shd w:val="clear" w:color="050000" w:fill="FFFFFF"/>
          <w:lang w:eastAsia="zh-CN"/>
        </w:rPr>
        <w:t>。</w:t>
      </w:r>
    </w:p>
    <w:p>
      <w:pPr>
        <w:spacing w:line="600" w:lineRule="exact"/>
        <w:rPr>
          <w:rFonts w:hint="eastAsia" w:ascii="宋体" w:hAnsi="宋体" w:eastAsia="宋体" w:cs="宋体"/>
          <w:kern w:val="0"/>
          <w:sz w:val="28"/>
          <w:szCs w:val="28"/>
        </w:rPr>
      </w:pPr>
    </w:p>
    <w:p>
      <w:pPr>
        <w:spacing w:line="600" w:lineRule="exact"/>
        <w:rPr>
          <w:rFonts w:hint="eastAsia" w:ascii="宋体" w:hAnsi="宋体" w:eastAsia="宋体" w:cs="宋体"/>
          <w:kern w:val="0"/>
          <w:sz w:val="28"/>
          <w:szCs w:val="28"/>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单位</w:t>
            </w:r>
            <w:r>
              <w:rPr>
                <w:rFonts w:hint="eastAsia" w:ascii="仿宋_GB2312" w:hAnsi="宋体" w:eastAsia="仿宋_GB2312" w:cs="宋体"/>
                <w:kern w:val="0"/>
                <w:sz w:val="20"/>
                <w:szCs w:val="20"/>
              </w:rPr>
              <w:t>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98</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F029"/>
    <w:multiLevelType w:val="singleLevel"/>
    <w:tmpl w:val="830BF029"/>
    <w:lvl w:ilvl="0" w:tentative="0">
      <w:start w:val="1"/>
      <w:numFmt w:val="decimal"/>
      <w:suff w:val="nothing"/>
      <w:lvlText w:val="%1、"/>
      <w:lvlJc w:val="left"/>
      <w:pPr>
        <w:ind w:left="840" w:leftChars="0" w:firstLine="0" w:firstLineChars="0"/>
      </w:pPr>
    </w:lvl>
  </w:abstractNum>
  <w:abstractNum w:abstractNumId="1">
    <w:nsid w:val="84DCE745"/>
    <w:multiLevelType w:val="singleLevel"/>
    <w:tmpl w:val="84DCE745"/>
    <w:lvl w:ilvl="0" w:tentative="0">
      <w:start w:val="3"/>
      <w:numFmt w:val="decimal"/>
      <w:suff w:val="nothing"/>
      <w:lvlText w:val="（%1）"/>
      <w:lvlJc w:val="left"/>
    </w:lvl>
  </w:abstractNum>
  <w:abstractNum w:abstractNumId="2">
    <w:nsid w:val="59EBF67F"/>
    <w:multiLevelType w:val="singleLevel"/>
    <w:tmpl w:val="59EBF67F"/>
    <w:lvl w:ilvl="0" w:tentative="0">
      <w:start w:val="6"/>
      <w:numFmt w:val="chineseCounting"/>
      <w:suff w:val="nothing"/>
      <w:lvlText w:val="%1、"/>
      <w:lvlJc w:val="left"/>
      <w:rPr>
        <w:rFonts w:hint="eastAsia"/>
      </w:rPr>
    </w:lvl>
  </w:abstractNum>
  <w:abstractNum w:abstractNumId="3">
    <w:nsid w:val="5B9989CC"/>
    <w:multiLevelType w:val="singleLevel"/>
    <w:tmpl w:val="5B9989CC"/>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E1NGViNGJmZmRmMzA4YTdmYTU5Y2U4YWFlMWQ1YzgifQ=="/>
  </w:docVars>
  <w:rsids>
    <w:rsidRoot w:val="00000000"/>
    <w:rsid w:val="3D627252"/>
    <w:rsid w:val="59480B3F"/>
    <w:rsid w:val="645711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rPr>
      <w:sz w:val="24"/>
    </w:rPr>
  </w:style>
  <w:style w:type="character" w:styleId="9">
    <w:name w:val="page number"/>
    <w:basedOn w:val="8"/>
    <w:qFormat/>
    <w:uiPriority w:val="0"/>
  </w:style>
  <w:style w:type="character" w:styleId="10">
    <w:name w:val="FollowedHyperlink"/>
    <w:basedOn w:val="8"/>
    <w:qFormat/>
    <w:uiPriority w:val="0"/>
    <w:rPr>
      <w:color w:val="444444"/>
      <w:u w:val="none"/>
    </w:rPr>
  </w:style>
  <w:style w:type="character" w:styleId="11">
    <w:name w:val="Hyperlink"/>
    <w:basedOn w:val="8"/>
    <w:uiPriority w:val="0"/>
    <w:rPr>
      <w:color w:val="444444"/>
      <w:u w:val="none"/>
    </w:rPr>
  </w:style>
  <w:style w:type="character" w:customStyle="1" w:styleId="12">
    <w:name w:val="gai"/>
    <w:basedOn w:val="8"/>
    <w:qFormat/>
    <w:uiPriority w:val="0"/>
  </w:style>
  <w:style w:type="character" w:customStyle="1" w:styleId="13">
    <w:name w:val="gai1"/>
    <w:basedOn w:val="8"/>
    <w:qFormat/>
    <w:uiPriority w:val="0"/>
  </w:style>
  <w:style w:type="character" w:customStyle="1" w:styleId="14">
    <w:name w:val="gai2"/>
    <w:basedOn w:val="8"/>
    <w:qFormat/>
    <w:uiPriority w:val="0"/>
  </w:style>
  <w:style w:type="character" w:customStyle="1" w:styleId="15">
    <w:name w:val="gai3"/>
    <w:basedOn w:val="8"/>
    <w:qFormat/>
    <w:uiPriority w:val="0"/>
  </w:style>
  <w:style w:type="character" w:customStyle="1" w:styleId="16">
    <w:name w:val="gai4"/>
    <w:basedOn w:val="8"/>
    <w:qFormat/>
    <w:uiPriority w:val="0"/>
  </w:style>
  <w:style w:type="character" w:customStyle="1" w:styleId="17">
    <w:name w:val="you"/>
    <w:basedOn w:val="8"/>
    <w:qFormat/>
    <w:uiPriority w:val="0"/>
  </w:style>
  <w:style w:type="character" w:customStyle="1" w:styleId="18">
    <w:name w:val="info-valid"/>
    <w:basedOn w:val="8"/>
    <w:qFormat/>
    <w:uiPriority w:val="0"/>
    <w:rPr>
      <w:color w:val="444444"/>
    </w:rPr>
  </w:style>
  <w:style w:type="character" w:customStyle="1" w:styleId="19">
    <w:name w:val="tit2"/>
    <w:basedOn w:val="8"/>
    <w:qFormat/>
    <w:uiPriority w:val="0"/>
    <w:rPr>
      <w:color w:val="1D0000"/>
      <w:sz w:val="33"/>
      <w:szCs w:val="33"/>
    </w:rPr>
  </w:style>
  <w:style w:type="character" w:customStyle="1" w:styleId="20">
    <w:name w:val="tianqi"/>
    <w:basedOn w:val="8"/>
    <w:qFormat/>
    <w:uiPriority w:val="0"/>
  </w:style>
  <w:style w:type="character" w:customStyle="1" w:styleId="21">
    <w:name w:val="sjzs"/>
    <w:basedOn w:val="8"/>
    <w:qFormat/>
    <w:uiPriority w:val="0"/>
    <w:rPr>
      <w:sz w:val="27"/>
      <w:szCs w:val="27"/>
    </w:rPr>
  </w:style>
  <w:style w:type="character" w:customStyle="1" w:styleId="22">
    <w:name w:val="quanp"/>
    <w:basedOn w:val="8"/>
    <w:qFormat/>
    <w:uiPriority w:val="0"/>
    <w:rPr>
      <w:color w:val="FFFFFF"/>
      <w:shd w:val="clear" w:color="010000" w:fill="7CB8FE"/>
    </w:rPr>
  </w:style>
  <w:style w:type="character" w:customStyle="1" w:styleId="23">
    <w:name w:val="lname"/>
    <w:basedOn w:val="8"/>
    <w:qFormat/>
    <w:uiPriority w:val="0"/>
    <w:rPr>
      <w:color w:val="000000"/>
      <w:sz w:val="30"/>
      <w:szCs w:val="30"/>
    </w:rPr>
  </w:style>
  <w:style w:type="character" w:customStyle="1" w:styleId="24">
    <w:name w:val="first-child4"/>
    <w:basedOn w:val="8"/>
    <w:qFormat/>
    <w:uiPriority w:val="0"/>
    <w:rPr>
      <w:color w:val="BD1B09"/>
    </w:rPr>
  </w:style>
  <w:style w:type="character" w:customStyle="1" w:styleId="25">
    <w:name w:val="first-child5"/>
    <w:basedOn w:val="8"/>
    <w:qFormat/>
    <w:uiPriority w:val="0"/>
    <w:rPr>
      <w:color w:val="878787"/>
      <w:sz w:val="36"/>
      <w:szCs w:val="36"/>
      <w:shd w:val="clear" w:color="030000" w:fill="FFFFFF"/>
    </w:rPr>
  </w:style>
  <w:style w:type="character" w:customStyle="1" w:styleId="26">
    <w:name w:val="ldjs"/>
    <w:basedOn w:val="8"/>
    <w:qFormat/>
    <w:uiPriority w:val="0"/>
    <w:rPr>
      <w:color w:val="666666"/>
      <w:sz w:val="24"/>
      <w:szCs w:val="24"/>
    </w:rPr>
  </w:style>
  <w:style w:type="character" w:customStyle="1" w:styleId="27">
    <w:name w:val="quanp2"/>
    <w:basedOn w:val="8"/>
    <w:qFormat/>
    <w:uiPriority w:val="0"/>
    <w:rPr>
      <w:color w:val="FFFFFF"/>
      <w:sz w:val="16"/>
      <w:szCs w:val="16"/>
      <w:shd w:val="clear" w:color="030000" w:fill="7CB8FE"/>
    </w:rPr>
  </w:style>
  <w:style w:type="character" w:customStyle="1" w:styleId="28">
    <w:name w:val="jiaoluo"/>
    <w:basedOn w:val="8"/>
    <w:qFormat/>
    <w:uiPriority w:val="0"/>
  </w:style>
  <w:style w:type="character" w:customStyle="1" w:styleId="29">
    <w:name w:val="last3"/>
    <w:basedOn w:val="8"/>
    <w:qFormat/>
    <w:uiPriority w:val="0"/>
  </w:style>
  <w:style w:type="character" w:customStyle="1" w:styleId="30">
    <w:name w:val="last4"/>
    <w:basedOn w:val="8"/>
    <w:qFormat/>
    <w:uiPriority w:val="0"/>
  </w:style>
  <w:style w:type="character" w:customStyle="1" w:styleId="31">
    <w:name w:val="fanhui"/>
    <w:basedOn w:val="8"/>
    <w:qFormat/>
    <w:uiPriority w:val="0"/>
    <w:rPr>
      <w:color w:val="FFFFFF"/>
      <w:sz w:val="24"/>
      <w:szCs w:val="24"/>
    </w:rPr>
  </w:style>
  <w:style w:type="character" w:customStyle="1" w:styleId="32">
    <w:name w:val="jiaoluo2"/>
    <w:basedOn w:val="8"/>
    <w:qFormat/>
    <w:uiPriority w:val="0"/>
  </w:style>
  <w:style w:type="character" w:customStyle="1" w:styleId="33">
    <w:name w:val="zuo"/>
    <w:basedOn w:val="8"/>
    <w:qFormat/>
    <w:uiPriority w:val="0"/>
  </w:style>
  <w:style w:type="character" w:customStyle="1" w:styleId="34">
    <w:name w:val="dcs"/>
    <w:basedOn w:val="8"/>
    <w:qFormat/>
    <w:uiPriority w:val="0"/>
    <w:rPr>
      <w:color w:val="BD1B09"/>
    </w:rPr>
  </w:style>
  <w:style w:type="character" w:customStyle="1" w:styleId="35">
    <w:name w:val="time"/>
    <w:basedOn w:val="8"/>
    <w:qFormat/>
    <w:uiPriority w:val="0"/>
    <w:rPr>
      <w:color w:val="999999"/>
    </w:rPr>
  </w:style>
  <w:style w:type="character" w:customStyle="1" w:styleId="36">
    <w:name w:val="time1"/>
    <w:basedOn w:val="8"/>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7961</Words>
  <Characters>8299</Characters>
  <Lines>0</Lines>
  <Paragraphs>0</Paragraphs>
  <TotalTime>29</TotalTime>
  <ScaleCrop>false</ScaleCrop>
  <LinksUpToDate>false</LinksUpToDate>
  <CharactersWithSpaces>8457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cp:lastPrinted>2022-10-20T08:07:00Z</cp:lastPrinted>
  <dcterms:modified xsi:type="dcterms:W3CDTF">2023-04-28T03:15:49Z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2F54F18A2CE84DADA1B21E746E2F1685</vt:lpwstr>
  </property>
</Properties>
</file>