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i w:val="0"/>
          <w:iCs w:val="0"/>
          <w:caps w:val="0"/>
          <w:color w:val="000000"/>
          <w:spacing w:val="0"/>
          <w:sz w:val="31"/>
          <w:szCs w:val="31"/>
          <w:shd w:val="clear" w:fill="FFFFFF"/>
        </w:rPr>
      </w:pPr>
      <w:r>
        <w:rPr>
          <w:rFonts w:hint="eastAsia" w:ascii="方正小标宋_GBK" w:hAnsi="方正小标宋_GBK" w:eastAsia="方正小标宋_GBK" w:cs="方正小标宋_GBK"/>
          <w:sz w:val="28"/>
          <w:szCs w:val="28"/>
          <w:lang w:eastAsia="zh-CN"/>
        </w:rPr>
        <w:t>北塔区征地和房屋征收工作办公室</w:t>
      </w: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i w:val="0"/>
          <w:iCs w:val="0"/>
          <w:caps w:val="0"/>
          <w:color w:val="000000"/>
          <w:spacing w:val="0"/>
          <w:sz w:val="31"/>
          <w:szCs w:val="31"/>
          <w:shd w:val="clear" w:fill="FFFFFF"/>
        </w:rPr>
        <w:t>整体支出绩效评价报</w:t>
      </w:r>
      <w:r>
        <w:rPr>
          <w:rFonts w:hint="eastAsia"/>
          <w:i w:val="0"/>
          <w:iCs w:val="0"/>
          <w:caps w:val="0"/>
          <w:color w:val="000000"/>
          <w:spacing w:val="0"/>
          <w:sz w:val="31"/>
          <w:szCs w:val="31"/>
          <w:shd w:val="clear" w:fill="FFFFFF"/>
          <w:lang w:val="en-US" w:eastAsia="zh-CN"/>
        </w:rPr>
        <w:t>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right="0" w:rightChars="0" w:firstLine="562" w:firstLineChars="200"/>
        <w:jc w:val="left"/>
        <w:textAlignment w:val="auto"/>
        <w:rPr>
          <w:rFonts w:hint="eastAsia" w:ascii="宋体" w:hAnsi="宋体" w:eastAsia="宋体" w:cs="宋体"/>
          <w:color w:val="444444"/>
          <w:kern w:val="0"/>
          <w:sz w:val="28"/>
          <w:szCs w:val="28"/>
          <w:shd w:val="clear" w:fill="FFFFFF"/>
        </w:rPr>
      </w:pPr>
      <w:r>
        <w:rPr>
          <w:rFonts w:hint="eastAsia" w:ascii="宋体" w:hAnsi="宋体" w:eastAsia="宋体" w:cs="宋体"/>
          <w:b/>
          <w:bCs/>
          <w:i w:val="0"/>
          <w:iCs w:val="0"/>
          <w:caps w:val="0"/>
          <w:color w:val="444444"/>
          <w:spacing w:val="0"/>
          <w:sz w:val="28"/>
          <w:szCs w:val="28"/>
          <w:shd w:val="clear" w:fill="FFFFFF"/>
          <w:lang w:val="en-US" w:eastAsia="zh-CN"/>
        </w:rPr>
        <w:t>1.</w:t>
      </w:r>
      <w:r>
        <w:rPr>
          <w:rFonts w:hint="eastAsia" w:ascii="宋体" w:hAnsi="宋体" w:eastAsia="宋体" w:cs="宋体"/>
          <w:color w:val="444444"/>
          <w:kern w:val="0"/>
          <w:sz w:val="28"/>
          <w:szCs w:val="28"/>
          <w:shd w:val="clear" w:fill="FFFFFF"/>
        </w:rPr>
        <w:t>机构情况。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360" w:lineRule="auto"/>
        <w:ind w:right="0" w:firstLine="560" w:firstLineChars="200"/>
        <w:jc w:val="left"/>
        <w:textAlignment w:val="auto"/>
        <w:rPr>
          <w:rFonts w:hint="eastAsia" w:ascii="宋体" w:hAnsi="宋体" w:eastAsia="宋体" w:cs="宋体"/>
          <w:color w:val="444444"/>
          <w:kern w:val="0"/>
          <w:sz w:val="28"/>
          <w:szCs w:val="28"/>
          <w:shd w:val="clear" w:fill="FFFFFF"/>
        </w:rPr>
      </w:pPr>
      <w:r>
        <w:rPr>
          <w:rFonts w:hint="eastAsia" w:ascii="宋体" w:hAnsi="宋体" w:eastAsia="宋体" w:cs="宋体"/>
          <w:i w:val="0"/>
          <w:iCs w:val="0"/>
          <w:caps w:val="0"/>
          <w:color w:val="000000"/>
          <w:spacing w:val="0"/>
          <w:sz w:val="28"/>
          <w:szCs w:val="28"/>
        </w:rPr>
        <w:t>本部门共有编制人数8人，实有人数1</w:t>
      </w:r>
      <w:r>
        <w:rPr>
          <w:rFonts w:hint="eastAsia" w:ascii="宋体" w:hAnsi="宋体" w:eastAsia="宋体" w:cs="宋体"/>
          <w:i w:val="0"/>
          <w:iCs w:val="0"/>
          <w:caps w:val="0"/>
          <w:color w:val="000000"/>
          <w:spacing w:val="0"/>
          <w:sz w:val="28"/>
          <w:szCs w:val="28"/>
          <w:lang w:val="en-US" w:eastAsia="zh-CN"/>
        </w:rPr>
        <w:t>5</w:t>
      </w:r>
      <w:r>
        <w:rPr>
          <w:rFonts w:hint="eastAsia" w:ascii="宋体" w:hAnsi="宋体" w:eastAsia="宋体" w:cs="宋体"/>
          <w:i w:val="0"/>
          <w:iCs w:val="0"/>
          <w:caps w:val="0"/>
          <w:color w:val="000000"/>
          <w:spacing w:val="0"/>
          <w:sz w:val="28"/>
          <w:szCs w:val="28"/>
        </w:rPr>
        <w:t>人，内设股室3个，分别为：办公室、征收一组、征收二组。</w:t>
      </w:r>
      <w:r>
        <w:rPr>
          <w:rFonts w:hint="eastAsia" w:ascii="宋体" w:hAnsi="宋体" w:eastAsia="宋体" w:cs="宋体"/>
          <w:bCs/>
          <w:kern w:val="0"/>
          <w:sz w:val="28"/>
          <w:szCs w:val="28"/>
          <w:lang w:eastAsia="zh-CN"/>
        </w:rPr>
        <w:t>无所属二级机构。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560" w:firstLineChars="200"/>
        <w:jc w:val="left"/>
        <w:textAlignment w:val="auto"/>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val="en-US" w:eastAsia="zh-CN"/>
        </w:rPr>
        <w:t>2.</w:t>
      </w:r>
      <w:r>
        <w:rPr>
          <w:rFonts w:hint="eastAsia" w:ascii="宋体" w:hAnsi="宋体" w:eastAsia="宋体" w:cs="宋体"/>
          <w:color w:val="444444"/>
          <w:kern w:val="0"/>
          <w:sz w:val="28"/>
          <w:szCs w:val="28"/>
          <w:shd w:val="clear" w:fill="FFFFFF"/>
        </w:rPr>
        <w:t>人员情况。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北塔区征收办</w:t>
      </w:r>
      <w:r>
        <w:rPr>
          <w:rFonts w:hint="eastAsia" w:ascii="宋体" w:hAnsi="宋体" w:eastAsia="宋体" w:cs="宋体"/>
          <w:sz w:val="28"/>
          <w:szCs w:val="28"/>
          <w:lang w:eastAsia="zh-CN"/>
        </w:rPr>
        <w:t>核定办公室主任</w:t>
      </w:r>
      <w:r>
        <w:rPr>
          <w:rFonts w:hint="eastAsia" w:ascii="宋体" w:hAnsi="宋体" w:eastAsia="宋体" w:cs="宋体"/>
          <w:sz w:val="28"/>
          <w:szCs w:val="28"/>
          <w:lang w:val="en-US" w:eastAsia="zh-CN"/>
        </w:rPr>
        <w:t>1名，副主任2名，事业编制人数8人，</w:t>
      </w:r>
      <w:r>
        <w:rPr>
          <w:rFonts w:hint="eastAsia" w:ascii="宋体" w:hAnsi="宋体" w:eastAsia="宋体" w:cs="宋体"/>
          <w:i w:val="0"/>
          <w:iCs w:val="0"/>
          <w:caps w:val="0"/>
          <w:color w:val="232323"/>
          <w:spacing w:val="0"/>
          <w:kern w:val="0"/>
          <w:sz w:val="28"/>
          <w:szCs w:val="28"/>
          <w:shd w:val="clear" w:color="auto" w:fill="FFFFFF"/>
          <w:lang w:val="en-US" w:eastAsia="zh-CN" w:bidi="ar"/>
        </w:rPr>
        <w:t>实际人数15人，离退休2人，遗属补助人数0人，小车编制数0台，实际无。</w:t>
      </w:r>
    </w:p>
    <w:p>
      <w:pPr>
        <w:numPr>
          <w:ilvl w:val="0"/>
          <w:numId w:val="0"/>
        </w:num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（二）主要工作职责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right="0" w:firstLine="560" w:firstLineChars="200"/>
        <w:jc w:val="left"/>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受北塔区人民政府委托承担本辖区内集体土地征收及国有、集体土地上房屋征收工作的实施、协调和管理。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right="0"/>
        <w:jc w:val="left"/>
        <w:textAlignment w:val="auto"/>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560" w:firstLineChars="200"/>
        <w:jc w:val="left"/>
        <w:rPr>
          <w:rFonts w:hint="eastAsia" w:ascii="宋体" w:hAnsi="宋体" w:eastAsia="宋体" w:cs="宋体"/>
          <w:b/>
          <w:bCs/>
          <w:i w:val="0"/>
          <w:iCs w:val="0"/>
          <w:caps w:val="0"/>
          <w:color w:val="auto"/>
          <w:spacing w:val="0"/>
          <w:sz w:val="28"/>
          <w:szCs w:val="28"/>
          <w:shd w:val="clear" w:fill="FFFFFF"/>
          <w:lang w:val="en-US" w:eastAsia="zh-CN"/>
        </w:rPr>
      </w:pPr>
      <w:r>
        <w:rPr>
          <w:rFonts w:hint="eastAsia" w:ascii="宋体" w:hAnsi="宋体" w:eastAsia="宋体" w:cs="宋体"/>
          <w:kern w:val="2"/>
          <w:sz w:val="28"/>
          <w:szCs w:val="28"/>
          <w:lang w:val="en-US" w:eastAsia="zh-CN" w:bidi="ar"/>
        </w:rPr>
        <w:t>2022年本部门全年预算数853万元，本年实际支出</w:t>
      </w:r>
      <w:r>
        <w:rPr>
          <w:rFonts w:hint="eastAsia" w:ascii="宋体" w:hAnsi="宋体" w:eastAsia="宋体" w:cs="宋体"/>
          <w:i w:val="0"/>
          <w:iCs w:val="0"/>
          <w:caps w:val="0"/>
          <w:color w:val="000000"/>
          <w:spacing w:val="0"/>
          <w:sz w:val="28"/>
          <w:szCs w:val="28"/>
          <w:lang w:val="en-US" w:eastAsia="zh-CN"/>
        </w:rPr>
        <w:t>853</w:t>
      </w:r>
      <w:r>
        <w:rPr>
          <w:rFonts w:hint="eastAsia" w:ascii="宋体" w:hAnsi="宋体" w:eastAsia="宋体" w:cs="宋体"/>
          <w:i w:val="0"/>
          <w:iCs w:val="0"/>
          <w:caps w:val="0"/>
          <w:color w:val="000000"/>
          <w:spacing w:val="0"/>
          <w:sz w:val="28"/>
          <w:szCs w:val="28"/>
        </w:rPr>
        <w:t>万元</w:t>
      </w:r>
      <w:r>
        <w:rPr>
          <w:rFonts w:hint="eastAsia" w:ascii="宋体" w:hAnsi="宋体" w:eastAsia="宋体" w:cs="宋体"/>
          <w:i w:val="0"/>
          <w:iCs w:val="0"/>
          <w:caps w:val="0"/>
          <w:color w:val="000000"/>
          <w:spacing w:val="0"/>
          <w:sz w:val="28"/>
          <w:szCs w:val="28"/>
          <w:lang w:eastAsia="zh-CN"/>
        </w:rPr>
        <w:t>，完成全年预算的</w:t>
      </w:r>
      <w:r>
        <w:rPr>
          <w:rFonts w:hint="eastAsia" w:ascii="宋体" w:hAnsi="宋体" w:eastAsia="宋体" w:cs="宋体"/>
          <w:i w:val="0"/>
          <w:iCs w:val="0"/>
          <w:caps w:val="0"/>
          <w:color w:val="000000"/>
          <w:spacing w:val="0"/>
          <w:sz w:val="28"/>
          <w:szCs w:val="28"/>
          <w:lang w:val="en-US" w:eastAsia="zh-CN"/>
        </w:rPr>
        <w:t>100%</w:t>
      </w:r>
      <w:r>
        <w:rPr>
          <w:rFonts w:hint="eastAsia" w:ascii="宋体" w:hAnsi="宋体" w:eastAsia="宋体" w:cs="宋体"/>
          <w:i w:val="0"/>
          <w:iCs w:val="0"/>
          <w:caps w:val="0"/>
          <w:color w:val="000000"/>
          <w:spacing w:val="0"/>
          <w:sz w:val="28"/>
          <w:szCs w:val="28"/>
        </w:rPr>
        <w:t>。与上一年度相比，</w:t>
      </w:r>
      <w:r>
        <w:rPr>
          <w:rFonts w:hint="eastAsia" w:ascii="宋体" w:hAnsi="宋体" w:eastAsia="宋体" w:cs="宋体"/>
          <w:i w:val="0"/>
          <w:iCs w:val="0"/>
          <w:caps w:val="0"/>
          <w:color w:val="000000"/>
          <w:spacing w:val="0"/>
          <w:sz w:val="28"/>
          <w:szCs w:val="28"/>
          <w:lang w:eastAsia="zh-CN"/>
        </w:rPr>
        <w:t>实际支出增加</w:t>
      </w:r>
      <w:r>
        <w:rPr>
          <w:rFonts w:hint="eastAsia" w:ascii="宋体" w:hAnsi="宋体" w:eastAsia="宋体" w:cs="宋体"/>
          <w:i w:val="0"/>
          <w:iCs w:val="0"/>
          <w:caps w:val="0"/>
          <w:color w:val="000000"/>
          <w:spacing w:val="0"/>
          <w:sz w:val="28"/>
          <w:szCs w:val="28"/>
          <w:lang w:val="en-US" w:eastAsia="zh-CN"/>
        </w:rPr>
        <w:t>650.8</w:t>
      </w:r>
      <w:r>
        <w:rPr>
          <w:rFonts w:hint="eastAsia" w:ascii="宋体" w:hAnsi="宋体" w:eastAsia="宋体" w:cs="宋体"/>
          <w:i w:val="0"/>
          <w:iCs w:val="0"/>
          <w:caps w:val="0"/>
          <w:color w:val="000000"/>
          <w:spacing w:val="0"/>
          <w:sz w:val="28"/>
          <w:szCs w:val="28"/>
        </w:rPr>
        <w:t>万元</w:t>
      </w:r>
      <w:r>
        <w:rPr>
          <w:rFonts w:hint="eastAsia" w:ascii="宋体" w:hAnsi="宋体" w:eastAsia="宋体" w:cs="宋体"/>
          <w:i w:val="0"/>
          <w:iCs w:val="0"/>
          <w:caps w:val="0"/>
          <w:color w:val="000000"/>
          <w:spacing w:val="0"/>
          <w:sz w:val="28"/>
          <w:szCs w:val="28"/>
          <w:lang w:eastAsia="zh-CN"/>
        </w:rPr>
        <w:t>增加</w:t>
      </w:r>
      <w:r>
        <w:rPr>
          <w:rFonts w:hint="eastAsia" w:ascii="宋体" w:hAnsi="宋体" w:eastAsia="宋体" w:cs="宋体"/>
          <w:i w:val="0"/>
          <w:iCs w:val="0"/>
          <w:caps w:val="0"/>
          <w:color w:val="000000"/>
          <w:spacing w:val="0"/>
          <w:sz w:val="28"/>
          <w:szCs w:val="28"/>
          <w:lang w:val="en-US" w:eastAsia="zh-CN"/>
        </w:rPr>
        <w:t>321.86</w:t>
      </w:r>
      <w:r>
        <w:rPr>
          <w:rFonts w:hint="eastAsia" w:ascii="宋体" w:hAnsi="宋体" w:eastAsia="宋体" w:cs="宋体"/>
          <w:i w:val="0"/>
          <w:iCs w:val="0"/>
          <w:caps w:val="0"/>
          <w:color w:val="000000"/>
          <w:spacing w:val="0"/>
          <w:sz w:val="28"/>
          <w:szCs w:val="28"/>
        </w:rPr>
        <w:t>%。主要原因是</w:t>
      </w:r>
      <w:r>
        <w:rPr>
          <w:rFonts w:hint="eastAsia" w:ascii="宋体" w:hAnsi="宋体" w:eastAsia="宋体" w:cs="宋体"/>
          <w:i w:val="0"/>
          <w:iCs w:val="0"/>
          <w:caps w:val="0"/>
          <w:color w:val="000000"/>
          <w:spacing w:val="0"/>
          <w:sz w:val="28"/>
          <w:szCs w:val="28"/>
          <w:lang w:eastAsia="zh-CN"/>
        </w:rPr>
        <w:t>本年度增加了污水管网项目征地拆迁资金及人员工资增长</w:t>
      </w:r>
      <w:r>
        <w:rPr>
          <w:rFonts w:hint="eastAsia" w:ascii="宋体" w:hAnsi="宋体" w:eastAsia="宋体" w:cs="宋体"/>
          <w:i w:val="0"/>
          <w:iCs w:val="0"/>
          <w:caps w:val="0"/>
          <w:color w:val="000000"/>
          <w:spacing w:val="0"/>
          <w:sz w:val="28"/>
          <w:szCs w:val="28"/>
        </w:rPr>
        <w:t>。</w:t>
      </w:r>
    </w:p>
    <w:p>
      <w:pPr>
        <w:spacing w:line="480" w:lineRule="auto"/>
        <w:ind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2022年度收入合计</w:t>
      </w:r>
      <w:r>
        <w:rPr>
          <w:rFonts w:hint="eastAsia" w:ascii="宋体" w:hAnsi="宋体" w:eastAsia="宋体" w:cs="宋体"/>
          <w:i w:val="0"/>
          <w:iCs w:val="0"/>
          <w:caps w:val="0"/>
          <w:color w:val="000000"/>
          <w:spacing w:val="0"/>
          <w:sz w:val="28"/>
          <w:szCs w:val="28"/>
          <w:lang w:val="en-US" w:eastAsia="zh-CN"/>
        </w:rPr>
        <w:t>853</w:t>
      </w:r>
      <w:r>
        <w:rPr>
          <w:rFonts w:hint="eastAsia" w:ascii="宋体" w:hAnsi="宋体" w:eastAsia="宋体" w:cs="宋体"/>
          <w:i w:val="0"/>
          <w:iCs w:val="0"/>
          <w:caps w:val="0"/>
          <w:color w:val="000000"/>
          <w:spacing w:val="0"/>
          <w:sz w:val="28"/>
          <w:szCs w:val="28"/>
        </w:rPr>
        <w:t>万元，其中：财政拨款收入</w:t>
      </w:r>
      <w:r>
        <w:rPr>
          <w:rFonts w:hint="eastAsia" w:ascii="宋体" w:hAnsi="宋体" w:eastAsia="宋体" w:cs="宋体"/>
          <w:i w:val="0"/>
          <w:iCs w:val="0"/>
          <w:caps w:val="0"/>
          <w:color w:val="000000"/>
          <w:spacing w:val="0"/>
          <w:sz w:val="28"/>
          <w:szCs w:val="28"/>
          <w:lang w:val="en-US" w:eastAsia="zh-CN"/>
        </w:rPr>
        <w:t>702.25</w:t>
      </w:r>
      <w:r>
        <w:rPr>
          <w:rFonts w:hint="eastAsia" w:ascii="宋体" w:hAnsi="宋体" w:eastAsia="宋体" w:cs="宋体"/>
          <w:i w:val="0"/>
          <w:iCs w:val="0"/>
          <w:caps w:val="0"/>
          <w:color w:val="000000"/>
          <w:spacing w:val="0"/>
          <w:sz w:val="28"/>
          <w:szCs w:val="28"/>
        </w:rPr>
        <w:t>万元，占</w:t>
      </w:r>
      <w:r>
        <w:rPr>
          <w:rFonts w:hint="eastAsia" w:ascii="宋体" w:hAnsi="宋体" w:eastAsia="宋体" w:cs="宋体"/>
          <w:i w:val="0"/>
          <w:iCs w:val="0"/>
          <w:caps w:val="0"/>
          <w:color w:val="000000"/>
          <w:spacing w:val="0"/>
          <w:sz w:val="28"/>
          <w:szCs w:val="28"/>
          <w:lang w:val="en-US" w:eastAsia="zh-CN"/>
        </w:rPr>
        <w:t>82.33</w:t>
      </w:r>
      <w:r>
        <w:rPr>
          <w:rFonts w:hint="eastAsia" w:ascii="宋体" w:hAnsi="宋体" w:eastAsia="宋体" w:cs="宋体"/>
          <w:i w:val="0"/>
          <w:iCs w:val="0"/>
          <w:caps w:val="0"/>
          <w:color w:val="000000"/>
          <w:spacing w:val="0"/>
          <w:sz w:val="28"/>
          <w:szCs w:val="28"/>
        </w:rPr>
        <w:t>%；上级补助收入0万元，占0%；事业收入0万元，占0%；经营收入0万元，占0%；附属单位上缴收入0万元，占0%；其他收入</w:t>
      </w:r>
      <w:r>
        <w:rPr>
          <w:rFonts w:hint="eastAsia" w:ascii="宋体" w:hAnsi="宋体" w:eastAsia="宋体" w:cs="宋体"/>
          <w:i w:val="0"/>
          <w:iCs w:val="0"/>
          <w:caps w:val="0"/>
          <w:color w:val="000000"/>
          <w:spacing w:val="0"/>
          <w:sz w:val="28"/>
          <w:szCs w:val="28"/>
          <w:lang w:val="en-US" w:eastAsia="zh-CN"/>
        </w:rPr>
        <w:t>150.75</w:t>
      </w:r>
      <w:r>
        <w:rPr>
          <w:rFonts w:hint="eastAsia" w:ascii="宋体" w:hAnsi="宋体" w:eastAsia="宋体" w:cs="宋体"/>
          <w:i w:val="0"/>
          <w:iCs w:val="0"/>
          <w:caps w:val="0"/>
          <w:color w:val="000000"/>
          <w:spacing w:val="0"/>
          <w:sz w:val="28"/>
          <w:szCs w:val="28"/>
        </w:rPr>
        <w:t>万元，占</w:t>
      </w:r>
      <w:r>
        <w:rPr>
          <w:rFonts w:hint="eastAsia" w:ascii="宋体" w:hAnsi="宋体" w:eastAsia="宋体" w:cs="宋体"/>
          <w:i w:val="0"/>
          <w:iCs w:val="0"/>
          <w:caps w:val="0"/>
          <w:color w:val="000000"/>
          <w:spacing w:val="0"/>
          <w:sz w:val="28"/>
          <w:szCs w:val="28"/>
          <w:lang w:val="en-US" w:eastAsia="zh-CN"/>
        </w:rPr>
        <w:t>17.67</w:t>
      </w:r>
      <w:r>
        <w:rPr>
          <w:rFonts w:hint="eastAsia" w:ascii="宋体" w:hAnsi="宋体" w:eastAsia="宋体" w:cs="宋体"/>
          <w:i w:val="0"/>
          <w:iCs w:val="0"/>
          <w:caps w:val="0"/>
          <w:color w:val="000000"/>
          <w:spacing w:val="0"/>
          <w:sz w:val="28"/>
          <w:szCs w:val="28"/>
        </w:rPr>
        <w:t>%</w:t>
      </w:r>
    </w:p>
    <w:p>
      <w:pPr>
        <w:spacing w:line="480" w:lineRule="auto"/>
        <w:ind w:firstLine="560" w:firstLineChars="200"/>
        <w:jc w:val="left"/>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2022年度支出合计</w:t>
      </w:r>
      <w:r>
        <w:rPr>
          <w:rFonts w:hint="eastAsia" w:ascii="宋体" w:hAnsi="宋体" w:eastAsia="宋体" w:cs="宋体"/>
          <w:i w:val="0"/>
          <w:iCs w:val="0"/>
          <w:caps w:val="0"/>
          <w:color w:val="000000"/>
          <w:spacing w:val="0"/>
          <w:sz w:val="28"/>
          <w:szCs w:val="28"/>
          <w:lang w:val="en-US" w:eastAsia="zh-CN"/>
        </w:rPr>
        <w:t>853</w:t>
      </w:r>
      <w:r>
        <w:rPr>
          <w:rFonts w:hint="eastAsia" w:ascii="宋体" w:hAnsi="宋体" w:eastAsia="宋体" w:cs="宋体"/>
          <w:i w:val="0"/>
          <w:iCs w:val="0"/>
          <w:caps w:val="0"/>
          <w:color w:val="000000"/>
          <w:spacing w:val="0"/>
          <w:sz w:val="28"/>
          <w:szCs w:val="28"/>
        </w:rPr>
        <w:t>万元，其中：基本支出</w:t>
      </w:r>
      <w:r>
        <w:rPr>
          <w:rFonts w:hint="eastAsia" w:ascii="宋体" w:hAnsi="宋体" w:eastAsia="宋体" w:cs="宋体"/>
          <w:i w:val="0"/>
          <w:iCs w:val="0"/>
          <w:caps w:val="0"/>
          <w:color w:val="000000"/>
          <w:spacing w:val="0"/>
          <w:sz w:val="28"/>
          <w:szCs w:val="28"/>
          <w:lang w:val="en-US" w:eastAsia="zh-CN"/>
        </w:rPr>
        <w:t>353</w:t>
      </w:r>
      <w:r>
        <w:rPr>
          <w:rFonts w:hint="eastAsia" w:ascii="宋体" w:hAnsi="宋体" w:eastAsia="宋体" w:cs="宋体"/>
          <w:i w:val="0"/>
          <w:iCs w:val="0"/>
          <w:caps w:val="0"/>
          <w:color w:val="000000"/>
          <w:spacing w:val="0"/>
          <w:sz w:val="28"/>
          <w:szCs w:val="28"/>
        </w:rPr>
        <w:t>万元，占</w:t>
      </w:r>
      <w:r>
        <w:rPr>
          <w:rFonts w:hint="eastAsia" w:ascii="宋体" w:hAnsi="宋体" w:eastAsia="宋体" w:cs="宋体"/>
          <w:i w:val="0"/>
          <w:iCs w:val="0"/>
          <w:caps w:val="0"/>
          <w:color w:val="000000"/>
          <w:spacing w:val="0"/>
          <w:sz w:val="28"/>
          <w:szCs w:val="28"/>
          <w:lang w:val="en-US" w:eastAsia="zh-CN"/>
        </w:rPr>
        <w:t>41.38</w:t>
      </w:r>
      <w:r>
        <w:rPr>
          <w:rFonts w:hint="eastAsia" w:ascii="宋体" w:hAnsi="宋体" w:eastAsia="宋体" w:cs="宋体"/>
          <w:i w:val="0"/>
          <w:iCs w:val="0"/>
          <w:caps w:val="0"/>
          <w:color w:val="000000"/>
          <w:spacing w:val="0"/>
          <w:sz w:val="28"/>
          <w:szCs w:val="28"/>
        </w:rPr>
        <w:t>%；项目支出</w:t>
      </w:r>
      <w:r>
        <w:rPr>
          <w:rFonts w:hint="eastAsia" w:ascii="宋体" w:hAnsi="宋体" w:eastAsia="宋体" w:cs="宋体"/>
          <w:i w:val="0"/>
          <w:iCs w:val="0"/>
          <w:caps w:val="0"/>
          <w:color w:val="000000"/>
          <w:spacing w:val="0"/>
          <w:sz w:val="28"/>
          <w:szCs w:val="28"/>
          <w:lang w:val="en-US" w:eastAsia="zh-CN"/>
        </w:rPr>
        <w:t>500</w:t>
      </w:r>
      <w:r>
        <w:rPr>
          <w:rFonts w:hint="eastAsia" w:ascii="宋体" w:hAnsi="宋体" w:eastAsia="宋体" w:cs="宋体"/>
          <w:i w:val="0"/>
          <w:iCs w:val="0"/>
          <w:caps w:val="0"/>
          <w:color w:val="000000"/>
          <w:spacing w:val="0"/>
          <w:sz w:val="28"/>
          <w:szCs w:val="28"/>
        </w:rPr>
        <w:t>万元，占</w:t>
      </w:r>
      <w:r>
        <w:rPr>
          <w:rFonts w:hint="eastAsia" w:ascii="宋体" w:hAnsi="宋体" w:eastAsia="宋体" w:cs="宋体"/>
          <w:i w:val="0"/>
          <w:iCs w:val="0"/>
          <w:caps w:val="0"/>
          <w:color w:val="000000"/>
          <w:spacing w:val="0"/>
          <w:sz w:val="28"/>
          <w:szCs w:val="28"/>
          <w:lang w:val="en-US" w:eastAsia="zh-CN"/>
        </w:rPr>
        <w:t>58.62</w:t>
      </w:r>
      <w:r>
        <w:rPr>
          <w:rFonts w:hint="eastAsia" w:ascii="宋体" w:hAnsi="宋体" w:eastAsia="宋体" w:cs="宋体"/>
          <w:i w:val="0"/>
          <w:iCs w:val="0"/>
          <w:caps w:val="0"/>
          <w:color w:val="000000"/>
          <w:spacing w:val="0"/>
          <w:sz w:val="28"/>
          <w:szCs w:val="28"/>
        </w:rPr>
        <w:t>%；上缴上级支出0万元，占0%；经营支出0万元，占0%；对附属单位补助支出0万元，占0%。</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2022年度北塔区征收办基本支出年初预算安排为353万元，本年实际支出为353万元，主要为人员经费支出和公用经费支出，其中人员经费支出195.06万元、公用经费支出157.94万元。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本年项目支出年初预算安排为500万元，本年实际支出为500万元，主要为污水管网征地拆迁资金。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1、预算执行情况。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840" w:firstLineChars="3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 2022年财政拨款预算执行数202.25万元，预算安排数202.25万元，预算执行率为100%；⑵公用经费预算26.98万元，实际支出26.98万元，公用经费控制率为100%；、（3）“三公经费”年初预算安排0万元，实际支出0万元，“三公经费”控制率为0%。（4）政府采购年初预算11万元，实际政府采购金额65.05万元，政府采购执行率591.36%。</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预决算信息公开情况。</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Theme="minorEastAsia" w:hAnsiTheme="minorEastAsia" w:eastAsiaTheme="minorEastAsia" w:cstheme="minorEastAsia"/>
          <w:sz w:val="28"/>
          <w:szCs w:val="28"/>
          <w:lang w:eastAsia="zh-CN"/>
        </w:rPr>
        <w:t>北</w:t>
      </w:r>
      <w:r>
        <w:rPr>
          <w:rFonts w:hint="eastAsia" w:asciiTheme="minorEastAsia" w:hAnsiTheme="minorEastAsia" w:eastAsiaTheme="minorEastAsia" w:cstheme="minorEastAsia"/>
          <w:b w:val="0"/>
          <w:bCs w:val="0"/>
          <w:sz w:val="28"/>
          <w:szCs w:val="28"/>
          <w:lang w:eastAsia="zh-CN"/>
        </w:rPr>
        <w:t>塔区征收办</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leftChars="0" w:right="0" w:firstLine="420" w:firstLineChars="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资产管理情况。</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w:t>
      </w:r>
      <w:r>
        <w:rPr>
          <w:rFonts w:hint="eastAsia" w:asciiTheme="minorEastAsia" w:hAnsiTheme="minorEastAsia" w:eastAsiaTheme="minorEastAsia" w:cstheme="minorEastAsia"/>
          <w:b w:val="0"/>
          <w:bCs w:val="0"/>
          <w:sz w:val="28"/>
          <w:szCs w:val="28"/>
          <w:lang w:eastAsia="zh-CN"/>
        </w:rPr>
        <w:t>北塔区征收办</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拥有各类资产总额5.06万元，其中流动资产1万元，固定资产4.06万元。单位为加强资产管理，内部制定了资产管理制度，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numPr>
          <w:ilvl w:val="0"/>
          <w:numId w:val="2"/>
        </w:num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职责覆行和主要绩效情况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right="0" w:rightChars="0" w:firstLine="640" w:firstLineChars="200"/>
        <w:jc w:val="left"/>
        <w:textAlignment w:val="auto"/>
        <w:rPr>
          <w:rFonts w:hint="default" w:eastAsia="宋体"/>
          <w:lang w:val="en-US" w:eastAsia="zh-CN"/>
        </w:rPr>
      </w:pPr>
      <w:r>
        <w:rPr>
          <w:rFonts w:hint="eastAsia" w:ascii="仿宋" w:hAnsi="仿宋" w:eastAsia="仿宋" w:cs="仿宋"/>
          <w:color w:val="444444"/>
          <w:kern w:val="0"/>
          <w:sz w:val="32"/>
          <w:szCs w:val="32"/>
          <w:shd w:val="clear" w:fill="FFFFFF"/>
          <w:lang w:eastAsia="zh-CN"/>
        </w:rPr>
        <w:t>202</w:t>
      </w:r>
      <w:r>
        <w:rPr>
          <w:rFonts w:hint="eastAsia" w:ascii="仿宋" w:hAnsi="仿宋" w:eastAsia="仿宋" w:cs="仿宋"/>
          <w:color w:val="444444"/>
          <w:kern w:val="0"/>
          <w:sz w:val="32"/>
          <w:szCs w:val="32"/>
          <w:shd w:val="clear" w:fill="FFFFFF"/>
          <w:lang w:val="en-US" w:eastAsia="zh-CN"/>
        </w:rPr>
        <w:t>2</w:t>
      </w:r>
      <w:r>
        <w:rPr>
          <w:rFonts w:hint="eastAsia" w:ascii="仿宋" w:hAnsi="仿宋" w:eastAsia="仿宋" w:cs="仿宋"/>
          <w:color w:val="444444"/>
          <w:kern w:val="0"/>
          <w:sz w:val="32"/>
          <w:szCs w:val="32"/>
          <w:shd w:val="clear" w:fill="FFFFFF"/>
        </w:rPr>
        <w:t>年，</w:t>
      </w:r>
      <w:r>
        <w:rPr>
          <w:rFonts w:hint="eastAsia" w:ascii="仿宋" w:hAnsi="仿宋" w:eastAsia="仿宋" w:cs="仿宋"/>
          <w:color w:val="444444"/>
          <w:kern w:val="0"/>
          <w:sz w:val="32"/>
          <w:szCs w:val="32"/>
          <w:shd w:val="clear" w:fill="FFFFFF"/>
          <w:lang w:eastAsia="zh-CN"/>
        </w:rPr>
        <w:t>单位</w:t>
      </w:r>
      <w:r>
        <w:rPr>
          <w:rFonts w:hint="eastAsia" w:ascii="仿宋" w:hAnsi="仿宋" w:eastAsia="仿宋" w:cs="仿宋"/>
          <w:color w:val="444444"/>
          <w:kern w:val="0"/>
          <w:sz w:val="32"/>
          <w:szCs w:val="32"/>
          <w:shd w:val="clear" w:fill="FFFFFF"/>
        </w:rPr>
        <w:t>充分履行职责职能，严格执行各项管理制度，经济、社会等效益显著、社会公众满意度上升，较好地完成了全年工作</w:t>
      </w:r>
      <w:r>
        <w:rPr>
          <w:rFonts w:hint="eastAsia" w:ascii="宋体" w:hAnsi="宋体" w:eastAsia="宋体" w:cs="宋体"/>
          <w:color w:val="444444"/>
          <w:kern w:val="0"/>
          <w:sz w:val="28"/>
          <w:szCs w:val="28"/>
          <w:shd w:val="clear" w:fill="FFFFFF"/>
        </w:rPr>
        <w:t>目标。</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right="0" w:rightChars="0"/>
        <w:jc w:val="left"/>
        <w:textAlignment w:val="auto"/>
        <w:rPr>
          <w:rFonts w:hint="eastAsia" w:ascii="仿宋" w:hAnsi="仿宋" w:eastAsia="仿宋" w:cs="仿宋"/>
          <w:color w:val="444444"/>
          <w:kern w:val="0"/>
          <w:sz w:val="32"/>
          <w:szCs w:val="32"/>
          <w:shd w:val="clear" w:fill="FFFFFF"/>
          <w:lang w:val="en-US" w:eastAsia="zh-CN"/>
        </w:rPr>
      </w:pPr>
      <w:r>
        <w:rPr>
          <w:rFonts w:hint="eastAsia" w:ascii="仿宋" w:hAnsi="仿宋" w:eastAsia="仿宋" w:cs="仿宋"/>
          <w:i w:val="0"/>
          <w:iCs w:val="0"/>
          <w:caps w:val="0"/>
          <w:color w:val="232323"/>
          <w:spacing w:val="0"/>
          <w:kern w:val="0"/>
          <w:sz w:val="32"/>
          <w:szCs w:val="32"/>
          <w:shd w:val="clear" w:color="auto" w:fill="FFFFFF"/>
          <w:lang w:val="en-US" w:eastAsia="zh-CN" w:bidi="ar"/>
        </w:rPr>
        <w:t>1.预算执行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right="0" w:rightChars="0" w:firstLine="320" w:firstLineChars="100"/>
        <w:jc w:val="left"/>
        <w:textAlignment w:val="auto"/>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一是建立预算执行责任制。将年度预算收入责任及预算支出额度逐一分解落实到各股室，形成领导重视、衔接紧密、齐抓共管的体制机制，建立预算指标额度台账，将预算执行情况作为年度目标考核的内容。二是建立预算执行信息化管理制度。在北塔区政府政务公开网公布部门财政预算批复及执行情况，及时公布“三公经费”支出情况，接受监督。三是建立健全项目资金管理制度。对于财政性专项资金，在区财政局的督导下，严格按专项资金项目实施方案执行，督促项目承担单位加快项目实施进度，及时办理报账、验收、结算等相关手续，做到不集中使用、不滥用资金，最大限度提高专项资金利用效率。</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right="0" w:rightChars="0"/>
        <w:jc w:val="left"/>
        <w:textAlignment w:val="auto"/>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2.预算管理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right="0" w:rightChars="0"/>
        <w:jc w:val="left"/>
        <w:textAlignment w:val="auto"/>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   为规范机关财务管理，建立健全财务管理制度，征收办制订了《北塔区征收办财务管理办法》、《北塔区征收办财务内控制度（试行）》、《北塔区征收办财务集中会审实施办法》等一系列合法合规、较为完整的、具有很强的可操作性财务管理制度。坚持经费预算科学化、精细化，执行控制规范化、责任化，监督检查常态化、同步化。</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right="0" w:rightChars="0" w:firstLine="320" w:firstLineChars="100"/>
        <w:jc w:val="left"/>
        <w:textAlignment w:val="auto"/>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 xml:space="preserve"> 资金的支付符合国家财经法规和财务管理制度规定，以及有关专项资金管理办法的规定；资金拨付有完整的审批程序和手续；支出符合部门预算批复的用途；重大财务事项经由集体研究决策；专项资金做到专款专用；原始凭证的取得真实有效。部门预决算信息按规定内容，在规定的时限内予以公开。基础数据信息和会计信息资料真实、完整、准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0"/>
        </w:tabs>
        <w:kinsoku/>
        <w:wordWrap/>
        <w:overflowPunct/>
        <w:topLinePunct w:val="0"/>
        <w:autoSpaceDE/>
        <w:autoSpaceDN/>
        <w:bidi w:val="0"/>
        <w:adjustRightInd/>
        <w:snapToGrid w:val="0"/>
        <w:spacing w:before="0" w:beforeAutospacing="0" w:after="0" w:afterAutospacing="0" w:line="360" w:lineRule="auto"/>
        <w:ind w:leftChars="0" w:right="0" w:rightChars="0"/>
        <w:jc w:val="left"/>
        <w:textAlignment w:val="auto"/>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3.提升支出绩效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0"/>
        </w:tabs>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left"/>
        <w:textAlignment w:val="auto"/>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2022年，征收办全面落实省委、省政府和市委、市政府及区政府的工作部署，</w:t>
      </w:r>
      <w:r>
        <w:rPr>
          <w:rFonts w:hint="eastAsia" w:ascii="仿宋" w:hAnsi="仿宋" w:eastAsia="仿宋" w:cs="仿宋"/>
          <w:sz w:val="32"/>
          <w:szCs w:val="32"/>
          <w:lang w:eastAsia="zh-CN"/>
        </w:rPr>
        <w:t>紧紧围绕全年工作目标</w:t>
      </w:r>
      <w:r>
        <w:rPr>
          <w:rFonts w:hint="eastAsia" w:ascii="仿宋" w:hAnsi="仿宋" w:eastAsia="仿宋" w:cs="仿宋"/>
          <w:i w:val="0"/>
          <w:caps w:val="0"/>
          <w:color w:val="auto"/>
          <w:spacing w:val="0"/>
          <w:kern w:val="0"/>
          <w:sz w:val="32"/>
          <w:szCs w:val="32"/>
          <w:vertAlign w:val="baseline"/>
          <w:lang w:val="en-US" w:eastAsia="zh-CN"/>
        </w:rPr>
        <w:t>，</w:t>
      </w:r>
      <w:r>
        <w:rPr>
          <w:rFonts w:hint="eastAsia" w:ascii="仿宋" w:hAnsi="仿宋" w:eastAsia="仿宋" w:cs="仿宋"/>
          <w:b w:val="0"/>
          <w:bCs w:val="0"/>
          <w:sz w:val="32"/>
          <w:szCs w:val="32"/>
          <w:lang w:val="en-US" w:eastAsia="zh-CN"/>
        </w:rPr>
        <w:t>科学谋划，开拓进取，</w:t>
      </w:r>
      <w:r>
        <w:rPr>
          <w:rFonts w:hint="eastAsia" w:ascii="仿宋" w:hAnsi="仿宋" w:eastAsia="仿宋" w:cs="仿宋"/>
          <w:i w:val="0"/>
          <w:iCs w:val="0"/>
          <w:caps w:val="0"/>
          <w:color w:val="232323"/>
          <w:spacing w:val="0"/>
          <w:kern w:val="0"/>
          <w:sz w:val="32"/>
          <w:szCs w:val="32"/>
          <w:shd w:val="clear" w:color="auto" w:fill="FFFFFF"/>
          <w:lang w:val="en-US" w:eastAsia="zh-CN" w:bidi="ar"/>
        </w:rPr>
        <w:t>各项工作任务全面完成，财务管理规范，单位行政运行稳定有序。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0"/>
        </w:tabs>
        <w:kinsoku/>
        <w:wordWrap/>
        <w:overflowPunct/>
        <w:topLinePunct w:val="0"/>
        <w:autoSpaceDE/>
        <w:autoSpaceDN/>
        <w:bidi w:val="0"/>
        <w:adjustRightInd/>
        <w:snapToGrid w:val="0"/>
        <w:spacing w:before="0" w:beforeAutospacing="0" w:after="0" w:afterAutospacing="0" w:line="360" w:lineRule="auto"/>
        <w:ind w:right="0" w:rightChars="0" w:firstLine="643" w:firstLineChars="200"/>
        <w:jc w:val="left"/>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四、存在的问题及原因分析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360" w:lineRule="auto"/>
        <w:ind w:right="0" w:rightChars="0" w:firstLine="640" w:firstLineChars="200"/>
        <w:jc w:val="left"/>
        <w:textAlignment w:val="auto"/>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通过前述对征收办整体支出情况的分析，反映出目前在整体支出的预算编制、执行和管理过程中，依然存在一些问题和不足。一是预算项目申报的前瞻性不足，基础资料的收集和整理不到位;二是预算编制项目与实际支出项目资金有差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360" w:lineRule="auto"/>
        <w:ind w:left="420" w:leftChars="0" w:right="0" w:rightChars="0"/>
        <w:jc w:val="left"/>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leftChars="0" w:right="0" w:rightChars="0"/>
        <w:jc w:val="left"/>
        <w:textAlignment w:val="auto"/>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（一）进一步加强项目资金管理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leftChars="0" w:right="0" w:rightChars="0"/>
        <w:jc w:val="left"/>
        <w:textAlignment w:val="auto"/>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    项目实施提前做好方案，按时间节点落实好项目实施进度，争取项目早实施、早完成、早验收，确保项目资金年内支付到位。项目资金的使用要事前计划、事中控制、事后总结，合理使用，充分体现项目资金投向的目标和效益。</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leftChars="0" w:right="0" w:rightChars="0"/>
        <w:jc w:val="left"/>
        <w:textAlignment w:val="auto"/>
        <w:rPr>
          <w:rFonts w:hint="eastAsia" w:ascii="仿宋" w:hAnsi="仿宋" w:eastAsia="仿宋" w:cs="仿宋"/>
          <w:i w:val="0"/>
          <w:iCs w:val="0"/>
          <w:caps w:val="0"/>
          <w:color w:val="232323"/>
          <w:spacing w:val="0"/>
          <w:kern w:val="0"/>
          <w:sz w:val="32"/>
          <w:szCs w:val="32"/>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（二）进一步提高绩效管理水平</w:t>
      </w:r>
    </w:p>
    <w:p>
      <w:pPr>
        <w:spacing w:line="600" w:lineRule="exact"/>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pPr>
      <w:r>
        <w:rPr>
          <w:rFonts w:hint="eastAsia" w:ascii="仿宋" w:hAnsi="仿宋" w:eastAsia="仿宋" w:cs="仿宋"/>
          <w:i w:val="0"/>
          <w:iCs w:val="0"/>
          <w:caps w:val="0"/>
          <w:color w:val="232323"/>
          <w:spacing w:val="0"/>
          <w:kern w:val="0"/>
          <w:sz w:val="32"/>
          <w:szCs w:val="32"/>
          <w:shd w:val="clear" w:color="auto" w:fill="FFFFFF"/>
          <w:lang w:val="en-US" w:eastAsia="zh-CN" w:bidi="ar"/>
        </w:rPr>
        <w:t>    加强预算执行的准确性，开展好支出绩效管理工作，运用好绩效评价结果，不断提升绩效管理水平</w:t>
      </w:r>
      <w:r>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t>。</w:t>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eastAsia="宋体" w:cs="宋体"/>
                <w:kern w:val="0"/>
                <w:sz w:val="24"/>
                <w:szCs w:val="24"/>
                <w:lang w:val="en-US" w:eastAsia="zh-CN"/>
              </w:rPr>
            </w:pPr>
          </w:p>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97</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leftChars="0" w:right="0" w:rightChars="0"/>
        <w:jc w:val="left"/>
        <w:textAlignment w:val="auto"/>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pPr>
    </w:p>
    <w:p>
      <w:pPr>
        <w:pStyle w:val="2"/>
        <w:numPr>
          <w:ilvl w:val="0"/>
          <w:numId w:val="0"/>
        </w:numPr>
        <w:ind w:left="420" w:leftChars="0"/>
        <w:rPr>
          <w:rFonts w:hint="eastAsia"/>
          <w:lang w:val="en-US" w:eastAsia="zh-CN"/>
        </w:rPr>
      </w:pPr>
    </w:p>
    <w:p>
      <w:pPr>
        <w:pStyle w:val="10"/>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01CED5"/>
    <w:multiLevelType w:val="singleLevel"/>
    <w:tmpl w:val="4E01CED5"/>
    <w:lvl w:ilvl="0" w:tentative="0">
      <w:start w:val="2"/>
      <w:numFmt w:val="chineseCounting"/>
      <w:suff w:val="nothing"/>
      <w:lvlText w:val="（%1）"/>
      <w:lvlJc w:val="left"/>
      <w:rPr>
        <w:rFonts w:hint="eastAsia"/>
      </w:rPr>
    </w:lvl>
  </w:abstractNum>
  <w:abstractNum w:abstractNumId="1">
    <w:nsid w:val="73B2B319"/>
    <w:multiLevelType w:val="singleLevel"/>
    <w:tmpl w:val="73B2B31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30F1DE7"/>
    <w:rsid w:val="05213482"/>
    <w:rsid w:val="058A0D93"/>
    <w:rsid w:val="09E17252"/>
    <w:rsid w:val="0D5E3707"/>
    <w:rsid w:val="11E84674"/>
    <w:rsid w:val="126C42B4"/>
    <w:rsid w:val="17042185"/>
    <w:rsid w:val="1F010C8F"/>
    <w:rsid w:val="20F63895"/>
    <w:rsid w:val="2110333D"/>
    <w:rsid w:val="242B5193"/>
    <w:rsid w:val="26166273"/>
    <w:rsid w:val="2B032004"/>
    <w:rsid w:val="2C7529D1"/>
    <w:rsid w:val="2D6C05C8"/>
    <w:rsid w:val="2EC14499"/>
    <w:rsid w:val="3523648D"/>
    <w:rsid w:val="3619015E"/>
    <w:rsid w:val="366F0F07"/>
    <w:rsid w:val="36E22B02"/>
    <w:rsid w:val="37A26170"/>
    <w:rsid w:val="39A72365"/>
    <w:rsid w:val="3B9303B2"/>
    <w:rsid w:val="3C8416D7"/>
    <w:rsid w:val="3FAB09ED"/>
    <w:rsid w:val="3FD60D87"/>
    <w:rsid w:val="44AF5D78"/>
    <w:rsid w:val="453E2E55"/>
    <w:rsid w:val="45833892"/>
    <w:rsid w:val="45CB4E15"/>
    <w:rsid w:val="4ACA7AAB"/>
    <w:rsid w:val="4B991F60"/>
    <w:rsid w:val="4D113C42"/>
    <w:rsid w:val="4E58558A"/>
    <w:rsid w:val="4F3501F1"/>
    <w:rsid w:val="5004364A"/>
    <w:rsid w:val="52C04276"/>
    <w:rsid w:val="53202F66"/>
    <w:rsid w:val="55C776C9"/>
    <w:rsid w:val="575435C3"/>
    <w:rsid w:val="587D0159"/>
    <w:rsid w:val="58CA4CA4"/>
    <w:rsid w:val="59A70B1E"/>
    <w:rsid w:val="59E60318"/>
    <w:rsid w:val="5B9A18F6"/>
    <w:rsid w:val="5CBC5F90"/>
    <w:rsid w:val="5E6D1153"/>
    <w:rsid w:val="5F83500A"/>
    <w:rsid w:val="60745B56"/>
    <w:rsid w:val="61367EF1"/>
    <w:rsid w:val="61E86AFB"/>
    <w:rsid w:val="641F097E"/>
    <w:rsid w:val="65236940"/>
    <w:rsid w:val="664A41B0"/>
    <w:rsid w:val="66D16D4F"/>
    <w:rsid w:val="66FE6113"/>
    <w:rsid w:val="6B874FA2"/>
    <w:rsid w:val="6FD52562"/>
    <w:rsid w:val="70514092"/>
    <w:rsid w:val="70852420"/>
    <w:rsid w:val="717F117A"/>
    <w:rsid w:val="73125FD0"/>
    <w:rsid w:val="76DC35F5"/>
    <w:rsid w:val="7832658D"/>
    <w:rsid w:val="79074D5F"/>
    <w:rsid w:val="7AF745AA"/>
    <w:rsid w:val="7B7D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adjustRightInd w:val="0"/>
      <w:snapToGrid w:val="0"/>
      <w:spacing w:after="0" w:line="660" w:lineRule="exact"/>
      <w:ind w:left="0" w:leftChars="0" w:firstLine="420" w:firstLineChars="200"/>
    </w:pPr>
    <w:rPr>
      <w:rFonts w:ascii="??_GB2312" w:eastAsia="Times New Roman"/>
      <w:kern w:val="0"/>
      <w:sz w:val="32"/>
      <w:szCs w:val="32"/>
    </w:rPr>
  </w:style>
  <w:style w:type="paragraph" w:styleId="3">
    <w:name w:val="Body Text Indent"/>
    <w:basedOn w:val="1"/>
    <w:semiHidden/>
    <w:unhideWhenUsed/>
    <w:qFormat/>
    <w:uiPriority w:val="99"/>
    <w:pPr>
      <w:spacing w:after="120"/>
      <w:ind w:left="420" w:leftChars="200"/>
    </w:pPr>
    <w:rPr>
      <w:szCs w:val="24"/>
    </w:rPr>
  </w:style>
  <w:style w:type="paragraph" w:styleId="5">
    <w:name w:val="Body Text"/>
    <w:basedOn w:val="1"/>
    <w:next w:val="6"/>
    <w:qFormat/>
    <w:uiPriority w:val="0"/>
  </w:style>
  <w:style w:type="paragraph" w:styleId="6">
    <w:name w:val="toc 5"/>
    <w:basedOn w:val="1"/>
    <w:next w:val="1"/>
    <w:qFormat/>
    <w:uiPriority w:val="0"/>
    <w:pPr>
      <w:ind w:left="1680" w:leftChars="800"/>
    </w:pPr>
    <w:rPr>
      <w:rFonts w:ascii="Times New Roman" w:hAnsi="Times New Roma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2023-12-13T09:35:38Z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940B8059199B4A289414AF523A65E0B0_13</vt:lpwstr>
  </property>
</Properties>
</file>