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eastAsia" w:ascii="宋体" w:hAnsi="宋体" w:eastAsia="宋体" w:cs="宋体"/>
          <w:color w:val="444444"/>
          <w:sz w:val="28"/>
          <w:szCs w:val="28"/>
          <w:shd w:val="clear" w:fill="FFFFFF"/>
        </w:rPr>
        <w:t> </w:t>
      </w:r>
      <w:r>
        <w:rPr>
          <w:rFonts w:hint="eastAsia" w:ascii="Times New Roman" w:hAnsi="Times New Roman" w:eastAsia="微软雅黑" w:cs="Times New Roman"/>
          <w:b/>
          <w:bCs/>
          <w:color w:val="444444"/>
          <w:sz w:val="28"/>
          <w:szCs w:val="28"/>
          <w:shd w:val="clear" w:fill="FFFFFF"/>
          <w:lang w:eastAsia="zh-CN"/>
        </w:rPr>
        <w:t>2021</w:t>
      </w:r>
      <w:r>
        <w:rPr>
          <w:rFonts w:hint="eastAsia" w:ascii="宋体" w:hAnsi="宋体" w:eastAsia="宋体" w:cs="宋体"/>
          <w:b/>
          <w:bCs/>
          <w:color w:val="444444"/>
          <w:sz w:val="28"/>
          <w:szCs w:val="28"/>
          <w:shd w:val="clear" w:fill="FFFFFF"/>
        </w:rPr>
        <w:t>年度</w:t>
      </w:r>
      <w:r>
        <w:rPr>
          <w:rFonts w:hint="eastAsia" w:ascii="宋体" w:hAnsi="宋体" w:eastAsia="宋体" w:cs="宋体"/>
          <w:b/>
          <w:bCs/>
          <w:color w:val="444444"/>
          <w:sz w:val="28"/>
          <w:szCs w:val="28"/>
          <w:shd w:val="clear" w:fill="FFFFFF"/>
          <w:lang w:eastAsia="zh-CN"/>
        </w:rPr>
        <w:t>北塔区征收办</w:t>
      </w:r>
      <w:r>
        <w:rPr>
          <w:rFonts w:hint="eastAsia" w:ascii="宋体" w:hAnsi="宋体" w:eastAsia="宋体" w:cs="宋体"/>
          <w:b/>
          <w:bCs/>
          <w:color w:val="444444"/>
          <w:sz w:val="28"/>
          <w:szCs w:val="28"/>
          <w:shd w:val="clear" w:fill="FFFFFF"/>
        </w:rPr>
        <w:t>部门整体支出绩效评价报告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30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一、部门概况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（一）基本情况。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1．主要职能。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right="0" w:firstLine="640" w:firstLineChars="20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kern w:val="2"/>
          <w:sz w:val="32"/>
          <w:szCs w:val="32"/>
          <w:lang w:val="en-US" w:eastAsia="zh-CN" w:bidi="ar"/>
        </w:rPr>
        <w:t>受北塔区人民政府委托承担本辖区内集体土地征收及国有、集体土地上房屋征收工作的实施、协调和管理。</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机构情况。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firstLine="640" w:firstLineChars="20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i w:val="0"/>
          <w:iCs w:val="0"/>
          <w:caps w:val="0"/>
          <w:color w:val="000000"/>
          <w:spacing w:val="0"/>
          <w:sz w:val="32"/>
          <w:szCs w:val="32"/>
        </w:rPr>
        <w:t>本部门共有编制人数8人，实有人数1</w:t>
      </w: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人，内设股室3个，分别为：办公室、征收一组、征收二组。</w:t>
      </w:r>
      <w:r>
        <w:rPr>
          <w:rFonts w:hint="eastAsia" w:ascii="仿宋" w:hAnsi="仿宋" w:eastAsia="仿宋" w:cs="仿宋"/>
          <w:bCs/>
          <w:kern w:val="0"/>
          <w:sz w:val="32"/>
          <w:szCs w:val="32"/>
          <w:lang w:eastAsia="zh-CN"/>
        </w:rPr>
        <w:t>无所属二级机构。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人员情况。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北塔区征收办</w:t>
      </w:r>
      <w:r>
        <w:rPr>
          <w:rFonts w:hint="eastAsia" w:ascii="仿宋" w:hAnsi="仿宋" w:eastAsia="仿宋" w:cs="仿宋"/>
          <w:sz w:val="32"/>
          <w:szCs w:val="32"/>
          <w:lang w:eastAsia="zh-CN"/>
        </w:rPr>
        <w:t>核定办公室主任</w:t>
      </w:r>
      <w:r>
        <w:rPr>
          <w:rFonts w:hint="eastAsia" w:ascii="仿宋" w:hAnsi="仿宋" w:eastAsia="仿宋" w:cs="仿宋"/>
          <w:sz w:val="32"/>
          <w:szCs w:val="32"/>
          <w:lang w:val="en-US" w:eastAsia="zh-CN"/>
        </w:rPr>
        <w:t>1名，副主任2名，事业编制人数8人，</w:t>
      </w:r>
      <w:r>
        <w:rPr>
          <w:rFonts w:hint="eastAsia" w:ascii="仿宋" w:hAnsi="仿宋" w:eastAsia="仿宋" w:cs="仿宋"/>
          <w:i w:val="0"/>
          <w:iCs w:val="0"/>
          <w:caps w:val="0"/>
          <w:color w:val="232323"/>
          <w:spacing w:val="0"/>
          <w:kern w:val="0"/>
          <w:sz w:val="32"/>
          <w:szCs w:val="32"/>
          <w:shd w:val="clear" w:color="auto" w:fill="FFFFFF"/>
          <w:lang w:val="en-US" w:eastAsia="zh-CN" w:bidi="ar"/>
        </w:rPr>
        <w:t>实际人数16人，离退休2人，遗属补助人数0人，小车编制数0台，实际无。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atLeast"/>
        <w:ind w:left="0" w:right="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二、部门整体支出管理及使用情况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atLeast"/>
        <w:ind w:left="0" w:right="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（一）基本支出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基本支出系保障</w:t>
      </w:r>
      <w:r>
        <w:rPr>
          <w:rFonts w:hint="eastAsia" w:ascii="仿宋" w:hAnsi="仿宋" w:eastAsia="仿宋" w:cs="仿宋"/>
          <w:color w:val="444444"/>
          <w:kern w:val="0"/>
          <w:sz w:val="32"/>
          <w:szCs w:val="32"/>
          <w:shd w:val="clear" w:fill="FFFFFF"/>
          <w:lang w:eastAsia="zh-CN"/>
        </w:rPr>
        <w:t>征收办</w:t>
      </w:r>
      <w:r>
        <w:rPr>
          <w:rFonts w:hint="eastAsia" w:ascii="仿宋" w:hAnsi="仿宋" w:eastAsia="仿宋" w:cs="仿宋"/>
          <w:color w:val="444444"/>
          <w:kern w:val="0"/>
          <w:sz w:val="32"/>
          <w:szCs w:val="32"/>
          <w:shd w:val="clear" w:fill="FFFFFF"/>
        </w:rPr>
        <w:t>机构正常运转、完成日常工作任务而发生的人员支出和公用支出，包括用于在职和离退休人员基本工资、津贴补贴等人员经费以及办公费、印刷费、水电费、办公设备购置等日常公用经费。</w:t>
      </w:r>
      <w:r>
        <w:rPr>
          <w:rFonts w:hint="eastAsia" w:ascii="仿宋" w:hAnsi="仿宋" w:eastAsia="仿宋" w:cs="仿宋"/>
          <w:color w:val="444444"/>
          <w:kern w:val="0"/>
          <w:sz w:val="32"/>
          <w:szCs w:val="32"/>
          <w:shd w:val="clear" w:fill="FFFFFF"/>
          <w:lang w:eastAsia="zh-CN"/>
        </w:rPr>
        <w:t>2021</w:t>
      </w:r>
      <w:r>
        <w:rPr>
          <w:rFonts w:hint="eastAsia" w:ascii="仿宋" w:hAnsi="仿宋" w:eastAsia="仿宋" w:cs="仿宋"/>
          <w:color w:val="444444"/>
          <w:kern w:val="0"/>
          <w:sz w:val="32"/>
          <w:szCs w:val="32"/>
          <w:shd w:val="clear" w:fill="FFFFFF"/>
        </w:rPr>
        <w:t>年</w:t>
      </w:r>
      <w:r>
        <w:rPr>
          <w:rFonts w:hint="eastAsia" w:ascii="仿宋" w:hAnsi="仿宋" w:eastAsia="仿宋" w:cs="仿宋"/>
          <w:color w:val="444444"/>
          <w:kern w:val="0"/>
          <w:sz w:val="32"/>
          <w:szCs w:val="32"/>
          <w:shd w:val="clear" w:fill="FFFFFF"/>
          <w:lang w:eastAsia="zh-CN"/>
        </w:rPr>
        <w:t>征收办</w:t>
      </w:r>
      <w:r>
        <w:rPr>
          <w:rFonts w:hint="eastAsia" w:ascii="仿宋" w:hAnsi="仿宋" w:eastAsia="仿宋" w:cs="仿宋"/>
          <w:color w:val="444444"/>
          <w:kern w:val="0"/>
          <w:sz w:val="32"/>
          <w:szCs w:val="32"/>
          <w:shd w:val="clear" w:fill="FFFFFF"/>
        </w:rPr>
        <w:t>基本支出</w:t>
      </w:r>
      <w:r>
        <w:rPr>
          <w:rFonts w:hint="eastAsia" w:ascii="仿宋" w:hAnsi="仿宋" w:eastAsia="仿宋" w:cs="仿宋"/>
          <w:color w:val="444444"/>
          <w:kern w:val="0"/>
          <w:sz w:val="32"/>
          <w:szCs w:val="32"/>
          <w:shd w:val="clear" w:fill="FFFFFF"/>
          <w:lang w:val="en-US" w:eastAsia="zh-CN"/>
        </w:rPr>
        <w:t>202.2</w:t>
      </w:r>
      <w:r>
        <w:rPr>
          <w:rFonts w:hint="eastAsia" w:ascii="仿宋" w:hAnsi="仿宋" w:eastAsia="仿宋" w:cs="仿宋"/>
          <w:color w:val="444444"/>
          <w:kern w:val="0"/>
          <w:sz w:val="32"/>
          <w:szCs w:val="32"/>
          <w:shd w:val="clear" w:fill="FFFFFF"/>
        </w:rPr>
        <w:t>万元，比上年同口径</w:t>
      </w:r>
      <w:r>
        <w:rPr>
          <w:rFonts w:hint="eastAsia" w:ascii="仿宋" w:hAnsi="仿宋" w:eastAsia="仿宋" w:cs="仿宋"/>
          <w:color w:val="444444"/>
          <w:kern w:val="0"/>
          <w:sz w:val="32"/>
          <w:szCs w:val="32"/>
          <w:shd w:val="clear" w:fill="FFFFFF"/>
          <w:lang w:eastAsia="zh-CN"/>
        </w:rPr>
        <w:t>减少</w:t>
      </w:r>
      <w:r>
        <w:rPr>
          <w:rFonts w:hint="eastAsia" w:ascii="仿宋" w:hAnsi="仿宋" w:eastAsia="仿宋" w:cs="仿宋"/>
          <w:color w:val="444444"/>
          <w:kern w:val="0"/>
          <w:sz w:val="32"/>
          <w:szCs w:val="32"/>
          <w:shd w:val="clear" w:fill="FFFFFF"/>
          <w:lang w:val="en-US" w:eastAsia="zh-CN"/>
        </w:rPr>
        <w:t>394</w:t>
      </w:r>
      <w:r>
        <w:rPr>
          <w:rFonts w:hint="eastAsia" w:ascii="仿宋" w:hAnsi="仿宋" w:eastAsia="仿宋" w:cs="仿宋"/>
          <w:color w:val="444444"/>
          <w:kern w:val="0"/>
          <w:sz w:val="32"/>
          <w:szCs w:val="32"/>
          <w:shd w:val="clear" w:fill="FFFFFF"/>
        </w:rPr>
        <w:t>万元，</w:t>
      </w:r>
      <w:bookmarkStart w:id="1" w:name="_GoBack"/>
      <w:bookmarkEnd w:id="1"/>
      <w:r>
        <w:rPr>
          <w:rFonts w:hint="eastAsia" w:ascii="仿宋" w:hAnsi="仿宋" w:eastAsia="仿宋" w:cs="仿宋"/>
          <w:color w:val="444444"/>
          <w:kern w:val="0"/>
          <w:sz w:val="32"/>
          <w:szCs w:val="32"/>
          <w:shd w:val="clear" w:fill="FFFFFF"/>
          <w:lang w:eastAsia="zh-CN"/>
        </w:rPr>
        <w:t>减少</w:t>
      </w:r>
      <w:r>
        <w:rPr>
          <w:rFonts w:hint="eastAsia" w:ascii="仿宋" w:hAnsi="仿宋" w:eastAsia="仿宋" w:cs="仿宋"/>
          <w:color w:val="444444"/>
          <w:kern w:val="0"/>
          <w:sz w:val="32"/>
          <w:szCs w:val="32"/>
          <w:shd w:val="clear" w:fill="FFFFFF"/>
          <w:lang w:val="en-US" w:eastAsia="zh-CN"/>
        </w:rPr>
        <w:t>66.09</w:t>
      </w:r>
      <w:r>
        <w:rPr>
          <w:rFonts w:hint="eastAsia" w:ascii="仿宋" w:hAnsi="仿宋" w:eastAsia="仿宋" w:cs="仿宋"/>
          <w:color w:val="444444"/>
          <w:kern w:val="0"/>
          <w:sz w:val="32"/>
          <w:szCs w:val="32"/>
          <w:shd w:val="clear" w:fill="FFFFFF"/>
        </w:rPr>
        <w:t>%。其中：工资福利支出</w:t>
      </w:r>
      <w:r>
        <w:rPr>
          <w:rFonts w:hint="eastAsia" w:ascii="仿宋" w:hAnsi="仿宋" w:eastAsia="仿宋" w:cs="仿宋"/>
          <w:color w:val="444444"/>
          <w:kern w:val="0"/>
          <w:sz w:val="32"/>
          <w:szCs w:val="32"/>
          <w:shd w:val="clear" w:fill="FFFFFF"/>
          <w:lang w:val="en-US" w:eastAsia="zh-CN"/>
        </w:rPr>
        <w:t>151.51</w:t>
      </w:r>
      <w:r>
        <w:rPr>
          <w:rFonts w:hint="eastAsia" w:ascii="仿宋" w:hAnsi="仿宋" w:eastAsia="仿宋" w:cs="仿宋"/>
          <w:color w:val="444444"/>
          <w:kern w:val="0"/>
          <w:sz w:val="32"/>
          <w:szCs w:val="32"/>
          <w:shd w:val="clear" w:fill="FFFFFF"/>
        </w:rPr>
        <w:t>万元，商品和服务支出</w:t>
      </w:r>
      <w:r>
        <w:rPr>
          <w:rFonts w:hint="eastAsia" w:ascii="仿宋" w:hAnsi="仿宋" w:eastAsia="仿宋" w:cs="仿宋"/>
          <w:color w:val="444444"/>
          <w:kern w:val="0"/>
          <w:sz w:val="32"/>
          <w:szCs w:val="32"/>
          <w:shd w:val="clear" w:fill="FFFFFF"/>
          <w:lang w:val="en-US" w:eastAsia="zh-CN"/>
        </w:rPr>
        <w:t>50.69</w:t>
      </w:r>
      <w:r>
        <w:rPr>
          <w:rFonts w:hint="eastAsia" w:ascii="仿宋" w:hAnsi="仿宋" w:eastAsia="仿宋" w:cs="仿宋"/>
          <w:color w:val="444444"/>
          <w:kern w:val="0"/>
          <w:sz w:val="32"/>
          <w:szCs w:val="32"/>
          <w:shd w:val="clear" w:fill="FFFFFF"/>
        </w:rPr>
        <w:t>万元，对个人和家庭的补助</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万元，资本性支出</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left="0" w:right="0" w:firstLine="640" w:firstLineChars="200"/>
        <w:jc w:val="left"/>
        <w:textAlignment w:val="auto"/>
        <w:rPr>
          <w:rFonts w:hint="eastAsia" w:ascii="仿宋" w:hAnsi="仿宋" w:eastAsia="仿宋" w:cs="仿宋"/>
          <w:color w:val="444444"/>
          <w:kern w:val="0"/>
          <w:sz w:val="32"/>
          <w:szCs w:val="32"/>
          <w:shd w:val="clear" w:fill="FFFFFF"/>
          <w:lang w:val="en-US" w:eastAsia="zh-CN"/>
        </w:rPr>
      </w:pPr>
      <w:r>
        <w:rPr>
          <w:rFonts w:hint="eastAsia" w:ascii="仿宋" w:hAnsi="仿宋" w:eastAsia="仿宋" w:cs="仿宋"/>
          <w:color w:val="444444"/>
          <w:kern w:val="0"/>
          <w:sz w:val="32"/>
          <w:szCs w:val="32"/>
          <w:shd w:val="clear" w:fill="FFFFFF"/>
          <w:lang w:eastAsia="zh-CN"/>
        </w:rPr>
        <w:t>2021</w:t>
      </w:r>
      <w:r>
        <w:rPr>
          <w:rFonts w:hint="eastAsia" w:ascii="仿宋" w:hAnsi="仿宋" w:eastAsia="仿宋" w:cs="仿宋"/>
          <w:color w:val="444444"/>
          <w:kern w:val="0"/>
          <w:sz w:val="32"/>
          <w:szCs w:val="32"/>
          <w:shd w:val="clear" w:fill="FFFFFF"/>
        </w:rPr>
        <w:t>年“三公”经费实际开支总额</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万元。其中：因公出国（境）费支出本年未发生。公务用车购置及运行维护费实际开支</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万元（公务用车购置费未发生，公务用车运行维护费</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万元），公务用车保有量</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辆；公务接待费实际开支</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万元，公务接待</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批次</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人次。</w:t>
      </w:r>
      <w:r>
        <w:rPr>
          <w:rFonts w:hint="eastAsia" w:ascii="仿宋" w:hAnsi="仿宋" w:eastAsia="仿宋" w:cs="仿宋"/>
          <w:color w:val="444444"/>
          <w:kern w:val="0"/>
          <w:sz w:val="32"/>
          <w:szCs w:val="32"/>
          <w:shd w:val="clear" w:fill="FFFFFF"/>
          <w:lang w:eastAsia="zh-CN"/>
        </w:rPr>
        <w:t>2021</w:t>
      </w:r>
      <w:r>
        <w:rPr>
          <w:rFonts w:hint="eastAsia" w:ascii="仿宋" w:hAnsi="仿宋" w:eastAsia="仿宋" w:cs="仿宋"/>
          <w:color w:val="444444"/>
          <w:kern w:val="0"/>
          <w:sz w:val="32"/>
          <w:szCs w:val="32"/>
          <w:shd w:val="clear" w:fill="FFFFFF"/>
        </w:rPr>
        <w:t>年“三公”经费实际开支总额</w:t>
      </w:r>
      <w:r>
        <w:rPr>
          <w:rFonts w:hint="eastAsia" w:ascii="仿宋" w:hAnsi="仿宋" w:eastAsia="仿宋" w:cs="仿宋"/>
          <w:color w:val="444444"/>
          <w:kern w:val="0"/>
          <w:sz w:val="32"/>
          <w:szCs w:val="32"/>
          <w:shd w:val="clear" w:fill="FFFFFF"/>
          <w:lang w:eastAsia="zh-CN"/>
        </w:rPr>
        <w:t>与</w:t>
      </w:r>
      <w:r>
        <w:rPr>
          <w:rFonts w:hint="eastAsia" w:ascii="仿宋" w:hAnsi="仿宋" w:eastAsia="仿宋" w:cs="仿宋"/>
          <w:color w:val="444444"/>
          <w:kern w:val="0"/>
          <w:sz w:val="32"/>
          <w:szCs w:val="32"/>
          <w:shd w:val="clear" w:fill="FFFFFF"/>
        </w:rPr>
        <w:t>20</w:t>
      </w:r>
      <w:r>
        <w:rPr>
          <w:rFonts w:hint="eastAsia" w:ascii="仿宋" w:hAnsi="仿宋" w:eastAsia="仿宋" w:cs="仿宋"/>
          <w:color w:val="444444"/>
          <w:kern w:val="0"/>
          <w:sz w:val="32"/>
          <w:szCs w:val="32"/>
          <w:shd w:val="clear" w:fill="FFFFFF"/>
          <w:lang w:val="en-US" w:eastAsia="zh-CN"/>
        </w:rPr>
        <w:t>20</w:t>
      </w:r>
      <w:r>
        <w:rPr>
          <w:rFonts w:hint="eastAsia" w:ascii="仿宋" w:hAnsi="仿宋" w:eastAsia="仿宋" w:cs="仿宋"/>
          <w:color w:val="444444"/>
          <w:kern w:val="0"/>
          <w:sz w:val="32"/>
          <w:szCs w:val="32"/>
          <w:shd w:val="clear" w:fill="FFFFFF"/>
        </w:rPr>
        <w:t>同口径</w:t>
      </w:r>
      <w:r>
        <w:rPr>
          <w:rFonts w:hint="eastAsia" w:ascii="仿宋" w:hAnsi="仿宋" w:eastAsia="仿宋" w:cs="仿宋"/>
          <w:color w:val="444444"/>
          <w:kern w:val="0"/>
          <w:sz w:val="32"/>
          <w:szCs w:val="32"/>
          <w:shd w:val="clear" w:fill="FFFFFF"/>
          <w:lang w:eastAsia="zh-CN"/>
        </w:rPr>
        <w:t>相等</w:t>
      </w:r>
      <w:r>
        <w:rPr>
          <w:rFonts w:hint="eastAsia" w:ascii="仿宋" w:hAnsi="仿宋" w:eastAsia="仿宋" w:cs="仿宋"/>
          <w:color w:val="444444"/>
          <w:kern w:val="0"/>
          <w:sz w:val="32"/>
          <w:szCs w:val="32"/>
          <w:shd w:val="clear" w:fill="FFFFFF"/>
          <w:lang w:val="en-US" w:eastAsia="zh-CN"/>
        </w:rPr>
        <w:t xml:space="preserve">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left="0" w:right="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专项支出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xml:space="preserve">    </w:t>
      </w:r>
      <w:r>
        <w:rPr>
          <w:rFonts w:hint="eastAsia" w:ascii="仿宋" w:hAnsi="仿宋" w:eastAsia="仿宋" w:cs="仿宋"/>
          <w:i w:val="0"/>
          <w:iCs w:val="0"/>
          <w:caps w:val="0"/>
          <w:color w:val="232323"/>
          <w:spacing w:val="0"/>
          <w:kern w:val="0"/>
          <w:sz w:val="32"/>
          <w:szCs w:val="32"/>
          <w:shd w:val="clear" w:color="auto" w:fill="FFFFFF"/>
          <w:lang w:val="en-US" w:eastAsia="zh-CN" w:bidi="ar"/>
        </w:rPr>
        <w:t xml:space="preserve"> 2021年，征收办项目支出0万元，按支出经济分类：其中商品和服务支出0万元，占项目支出的0%；对个人家庭补助支出0万元，占项目支出的0%；资本性支出0万元，占项目支出的0%。按支出功能（项目）分类：其中一般公共服务支出0万元，城乡社区支出0万元，农林水支出0万元，住房保障支出0万元，其他支出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right="0" w:rightChars="0"/>
        <w:jc w:val="left"/>
        <w:textAlignment w:val="auto"/>
        <w:rPr>
          <w:rFonts w:hint="eastAsia" w:ascii="仿宋" w:hAnsi="仿宋" w:eastAsia="仿宋" w:cs="仿宋"/>
          <w:sz w:val="32"/>
          <w:szCs w:val="32"/>
        </w:rPr>
      </w:pPr>
      <w:r>
        <w:rPr>
          <w:rFonts w:hint="eastAsia" w:ascii="仿宋" w:hAnsi="仿宋" w:eastAsia="仿宋" w:cs="仿宋"/>
          <w:i w:val="0"/>
          <w:iCs w:val="0"/>
          <w:caps w:val="0"/>
          <w:color w:val="232323"/>
          <w:spacing w:val="0"/>
          <w:kern w:val="0"/>
          <w:sz w:val="32"/>
          <w:szCs w:val="32"/>
          <w:shd w:val="clear" w:color="auto" w:fill="FFFFFF"/>
          <w:lang w:val="en-US" w:eastAsia="zh-CN" w:bidi="ar"/>
        </w:rPr>
        <w:t xml:space="preserve"> </w:t>
      </w:r>
      <w:r>
        <w:rPr>
          <w:rFonts w:hint="eastAsia" w:ascii="仿宋" w:hAnsi="仿宋" w:eastAsia="仿宋" w:cs="仿宋"/>
          <w:color w:val="444444"/>
          <w:kern w:val="0"/>
          <w:sz w:val="32"/>
          <w:szCs w:val="32"/>
          <w:shd w:val="clear" w:fill="FFFFFF"/>
        </w:rPr>
        <w:t>三、资产管理情况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资产管理由办公室负责，资产采购按程序实行报批采购，统一在政采云平台下单，采购后登记入账，录入资产信息系统，再派发到相关科室。一是我单位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300" w:afterAutospacing="0" w:line="60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截至</w:t>
      </w:r>
      <w:r>
        <w:rPr>
          <w:rFonts w:hint="eastAsia" w:ascii="仿宋" w:hAnsi="仿宋" w:eastAsia="仿宋" w:cs="仿宋"/>
          <w:color w:val="444444"/>
          <w:kern w:val="0"/>
          <w:sz w:val="32"/>
          <w:szCs w:val="32"/>
          <w:shd w:val="clear" w:fill="FFFFFF"/>
          <w:lang w:eastAsia="zh-CN"/>
        </w:rPr>
        <w:t>202</w:t>
      </w:r>
      <w:r>
        <w:rPr>
          <w:rFonts w:hint="eastAsia" w:ascii="仿宋" w:hAnsi="仿宋" w:eastAsia="仿宋" w:cs="仿宋"/>
          <w:color w:val="444444"/>
          <w:kern w:val="0"/>
          <w:sz w:val="32"/>
          <w:szCs w:val="32"/>
          <w:shd w:val="clear" w:fill="FFFFFF"/>
          <w:lang w:val="en-US" w:eastAsia="zh-CN"/>
        </w:rPr>
        <w:t>1</w:t>
      </w:r>
      <w:r>
        <w:rPr>
          <w:rFonts w:hint="eastAsia" w:ascii="仿宋" w:hAnsi="仿宋" w:eastAsia="仿宋" w:cs="仿宋"/>
          <w:color w:val="444444"/>
          <w:kern w:val="0"/>
          <w:sz w:val="32"/>
          <w:szCs w:val="32"/>
          <w:shd w:val="clear" w:fill="FFFFFF"/>
        </w:rPr>
        <w:t>年12月31日，</w:t>
      </w:r>
      <w:r>
        <w:rPr>
          <w:rFonts w:hint="eastAsia" w:ascii="仿宋" w:hAnsi="仿宋" w:eastAsia="仿宋" w:cs="仿宋"/>
          <w:color w:val="444444"/>
          <w:kern w:val="0"/>
          <w:sz w:val="32"/>
          <w:szCs w:val="32"/>
          <w:shd w:val="clear" w:fill="FFFFFF"/>
          <w:lang w:val="en-US" w:eastAsia="zh-CN"/>
        </w:rPr>
        <w:t>北塔区征收办</w:t>
      </w:r>
      <w:r>
        <w:rPr>
          <w:rFonts w:hint="eastAsia" w:ascii="仿宋" w:hAnsi="仿宋" w:eastAsia="仿宋" w:cs="仿宋"/>
          <w:color w:val="444444"/>
          <w:kern w:val="0"/>
          <w:sz w:val="32"/>
          <w:szCs w:val="32"/>
          <w:shd w:val="clear" w:fill="FFFFFF"/>
        </w:rPr>
        <w:t>资产总额为</w:t>
      </w:r>
      <w:r>
        <w:rPr>
          <w:rFonts w:hint="eastAsia" w:ascii="仿宋" w:hAnsi="仿宋" w:eastAsia="仿宋" w:cs="仿宋"/>
          <w:color w:val="444444"/>
          <w:kern w:val="0"/>
          <w:sz w:val="32"/>
          <w:szCs w:val="32"/>
          <w:shd w:val="clear" w:fill="FFFFFF"/>
          <w:lang w:val="en-US" w:eastAsia="zh-CN"/>
        </w:rPr>
        <w:t>6.87</w:t>
      </w:r>
      <w:r>
        <w:rPr>
          <w:rFonts w:hint="eastAsia" w:ascii="仿宋" w:hAnsi="仿宋" w:eastAsia="仿宋" w:cs="仿宋"/>
          <w:color w:val="444444"/>
          <w:kern w:val="0"/>
          <w:sz w:val="32"/>
          <w:szCs w:val="32"/>
          <w:shd w:val="clear" w:fill="FFFFFF"/>
        </w:rPr>
        <w:t>万元，主要由以下部分构成：流动资产</w:t>
      </w:r>
      <w:r>
        <w:rPr>
          <w:rFonts w:hint="eastAsia" w:ascii="仿宋" w:hAnsi="仿宋" w:eastAsia="仿宋" w:cs="仿宋"/>
          <w:color w:val="444444"/>
          <w:kern w:val="0"/>
          <w:sz w:val="32"/>
          <w:szCs w:val="32"/>
          <w:shd w:val="clear" w:fill="FFFFFF"/>
          <w:lang w:val="en-US" w:eastAsia="zh-CN"/>
        </w:rPr>
        <w:t>1.1</w:t>
      </w:r>
      <w:r>
        <w:rPr>
          <w:rFonts w:hint="eastAsia" w:ascii="仿宋" w:hAnsi="仿宋" w:eastAsia="仿宋" w:cs="仿宋"/>
          <w:color w:val="444444"/>
          <w:kern w:val="0"/>
          <w:sz w:val="32"/>
          <w:szCs w:val="32"/>
          <w:shd w:val="clear" w:fill="FFFFFF"/>
        </w:rPr>
        <w:t>万元,占资产总额的</w:t>
      </w:r>
      <w:r>
        <w:rPr>
          <w:rFonts w:hint="eastAsia" w:ascii="仿宋" w:hAnsi="仿宋" w:eastAsia="仿宋" w:cs="仿宋"/>
          <w:color w:val="444444"/>
          <w:kern w:val="0"/>
          <w:sz w:val="32"/>
          <w:szCs w:val="32"/>
          <w:shd w:val="clear" w:fill="FFFFFF"/>
          <w:lang w:val="en-US" w:eastAsia="zh-CN"/>
        </w:rPr>
        <w:t>16</w:t>
      </w:r>
      <w:r>
        <w:rPr>
          <w:rFonts w:hint="eastAsia" w:ascii="仿宋" w:hAnsi="仿宋" w:eastAsia="仿宋" w:cs="仿宋"/>
          <w:color w:val="444444"/>
          <w:kern w:val="0"/>
          <w:sz w:val="32"/>
          <w:szCs w:val="32"/>
          <w:shd w:val="clear" w:fill="FFFFFF"/>
        </w:rPr>
        <w:t>%,主要为其他应收款等;固定资产</w:t>
      </w:r>
      <w:r>
        <w:rPr>
          <w:rFonts w:hint="eastAsia" w:ascii="仿宋" w:hAnsi="仿宋" w:eastAsia="仿宋" w:cs="仿宋"/>
          <w:color w:val="444444"/>
          <w:kern w:val="0"/>
          <w:sz w:val="32"/>
          <w:szCs w:val="32"/>
          <w:shd w:val="clear" w:fill="FFFFFF"/>
          <w:lang w:val="en-US" w:eastAsia="zh-CN"/>
        </w:rPr>
        <w:t>5.78</w:t>
      </w:r>
      <w:r>
        <w:rPr>
          <w:rFonts w:hint="eastAsia" w:ascii="仿宋" w:hAnsi="仿宋" w:eastAsia="仿宋" w:cs="仿宋"/>
          <w:color w:val="444444"/>
          <w:kern w:val="0"/>
          <w:sz w:val="32"/>
          <w:szCs w:val="32"/>
          <w:shd w:val="clear" w:fill="FFFFFF"/>
        </w:rPr>
        <w:t>万元,占资产总额的</w:t>
      </w:r>
      <w:r>
        <w:rPr>
          <w:rFonts w:hint="eastAsia" w:ascii="仿宋" w:hAnsi="仿宋" w:eastAsia="仿宋" w:cs="仿宋"/>
          <w:color w:val="444444"/>
          <w:kern w:val="0"/>
          <w:sz w:val="32"/>
          <w:szCs w:val="32"/>
          <w:shd w:val="clear" w:fill="FFFFFF"/>
          <w:lang w:val="en-US" w:eastAsia="zh-CN"/>
        </w:rPr>
        <w:t>84</w:t>
      </w:r>
      <w:r>
        <w:rPr>
          <w:rFonts w:hint="eastAsia" w:ascii="仿宋" w:hAnsi="仿宋" w:eastAsia="仿宋" w:cs="仿宋"/>
          <w:color w:val="444444"/>
          <w:kern w:val="0"/>
          <w:sz w:val="32"/>
          <w:szCs w:val="32"/>
          <w:shd w:val="clear" w:fill="FFFFFF"/>
        </w:rPr>
        <w:t>%，主要包括房屋、公务用车、办公设备等。</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0" w:right="0"/>
        <w:jc w:val="left"/>
        <w:textAlignment w:val="auto"/>
        <w:rPr>
          <w:rFonts w:hint="default" w:eastAsia="宋体"/>
          <w:lang w:val="en-US" w:eastAsia="zh-CN"/>
        </w:rPr>
      </w:pPr>
      <w:r>
        <w:rPr>
          <w:rFonts w:hint="eastAsia" w:ascii="仿宋" w:hAnsi="仿宋" w:eastAsia="仿宋" w:cs="仿宋"/>
          <w:color w:val="444444"/>
          <w:kern w:val="0"/>
          <w:sz w:val="32"/>
          <w:szCs w:val="32"/>
          <w:shd w:val="clear" w:fill="FFFFFF"/>
        </w:rPr>
        <w:t>部门整体支出绩效情况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640" w:firstLineChars="200"/>
        <w:jc w:val="left"/>
        <w:textAlignment w:val="auto"/>
        <w:rPr>
          <w:rFonts w:hint="default" w:eastAsia="宋体"/>
          <w:lang w:val="en-US" w:eastAsia="zh-CN"/>
        </w:rPr>
      </w:pPr>
      <w:r>
        <w:rPr>
          <w:rFonts w:hint="eastAsia" w:ascii="仿宋" w:hAnsi="仿宋" w:eastAsia="仿宋" w:cs="仿宋"/>
          <w:color w:val="444444"/>
          <w:kern w:val="0"/>
          <w:sz w:val="32"/>
          <w:szCs w:val="32"/>
          <w:shd w:val="clear" w:fill="FFFFFF"/>
          <w:lang w:eastAsia="zh-CN"/>
        </w:rPr>
        <w:t>2021</w:t>
      </w:r>
      <w:r>
        <w:rPr>
          <w:rFonts w:hint="eastAsia" w:ascii="仿宋" w:hAnsi="仿宋" w:eastAsia="仿宋" w:cs="仿宋"/>
          <w:color w:val="444444"/>
          <w:kern w:val="0"/>
          <w:sz w:val="32"/>
          <w:szCs w:val="32"/>
          <w:shd w:val="clear" w:fill="FFFFFF"/>
        </w:rPr>
        <w:t>年，</w:t>
      </w:r>
      <w:r>
        <w:rPr>
          <w:rFonts w:hint="eastAsia" w:ascii="仿宋" w:hAnsi="仿宋" w:eastAsia="仿宋" w:cs="仿宋"/>
          <w:color w:val="444444"/>
          <w:kern w:val="0"/>
          <w:sz w:val="32"/>
          <w:szCs w:val="32"/>
          <w:shd w:val="clear" w:fill="FFFFFF"/>
          <w:lang w:eastAsia="zh-CN"/>
        </w:rPr>
        <w:t>单位</w:t>
      </w:r>
      <w:r>
        <w:rPr>
          <w:rFonts w:hint="eastAsia" w:ascii="仿宋" w:hAnsi="仿宋" w:eastAsia="仿宋" w:cs="仿宋"/>
          <w:color w:val="444444"/>
          <w:kern w:val="0"/>
          <w:sz w:val="32"/>
          <w:szCs w:val="32"/>
          <w:shd w:val="clear" w:fill="FFFFFF"/>
        </w:rPr>
        <w:t>充分履行职责职能，严格执行各项管理制度，经济、社会等效益显著、社会公众满意度上升，较好地完成了全年工作</w:t>
      </w:r>
      <w:r>
        <w:rPr>
          <w:rFonts w:hint="eastAsia" w:ascii="宋体" w:hAnsi="宋体" w:eastAsia="宋体" w:cs="宋体"/>
          <w:color w:val="444444"/>
          <w:kern w:val="0"/>
          <w:sz w:val="28"/>
          <w:szCs w:val="28"/>
          <w:shd w:val="clear" w:fill="FFFFFF"/>
        </w:rPr>
        <w:t>目标。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color w:val="444444"/>
          <w:kern w:val="0"/>
          <w:sz w:val="32"/>
          <w:szCs w:val="32"/>
          <w:shd w:val="clear" w:fill="FFFFFF"/>
          <w:lang w:val="en-US" w:eastAsia="zh-CN"/>
        </w:rPr>
      </w:pPr>
      <w:r>
        <w:rPr>
          <w:rFonts w:hint="eastAsia" w:ascii="仿宋" w:hAnsi="仿宋" w:eastAsia="仿宋" w:cs="仿宋"/>
          <w:i w:val="0"/>
          <w:iCs w:val="0"/>
          <w:caps w:val="0"/>
          <w:color w:val="232323"/>
          <w:spacing w:val="0"/>
          <w:kern w:val="0"/>
          <w:sz w:val="32"/>
          <w:szCs w:val="32"/>
          <w:shd w:val="clear" w:color="auto" w:fill="FFFFFF"/>
          <w:lang w:val="en-US" w:eastAsia="zh-CN" w:bidi="ar"/>
        </w:rPr>
        <w:t>1.预算执行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320" w:firstLineChars="1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北塔区政府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2.预算管理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为规范机关财务管理，建立健全财务管理制度，征收办制订了《北塔区征收办财务管理办法》、《北塔区征收办财务内控制度（试行）》、《北塔区征收办财务集中会审实施办法》等一系列合法合规、较为完整的、具有很强的可操作性财务管理制度。坚持经费预算科学化、精细化，执行控制规范化、责任化，监督检查常态化、同步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320" w:firstLineChars="1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xml:space="preserve"> 资金的支付符合国家财经法规和财务管理制度规定，以及有关专项资金管理办法的规定；资金拨付有完整的审批程序和手续；支出符合部门预算批复的用途；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3.提升支出绩效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2021年，征收办全面落实省委、省政府和市委、市政府及区政府的工作部署，</w:t>
      </w:r>
      <w:r>
        <w:rPr>
          <w:rFonts w:hint="eastAsia" w:ascii="仿宋" w:hAnsi="仿宋" w:eastAsia="仿宋" w:cs="仿宋"/>
          <w:sz w:val="32"/>
          <w:szCs w:val="32"/>
          <w:lang w:eastAsia="zh-CN"/>
        </w:rPr>
        <w:t>紧紧围绕全年工作目标</w:t>
      </w:r>
      <w:r>
        <w:rPr>
          <w:rFonts w:hint="eastAsia" w:ascii="仿宋" w:hAnsi="仿宋" w:eastAsia="仿宋" w:cs="仿宋"/>
          <w:i w:val="0"/>
          <w:caps w:val="0"/>
          <w:color w:val="auto"/>
          <w:spacing w:val="0"/>
          <w:kern w:val="0"/>
          <w:sz w:val="32"/>
          <w:szCs w:val="32"/>
          <w:vertAlign w:val="baseline"/>
          <w:lang w:val="en-US" w:eastAsia="zh-CN"/>
        </w:rPr>
        <w:t>，</w:t>
      </w:r>
      <w:r>
        <w:rPr>
          <w:rFonts w:hint="eastAsia" w:ascii="仿宋" w:hAnsi="仿宋" w:eastAsia="仿宋" w:cs="仿宋"/>
          <w:b w:val="0"/>
          <w:bCs w:val="0"/>
          <w:sz w:val="32"/>
          <w:szCs w:val="32"/>
          <w:lang w:val="en-US" w:eastAsia="zh-CN"/>
        </w:rPr>
        <w:t>科学谋划，开拓进取，</w:t>
      </w:r>
      <w:r>
        <w:rPr>
          <w:rFonts w:hint="eastAsia" w:ascii="仿宋" w:hAnsi="仿宋" w:eastAsia="仿宋" w:cs="仿宋"/>
          <w:i w:val="0"/>
          <w:iCs w:val="0"/>
          <w:caps w:val="0"/>
          <w:color w:val="232323"/>
          <w:spacing w:val="0"/>
          <w:kern w:val="0"/>
          <w:sz w:val="32"/>
          <w:szCs w:val="32"/>
          <w:shd w:val="clear" w:color="auto" w:fill="FFFFFF"/>
          <w:lang w:val="en-US" w:eastAsia="zh-CN" w:bidi="ar"/>
        </w:rPr>
        <w:t>各项工作任务全面完成，财务管理规范，单位行政运行稳定有序。</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left="0" w:right="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综合评价情况及评价结论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lang w:eastAsia="zh-CN"/>
        </w:rPr>
        <w:t>2021</w:t>
      </w:r>
      <w:r>
        <w:rPr>
          <w:rFonts w:hint="eastAsia" w:ascii="仿宋" w:hAnsi="仿宋" w:eastAsia="仿宋" w:cs="仿宋"/>
          <w:color w:val="444444"/>
          <w:kern w:val="0"/>
          <w:sz w:val="32"/>
          <w:szCs w:val="32"/>
          <w:shd w:val="clear" w:fill="FFFFFF"/>
        </w:rPr>
        <w:t>年</w:t>
      </w:r>
      <w:r>
        <w:rPr>
          <w:rFonts w:hint="eastAsia" w:ascii="仿宋" w:hAnsi="仿宋" w:eastAsia="仿宋" w:cs="仿宋"/>
          <w:color w:val="444444"/>
          <w:kern w:val="0"/>
          <w:sz w:val="32"/>
          <w:szCs w:val="32"/>
          <w:shd w:val="clear" w:fill="FFFFFF"/>
          <w:lang w:eastAsia="zh-CN"/>
        </w:rPr>
        <w:t>征收办</w:t>
      </w:r>
      <w:r>
        <w:rPr>
          <w:rFonts w:hint="eastAsia" w:ascii="仿宋" w:hAnsi="仿宋" w:eastAsia="仿宋" w:cs="仿宋"/>
          <w:color w:val="444444"/>
          <w:kern w:val="0"/>
          <w:sz w:val="32"/>
          <w:szCs w:val="32"/>
          <w:shd w:val="clear"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w:t>
      </w:r>
      <w:r>
        <w:rPr>
          <w:rFonts w:hint="eastAsia" w:ascii="仿宋" w:hAnsi="仿宋" w:eastAsia="仿宋" w:cs="仿宋"/>
          <w:color w:val="444444"/>
          <w:kern w:val="0"/>
          <w:sz w:val="32"/>
          <w:szCs w:val="32"/>
          <w:shd w:val="clear" w:fill="FFFFFF"/>
          <w:lang w:eastAsia="zh-CN"/>
        </w:rPr>
        <w:t>征收办</w:t>
      </w:r>
      <w:r>
        <w:rPr>
          <w:rFonts w:hint="eastAsia" w:ascii="仿宋" w:hAnsi="仿宋" w:eastAsia="仿宋" w:cs="仿宋"/>
          <w:color w:val="444444"/>
          <w:kern w:val="0"/>
          <w:sz w:val="32"/>
          <w:szCs w:val="32"/>
          <w:shd w:val="clear" w:fill="FFFFFF"/>
        </w:rPr>
        <w:t>整体支出绩效自评</w:t>
      </w:r>
      <w:r>
        <w:rPr>
          <w:rFonts w:hint="eastAsia" w:ascii="仿宋" w:hAnsi="仿宋" w:eastAsia="仿宋" w:cs="仿宋"/>
          <w:color w:val="444444"/>
          <w:kern w:val="0"/>
          <w:sz w:val="32"/>
          <w:szCs w:val="32"/>
          <w:shd w:val="clear" w:fill="FFFFFF"/>
          <w:lang w:val="en-US" w:eastAsia="zh-CN"/>
        </w:rPr>
        <w:t>97</w:t>
      </w:r>
      <w:r>
        <w:rPr>
          <w:rFonts w:hint="eastAsia" w:ascii="仿宋" w:hAnsi="仿宋" w:eastAsia="仿宋" w:cs="仿宋"/>
          <w:color w:val="444444"/>
          <w:kern w:val="0"/>
          <w:sz w:val="32"/>
          <w:szCs w:val="32"/>
          <w:shd w:val="clear" w:fill="FFFFFF"/>
        </w:rPr>
        <w:t>分，自评</w:t>
      </w:r>
      <w:r>
        <w:rPr>
          <w:rFonts w:hint="eastAsia" w:ascii="仿宋" w:hAnsi="仿宋" w:eastAsia="仿宋" w:cs="仿宋"/>
          <w:color w:val="444444"/>
          <w:kern w:val="0"/>
          <w:sz w:val="32"/>
          <w:szCs w:val="32"/>
          <w:shd w:val="clear" w:fill="FFFFFF"/>
          <w:lang w:eastAsia="zh-CN"/>
        </w:rPr>
        <w:t>结果为</w:t>
      </w:r>
      <w:r>
        <w:rPr>
          <w:rFonts w:hint="eastAsia" w:ascii="仿宋" w:hAnsi="仿宋" w:eastAsia="仿宋" w:cs="仿宋"/>
          <w:color w:val="444444"/>
          <w:kern w:val="0"/>
          <w:sz w:val="32"/>
          <w:szCs w:val="32"/>
          <w:shd w:val="clear" w:fill="FFFFFF"/>
          <w:lang w:val="en-US" w:eastAsia="zh-CN"/>
        </w:rPr>
        <w:t>良好</w:t>
      </w:r>
      <w:r>
        <w:rPr>
          <w:rFonts w:hint="eastAsia" w:ascii="仿宋" w:hAnsi="仿宋" w:eastAsia="仿宋" w:cs="仿宋"/>
          <w:color w:val="444444"/>
          <w:kern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color w:val="444444"/>
          <w:kern w:val="0"/>
          <w:sz w:val="32"/>
          <w:szCs w:val="32"/>
          <w:shd w:val="clear" w:fill="FFFFFF"/>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lang w:eastAsia="zh-CN"/>
        </w:rPr>
        <w:t>六、</w:t>
      </w:r>
      <w:r>
        <w:rPr>
          <w:rFonts w:hint="eastAsia" w:ascii="仿宋" w:hAnsi="仿宋" w:eastAsia="仿宋" w:cs="仿宋"/>
          <w:color w:val="444444"/>
          <w:kern w:val="0"/>
          <w:sz w:val="32"/>
          <w:szCs w:val="32"/>
          <w:shd w:val="clear" w:fill="FFFFFF"/>
        </w:rPr>
        <w:t>存在的问题及原因分析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360" w:lineRule="auto"/>
        <w:ind w:right="0" w:rightChars="0" w:firstLine="640" w:firstLineChars="2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通过前述对征收办整体支出情况的分析，反映出目前在整体支出的预算编制、执行和管理过程中，依然存在一些问题和不足。一是预算项目申报的前瞻性不足，基础资料的收集和整理不到位;二是预算编制项目与实际支出项目资金有差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leftChars="0" w:right="0" w:rightChars="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lang w:eastAsia="zh-CN"/>
        </w:rPr>
        <w:t>七</w:t>
      </w:r>
      <w:r>
        <w:rPr>
          <w:rFonts w:hint="eastAsia" w:ascii="仿宋" w:hAnsi="仿宋" w:eastAsia="仿宋" w:cs="仿宋"/>
          <w:color w:val="444444"/>
          <w:kern w:val="0"/>
          <w:sz w:val="32"/>
          <w:szCs w:val="32"/>
          <w:shd w:val="clear" w:fill="FFFFFF"/>
          <w:lang w:val="en-US" w:eastAsia="zh-CN"/>
        </w:rPr>
        <w:t>.</w:t>
      </w:r>
      <w:r>
        <w:rPr>
          <w:rFonts w:hint="eastAsia" w:ascii="仿宋" w:hAnsi="仿宋" w:eastAsia="仿宋" w:cs="仿宋"/>
          <w:color w:val="444444"/>
          <w:kern w:val="0"/>
          <w:sz w:val="32"/>
          <w:szCs w:val="32"/>
          <w:shd w:val="clear" w:fill="FFFFFF"/>
        </w:rPr>
        <w:t>下一步改进措施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（一）进一步加强项目资金管理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（二）进一步提高绩效管理水平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    加强预算执行的准确性，开展好支出绩效管理工作，运用好绩效评价结果，不断提升绩效管理水平</w:t>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atLeast"/>
        <w:ind w:leftChars="0" w:right="0" w:rightChars="0"/>
        <w:jc w:val="left"/>
        <w:textAlignment w:val="auto"/>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宋体" w:eastAsia="黑体" w:cs="宋体"/>
          <w:kern w:val="0"/>
          <w:sz w:val="32"/>
          <w:szCs w:val="32"/>
        </w:rPr>
      </w:pPr>
      <w:bookmarkStart w:id="0" w:name="RANGE!A1:H22"/>
    </w:p>
    <w:p>
      <w:pPr>
        <w:keepNext w:val="0"/>
        <w:keepLines w:val="0"/>
        <w:pageBreakBefore w:val="0"/>
        <w:kinsoku/>
        <w:wordWrap/>
        <w:overflowPunct/>
        <w:topLinePunct w:val="0"/>
        <w:autoSpaceDE/>
        <w:autoSpaceDN/>
        <w:bidi w:val="0"/>
        <w:adjustRightInd/>
        <w:spacing w:line="600" w:lineRule="exact"/>
        <w:textAlignment w:val="auto"/>
        <w:rPr>
          <w:rFonts w:hint="eastAsia" w:ascii="黑体" w:hAnsi="宋体" w:eastAsia="黑体" w:cs="宋体"/>
          <w:kern w:val="0"/>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宋体" w:eastAsia="黑体" w:cs="宋体"/>
          <w:kern w:val="0"/>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宋体" w:eastAsia="黑体" w:cs="宋体"/>
          <w:kern w:val="0"/>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宋体" w:eastAsia="黑体" w:cs="宋体"/>
          <w:kern w:val="0"/>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宋体" w:eastAsia="黑体" w:cs="宋体"/>
          <w:kern w:val="0"/>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F3C22"/>
    <w:multiLevelType w:val="singleLevel"/>
    <w:tmpl w:val="F0EF3C22"/>
    <w:lvl w:ilvl="0" w:tentative="0">
      <w:start w:val="2"/>
      <w:numFmt w:val="chineseCounting"/>
      <w:suff w:val="nothing"/>
      <w:lvlText w:val="（%1）"/>
      <w:lvlJc w:val="left"/>
      <w:rPr>
        <w:rFonts w:hint="eastAsia"/>
      </w:rPr>
    </w:lvl>
  </w:abstractNum>
  <w:abstractNum w:abstractNumId="1">
    <w:nsid w:val="085694BB"/>
    <w:multiLevelType w:val="singleLevel"/>
    <w:tmpl w:val="085694BB"/>
    <w:lvl w:ilvl="0" w:tentative="0">
      <w:start w:val="4"/>
      <w:numFmt w:val="chineseCounting"/>
      <w:suff w:val="nothing"/>
      <w:lvlText w:val="%1、"/>
      <w:lvlJc w:val="left"/>
      <w:rPr>
        <w:rFonts w:hint="eastAsia"/>
      </w:rPr>
    </w:lvl>
  </w:abstractNum>
  <w:abstractNum w:abstractNumId="2">
    <w:nsid w:val="0C1759B5"/>
    <w:multiLevelType w:val="singleLevel"/>
    <w:tmpl w:val="0C1759B5"/>
    <w:lvl w:ilvl="0" w:tentative="0">
      <w:start w:val="5"/>
      <w:numFmt w:val="chineseCounting"/>
      <w:suff w:val="nothing"/>
      <w:lvlText w:val="%1、"/>
      <w:lvlJc w:val="left"/>
      <w:rPr>
        <w:rFonts w:hint="eastAsia"/>
      </w:rPr>
    </w:lvl>
  </w:abstractNum>
  <w:abstractNum w:abstractNumId="3">
    <w:nsid w:val="2601B1FC"/>
    <w:multiLevelType w:val="singleLevel"/>
    <w:tmpl w:val="2601B1FC"/>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ODU2NjNjNjUzYmY2YWFjZTFlMWI3MGRkOGY5YjMifQ=="/>
  </w:docVars>
  <w:rsids>
    <w:rsidRoot w:val="00000000"/>
    <w:rsid w:val="0050216F"/>
    <w:rsid w:val="0870581B"/>
    <w:rsid w:val="0C1A1C88"/>
    <w:rsid w:val="129048ED"/>
    <w:rsid w:val="14361007"/>
    <w:rsid w:val="157B2B50"/>
    <w:rsid w:val="15FC5031"/>
    <w:rsid w:val="19636CD6"/>
    <w:rsid w:val="1AC37451"/>
    <w:rsid w:val="1EAC476E"/>
    <w:rsid w:val="1F8329A2"/>
    <w:rsid w:val="206C3C52"/>
    <w:rsid w:val="24B5661C"/>
    <w:rsid w:val="26151C14"/>
    <w:rsid w:val="28CC440D"/>
    <w:rsid w:val="2A1540E5"/>
    <w:rsid w:val="2B517AF1"/>
    <w:rsid w:val="2CC62C08"/>
    <w:rsid w:val="2EB62A8B"/>
    <w:rsid w:val="2F53021D"/>
    <w:rsid w:val="33046BC9"/>
    <w:rsid w:val="348874E8"/>
    <w:rsid w:val="40792EE3"/>
    <w:rsid w:val="45AD0E01"/>
    <w:rsid w:val="490035C6"/>
    <w:rsid w:val="54234DA5"/>
    <w:rsid w:val="54A533C9"/>
    <w:rsid w:val="550B75F5"/>
    <w:rsid w:val="618B4E0A"/>
    <w:rsid w:val="6C16482F"/>
    <w:rsid w:val="6C3B1387"/>
    <w:rsid w:val="74D12F97"/>
    <w:rsid w:val="75BE0476"/>
    <w:rsid w:val="76A46430"/>
    <w:rsid w:val="7E5C250C"/>
    <w:rsid w:val="7EC9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5378</Words>
  <Characters>5625</Characters>
  <Lines>0</Lines>
  <Paragraphs>0</Paragraphs>
  <TotalTime>0</TotalTime>
  <ScaleCrop>false</ScaleCrop>
  <LinksUpToDate>false</LinksUpToDate>
  <CharactersWithSpaces>5789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win7</cp:lastModifiedBy>
  <dcterms:modified xsi:type="dcterms:W3CDTF">2023-04-20T07:01:58Z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3E9EF0105B1C4D7FA9EFDA75E1AB4F90</vt:lpwstr>
  </property>
</Properties>
</file>