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pPr>
    </w:p>
    <w:p>
      <w:pPr>
        <w:spacing w:after="500" w:line="288" w:lineRule="auto"/>
        <w:jc w:val="center"/>
        <w:outlineLvl w:val="0"/>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事前绩效评估报告</w:t>
      </w:r>
    </w:p>
    <w:p>
      <w:pPr>
        <w:ind w:firstLine="480"/>
      </w:pPr>
    </w:p>
    <w:p>
      <w:pPr>
        <w:ind w:firstLine="480"/>
      </w:pPr>
    </w:p>
    <w:p>
      <w:pPr>
        <w:ind w:firstLine="480"/>
      </w:pPr>
    </w:p>
    <w:p>
      <w:pPr>
        <w:ind w:firstLine="480"/>
      </w:pPr>
    </w:p>
    <w:p>
      <w:pPr>
        <w:ind w:firstLine="480"/>
      </w:pPr>
    </w:p>
    <w:p>
      <w:pPr>
        <w:pStyle w:val="2"/>
      </w:pPr>
    </w:p>
    <w:p>
      <w:pPr>
        <w:ind w:firstLine="480"/>
      </w:pPr>
    </w:p>
    <w:tbl>
      <w:tblPr>
        <w:tblStyle w:val="10"/>
        <w:tblpPr w:leftFromText="180" w:rightFromText="180" w:vertAnchor="text" w:horzAnchor="page" w:tblpX="2196" w:tblpY="497"/>
        <w:tblOverlap w:val="never"/>
        <w:tblW w:w="8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6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b/>
                <w:bCs/>
                <w:sz w:val="32"/>
                <w:szCs w:val="32"/>
                <w:u w:val="none"/>
                <w:vertAlign w:val="baseline"/>
                <w:lang w:val="en-US" w:eastAsia="zh-CN"/>
              </w:rPr>
            </w:pPr>
            <w:r>
              <w:rPr>
                <w:rFonts w:hint="eastAsia" w:ascii="仿宋" w:hAnsi="仿宋" w:eastAsia="仿宋" w:cs="仿宋"/>
                <w:b/>
                <w:bCs/>
                <w:sz w:val="32"/>
                <w:szCs w:val="32"/>
                <w:u w:val="none"/>
              </w:rPr>
              <w:t>项目名称</w:t>
            </w:r>
            <w:r>
              <w:rPr>
                <w:rFonts w:hint="eastAsia" w:ascii="仿宋" w:hAnsi="仿宋" w:eastAsia="仿宋" w:cs="仿宋"/>
                <w:b/>
                <w:bCs/>
                <w:sz w:val="32"/>
                <w:szCs w:val="32"/>
                <w:u w:val="none"/>
                <w:lang w:eastAsia="zh-CN"/>
              </w:rPr>
              <w:t>：</w:t>
            </w:r>
          </w:p>
        </w:tc>
        <w:tc>
          <w:tcPr>
            <w:tcW w:w="6866" w:type="dxa"/>
            <w:tcBorders>
              <w:top w:val="nil"/>
              <w:left w:val="nil"/>
              <w:bottom w:val="single" w:color="auto" w:sz="4" w:space="0"/>
              <w:right w:val="nil"/>
            </w:tcBorders>
            <w:noWrap w:val="0"/>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北塔区2024年城镇老旧小区改造配套基础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sz w:val="32"/>
                <w:szCs w:val="32"/>
                <w:lang w:eastAsia="zh-CN"/>
              </w:rPr>
            </w:pPr>
            <w:r>
              <w:rPr>
                <w:rFonts w:hint="eastAsia" w:ascii="仿宋" w:hAnsi="仿宋" w:eastAsia="仿宋" w:cs="仿宋"/>
                <w:sz w:val="32"/>
                <w:szCs w:val="32"/>
                <w:u w:val="none"/>
                <w:vertAlign w:val="baseline"/>
                <w:lang w:val="en-US" w:eastAsia="zh-CN"/>
              </w:rPr>
              <w:t>设施建设项目第一片区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b/>
                <w:bCs/>
                <w:sz w:val="32"/>
                <w:szCs w:val="32"/>
                <w:u w:val="none"/>
                <w:vertAlign w:val="baseline"/>
                <w:lang w:eastAsia="zh-CN"/>
              </w:rPr>
            </w:pPr>
            <w:r>
              <w:rPr>
                <w:rFonts w:hint="eastAsia" w:cs="仿宋"/>
                <w:b/>
                <w:bCs/>
                <w:sz w:val="32"/>
                <w:szCs w:val="32"/>
                <w:u w:val="none"/>
                <w:lang w:eastAsia="zh-CN"/>
              </w:rPr>
              <w:t>项目单位</w:t>
            </w:r>
            <w:r>
              <w:rPr>
                <w:rFonts w:hint="eastAsia" w:ascii="仿宋" w:hAnsi="仿宋" w:eastAsia="仿宋" w:cs="仿宋"/>
                <w:b/>
                <w:bCs/>
                <w:sz w:val="32"/>
                <w:szCs w:val="32"/>
                <w:u w:val="none"/>
                <w:lang w:eastAsia="zh-CN"/>
              </w:rPr>
              <w:t>：</w:t>
            </w:r>
          </w:p>
        </w:tc>
        <w:tc>
          <w:tcPr>
            <w:tcW w:w="6866" w:type="dxa"/>
            <w:tcBorders>
              <w:top w:val="single" w:color="auto" w:sz="4" w:space="0"/>
              <w:left w:val="nil"/>
              <w:bottom w:val="single" w:color="auto" w:sz="4" w:space="0"/>
              <w:right w:val="nil"/>
            </w:tcBorders>
            <w:noWrap w:val="0"/>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邵阳市北塔区住房和城乡建设局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b/>
                <w:bCs/>
                <w:sz w:val="32"/>
                <w:szCs w:val="32"/>
                <w:u w:val="none"/>
                <w:vertAlign w:val="baseline"/>
                <w:lang w:eastAsia="zh-CN"/>
              </w:rPr>
            </w:pPr>
            <w:r>
              <w:rPr>
                <w:rFonts w:hint="eastAsia" w:cs="仿宋"/>
                <w:b/>
                <w:bCs/>
                <w:sz w:val="32"/>
                <w:szCs w:val="32"/>
                <w:u w:val="none"/>
                <w:lang w:eastAsia="zh-CN"/>
              </w:rPr>
              <w:t>委托单位</w:t>
            </w:r>
            <w:r>
              <w:rPr>
                <w:rFonts w:hint="eastAsia" w:ascii="仿宋" w:hAnsi="仿宋" w:eastAsia="仿宋" w:cs="仿宋"/>
                <w:b/>
                <w:bCs/>
                <w:sz w:val="32"/>
                <w:szCs w:val="32"/>
                <w:u w:val="none"/>
                <w:lang w:eastAsia="zh-CN"/>
              </w:rPr>
              <w:t>：</w:t>
            </w:r>
          </w:p>
        </w:tc>
        <w:tc>
          <w:tcPr>
            <w:tcW w:w="6866" w:type="dxa"/>
            <w:tcBorders>
              <w:top w:val="single" w:color="auto" w:sz="4" w:space="0"/>
              <w:left w:val="nil"/>
              <w:bottom w:val="single" w:color="auto" w:sz="4" w:space="0"/>
              <w:right w:val="nil"/>
            </w:tcBorders>
            <w:noWrap w:val="0"/>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邵阳市北塔区财政局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b/>
                <w:bCs/>
                <w:sz w:val="32"/>
                <w:szCs w:val="32"/>
                <w:u w:val="none"/>
                <w:vertAlign w:val="baseline"/>
                <w:lang w:eastAsia="zh-CN"/>
              </w:rPr>
            </w:pPr>
            <w:r>
              <w:rPr>
                <w:rFonts w:hint="eastAsia" w:cs="仿宋"/>
                <w:b/>
                <w:bCs/>
                <w:sz w:val="32"/>
                <w:szCs w:val="32"/>
                <w:u w:val="none"/>
                <w:lang w:eastAsia="zh-CN"/>
              </w:rPr>
              <w:t>评价</w:t>
            </w:r>
            <w:r>
              <w:rPr>
                <w:rFonts w:hint="eastAsia" w:ascii="仿宋" w:hAnsi="仿宋" w:eastAsia="仿宋" w:cs="仿宋"/>
                <w:b/>
                <w:bCs/>
                <w:sz w:val="32"/>
                <w:szCs w:val="32"/>
                <w:u w:val="none"/>
              </w:rPr>
              <w:t>机构</w:t>
            </w:r>
            <w:r>
              <w:rPr>
                <w:rFonts w:hint="eastAsia" w:ascii="仿宋" w:hAnsi="仿宋" w:eastAsia="仿宋" w:cs="仿宋"/>
                <w:b/>
                <w:bCs/>
                <w:sz w:val="32"/>
                <w:szCs w:val="32"/>
                <w:u w:val="none"/>
                <w:lang w:eastAsia="zh-CN"/>
              </w:rPr>
              <w:t>：</w:t>
            </w:r>
          </w:p>
        </w:tc>
        <w:tc>
          <w:tcPr>
            <w:tcW w:w="6866" w:type="dxa"/>
            <w:tcBorders>
              <w:top w:val="single" w:color="auto" w:sz="4" w:space="0"/>
              <w:left w:val="nil"/>
              <w:bottom w:val="single" w:color="auto" w:sz="4" w:space="0"/>
              <w:right w:val="nil"/>
            </w:tcBorders>
            <w:noWrap w:val="0"/>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sz w:val="32"/>
                <w:szCs w:val="32"/>
                <w:u w:val="none"/>
                <w:vertAlign w:val="baseline"/>
              </w:rPr>
            </w:pPr>
            <w:r>
              <w:rPr>
                <w:rFonts w:hint="eastAsia" w:ascii="仿宋" w:hAnsi="仿宋" w:eastAsia="仿宋" w:cs="仿宋"/>
                <w:sz w:val="32"/>
                <w:szCs w:val="32"/>
                <w:u w:val="none"/>
                <w:lang w:eastAsia="zh-CN"/>
              </w:rPr>
              <w:t>湖南</w:t>
            </w:r>
            <w:r>
              <w:rPr>
                <w:rFonts w:hint="eastAsia" w:ascii="仿宋" w:hAnsi="仿宋" w:eastAsia="仿宋" w:cs="仿宋"/>
                <w:sz w:val="32"/>
                <w:szCs w:val="32"/>
                <w:u w:val="none"/>
              </w:rPr>
              <w:t>骏新联合会计师事务所（普通合伙）</w:t>
            </w:r>
          </w:p>
        </w:tc>
      </w:tr>
    </w:tbl>
    <w:p>
      <w:pPr>
        <w:spacing w:after="500" w:line="288" w:lineRule="auto"/>
        <w:jc w:val="center"/>
        <w:outlineLvl w:val="0"/>
        <w:rPr>
          <w:rFonts w:hint="eastAsia" w:ascii="方正小标宋简体" w:hAnsi="方正小标宋简体" w:eastAsia="方正小标宋简体" w:cs="方正小标宋简体"/>
          <w:b w:val="0"/>
          <w:bCs w:val="0"/>
          <w:sz w:val="44"/>
          <w:szCs w:val="44"/>
          <w:lang w:val="en-US" w:eastAsia="zh-CN"/>
        </w:rPr>
      </w:pP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ind w:firstLine="210" w:firstLineChars="100"/>
        <w:jc w:val="center"/>
      </w:pPr>
      <w:r>
        <w:rPr>
          <w:rFonts w:hint="eastAsia"/>
          <w:lang w:val="en-US" w:eastAsia="zh-CN"/>
        </w:rPr>
        <w:tab/>
      </w:r>
      <w:r>
        <w:rPr>
          <w:rFonts w:hint="eastAsia" w:ascii="仿宋" w:hAnsi="仿宋" w:eastAsia="仿宋" w:cs="仿宋"/>
          <w:b/>
          <w:bCs/>
          <w:sz w:val="32"/>
          <w:szCs w:val="32"/>
        </w:rPr>
        <w:t>二○二</w:t>
      </w:r>
      <w:r>
        <w:rPr>
          <w:rFonts w:hint="eastAsia" w:cs="仿宋"/>
          <w:b/>
          <w:bCs/>
          <w:sz w:val="32"/>
          <w:szCs w:val="32"/>
          <w:lang w:val="en-US" w:eastAsia="zh-CN"/>
        </w:rPr>
        <w:t>三</w:t>
      </w:r>
      <w:r>
        <w:rPr>
          <w:rFonts w:hint="eastAsia" w:ascii="仿宋" w:hAnsi="仿宋" w:eastAsia="仿宋" w:cs="仿宋"/>
          <w:b/>
          <w:bCs/>
          <w:sz w:val="32"/>
          <w:szCs w:val="32"/>
        </w:rPr>
        <w:t>年</w:t>
      </w:r>
      <w:r>
        <w:rPr>
          <w:rFonts w:hint="eastAsia" w:cs="仿宋"/>
          <w:b/>
          <w:bCs/>
          <w:color w:val="000000"/>
          <w:sz w:val="32"/>
          <w:szCs w:val="32"/>
          <w:lang w:val="en-US" w:eastAsia="zh-CN"/>
        </w:rPr>
        <w:t>十一</w:t>
      </w:r>
      <w:r>
        <w:rPr>
          <w:rFonts w:hint="eastAsia" w:ascii="仿宋" w:hAnsi="仿宋" w:eastAsia="仿宋" w:cs="仿宋"/>
          <w:b/>
          <w:bCs/>
          <w:color w:val="000000"/>
          <w:sz w:val="32"/>
          <w:szCs w:val="32"/>
        </w:rPr>
        <w:t>月</w:t>
      </w:r>
      <w:r>
        <w:rPr>
          <w:rFonts w:hint="eastAsia" w:cs="仿宋"/>
          <w:b/>
          <w:bCs/>
          <w:color w:val="000000"/>
          <w:sz w:val="32"/>
          <w:szCs w:val="32"/>
          <w:lang w:val="en-US" w:eastAsia="zh-CN"/>
        </w:rPr>
        <w:t>二十六</w:t>
      </w:r>
      <w:r>
        <w:rPr>
          <w:rFonts w:hint="eastAsia" w:ascii="仿宋" w:hAnsi="仿宋" w:eastAsia="仿宋" w:cs="仿宋"/>
          <w:b/>
          <w:bCs/>
          <w:color w:val="000000"/>
          <w:sz w:val="32"/>
          <w:szCs w:val="32"/>
        </w:rPr>
        <w:t>日</w:t>
      </w:r>
    </w:p>
    <w:p>
      <w:pPr>
        <w:jc w:val="center"/>
        <w:rPr>
          <w:rFonts w:ascii="宋体"/>
          <w:b/>
          <w:bCs/>
          <w:sz w:val="32"/>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spacing w:line="520" w:lineRule="exact"/>
        <w:jc w:val="center"/>
        <w:rPr>
          <w:rFonts w:ascii="仿宋" w:hAnsi="仿宋" w:eastAsia="仿宋" w:cs="仿宋"/>
          <w:sz w:val="28"/>
          <w:szCs w:val="28"/>
        </w:rPr>
      </w:pPr>
    </w:p>
    <w:p>
      <w:pPr>
        <w:spacing w:line="520" w:lineRule="exact"/>
        <w:jc w:val="center"/>
        <w:rPr>
          <w:rFonts w:ascii="宋体"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84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auto"/>
          <w:sz w:val="28"/>
          <w:szCs w:val="28"/>
          <w:shd w:val="clear" w:color="auto" w:fill="FFFFFF"/>
        </w:rPr>
      </w:pPr>
      <w:r>
        <w:rPr>
          <w:rFonts w:hint="eastAsia" w:ascii="仿宋" w:hAnsi="仿宋" w:eastAsia="仿宋" w:cs="仿宋"/>
          <w:color w:val="000000"/>
          <w:sz w:val="28"/>
          <w:szCs w:val="28"/>
          <w:shd w:val="clear" w:color="auto" w:fill="FFFFFF"/>
          <w:lang w:eastAsia="zh-CN"/>
        </w:rPr>
        <w:t>湘</w:t>
      </w:r>
      <w:r>
        <w:rPr>
          <w:rFonts w:hint="eastAsia" w:ascii="仿宋" w:hAnsi="仿宋" w:eastAsia="仿宋" w:cs="仿宋"/>
          <w:color w:val="000000"/>
          <w:sz w:val="28"/>
          <w:szCs w:val="28"/>
          <w:shd w:val="clear" w:color="auto" w:fill="FFFFFF"/>
        </w:rPr>
        <w:t>骏会绩效评字</w:t>
      </w:r>
      <w:r>
        <w:rPr>
          <w:rFonts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lang w:eastAsia="zh-CN"/>
        </w:rPr>
        <w:t>202</w:t>
      </w:r>
      <w:r>
        <w:rPr>
          <w:rFonts w:hint="eastAsia" w:ascii="仿宋" w:hAnsi="仿宋" w:eastAsia="仿宋" w:cs="仿宋"/>
          <w:color w:val="000000"/>
          <w:sz w:val="28"/>
          <w:szCs w:val="28"/>
          <w:shd w:val="clear" w:color="auto" w:fill="FFFFFF"/>
          <w:lang w:val="en-US" w:eastAsia="zh-CN"/>
        </w:rPr>
        <w:t>3</w:t>
      </w:r>
      <w:r>
        <w:rPr>
          <w:rFonts w:ascii="仿宋" w:hAnsi="仿宋" w:eastAsia="仿宋" w:cs="仿宋"/>
          <w:color w:val="auto"/>
          <w:sz w:val="28"/>
          <w:szCs w:val="28"/>
          <w:shd w:val="clear" w:color="auto" w:fill="FFFFFF"/>
        </w:rPr>
        <w:t>]</w:t>
      </w:r>
      <w:r>
        <w:rPr>
          <w:rFonts w:hint="eastAsia" w:ascii="仿宋" w:hAnsi="仿宋" w:eastAsia="仿宋" w:cs="仿宋"/>
          <w:color w:val="auto"/>
          <w:sz w:val="28"/>
          <w:szCs w:val="28"/>
          <w:shd w:val="clear" w:color="auto" w:fill="FFFFFF"/>
        </w:rPr>
        <w:t>第</w:t>
      </w:r>
      <w:r>
        <w:rPr>
          <w:rFonts w:hint="eastAsia" w:ascii="仿宋" w:hAnsi="仿宋" w:eastAsia="仿宋" w:cs="仿宋"/>
          <w:color w:val="auto"/>
          <w:sz w:val="28"/>
          <w:szCs w:val="28"/>
          <w:shd w:val="clear" w:color="auto" w:fill="FFFFFF"/>
          <w:lang w:val="en-US" w:eastAsia="zh-CN"/>
        </w:rPr>
        <w:t xml:space="preserve"> 034</w:t>
      </w:r>
      <w:r>
        <w:rPr>
          <w:rFonts w:hint="eastAsia" w:ascii="仿宋" w:hAnsi="仿宋" w:eastAsia="仿宋" w:cs="仿宋"/>
          <w:color w:val="auto"/>
          <w:sz w:val="28"/>
          <w:szCs w:val="28"/>
          <w:shd w:val="clear" w:color="auto" w:fill="FFFFFF"/>
        </w:rPr>
        <w:t>号</w:t>
      </w:r>
    </w:p>
    <w:p>
      <w:pPr>
        <w:pStyle w:val="2"/>
      </w:pPr>
    </w:p>
    <w:p>
      <w:pPr>
        <w:spacing w:line="560" w:lineRule="exact"/>
        <w:jc w:val="center"/>
        <w:rPr>
          <w:rFonts w:hint="eastAsia" w:ascii="宋体" w:hAnsi="宋体" w:eastAsia="宋体" w:cs="Times New Roman"/>
          <w:b/>
          <w:bCs/>
          <w:sz w:val="36"/>
          <w:szCs w:val="36"/>
          <w:lang w:eastAsia="zh-CN"/>
        </w:rPr>
      </w:pPr>
      <w:r>
        <w:rPr>
          <w:rFonts w:hint="eastAsia" w:ascii="宋体" w:hAnsi="宋体" w:eastAsia="宋体" w:cs="Times New Roman"/>
          <w:b/>
          <w:bCs/>
          <w:sz w:val="36"/>
          <w:szCs w:val="36"/>
          <w:lang w:val="en-US" w:eastAsia="zh-CN"/>
        </w:rPr>
        <w:t>北塔区2024年城镇老旧小区改造配套基础设施建设项目第一片区</w:t>
      </w:r>
      <w:r>
        <w:rPr>
          <w:rFonts w:hint="eastAsia" w:ascii="宋体" w:hAnsi="宋体" w:eastAsia="宋体" w:cs="Times New Roman"/>
          <w:b/>
          <w:bCs/>
          <w:sz w:val="36"/>
          <w:szCs w:val="36"/>
          <w:lang w:eastAsia="zh-CN"/>
        </w:rPr>
        <w:t>事前绩效评估报告</w:t>
      </w:r>
    </w:p>
    <w:p>
      <w:pPr>
        <w:pStyle w:val="2"/>
        <w:rPr>
          <w:rFonts w:hint="eastAsia" w:ascii="宋体" w:hAnsi="宋体" w:eastAsia="宋体" w:cs="Times New Roman"/>
          <w:b/>
          <w:bCs/>
          <w:sz w:val="36"/>
          <w:szCs w:val="36"/>
          <w:lang w:eastAsia="zh-CN"/>
        </w:rPr>
      </w:pPr>
    </w:p>
    <w:p>
      <w:pPr>
        <w:pStyle w:val="2"/>
        <w:rPr>
          <w:rFonts w:hint="eastAsia" w:ascii="宋体" w:hAnsi="宋体" w:eastAsia="宋体" w:cs="Times New Roman"/>
          <w:b/>
          <w:bCs/>
          <w:sz w:val="36"/>
          <w:szCs w:val="36"/>
          <w:lang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一、评估对象</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（一）项目名称</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lang w:val="en-US" w:eastAsia="zh-CN"/>
        </w:rPr>
        <w:t>北塔区2024年城镇老旧小区改造配套基础设施建设项目第一</w:t>
      </w:r>
      <w:r>
        <w:rPr>
          <w:rFonts w:hint="default" w:ascii="仿宋" w:hAnsi="仿宋" w:eastAsia="仿宋" w:cs="仿宋"/>
          <w:color w:val="000000"/>
          <w:sz w:val="28"/>
          <w:szCs w:val="28"/>
          <w:shd w:val="clear" w:color="auto" w:fill="FFFFFF"/>
          <w:lang w:eastAsia="zh-CN"/>
        </w:rPr>
        <w:t>片区。</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（二）项目绩效目标</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rPr>
      </w:pPr>
      <w:r>
        <w:rPr>
          <w:rFonts w:hint="default" w:ascii="仿宋" w:hAnsi="仿宋" w:eastAsia="仿宋" w:cs="仿宋"/>
          <w:b/>
          <w:bCs/>
          <w:sz w:val="28"/>
          <w:szCs w:val="28"/>
        </w:rPr>
        <w:t>1.</w:t>
      </w:r>
      <w:r>
        <w:rPr>
          <w:rFonts w:hint="eastAsia" w:ascii="仿宋" w:hAnsi="仿宋" w:eastAsia="仿宋" w:cs="仿宋"/>
          <w:b/>
          <w:bCs/>
          <w:sz w:val="28"/>
          <w:szCs w:val="28"/>
        </w:rPr>
        <w:t>项目总体绩效目标</w:t>
      </w:r>
    </w:p>
    <w:p>
      <w:pPr>
        <w:pStyle w:val="5"/>
        <w:keepNext w:val="0"/>
        <w:keepLines w:val="0"/>
        <w:pageBreakBefore w:val="0"/>
        <w:widowControl w:val="0"/>
        <w:suppressLineNumbers w:val="0"/>
        <w:kinsoku/>
        <w:wordWrap/>
        <w:overflowPunct/>
        <w:topLinePunct w:val="0"/>
        <w:autoSpaceDE w:val="0"/>
        <w:autoSpaceDN w:val="0"/>
        <w:bidi w:val="0"/>
        <w:adjustRightInd/>
        <w:snapToGrid/>
        <w:spacing w:before="0" w:beforeAutospacing="0" w:line="540" w:lineRule="exact"/>
        <w:ind w:left="0" w:leftChars="0" w:right="0" w:rightChars="0" w:firstLine="560" w:firstLineChars="200"/>
        <w:textAlignment w:val="auto"/>
        <w:outlineLvl w:val="1"/>
        <w:rPr>
          <w:rFonts w:hint="default" w:ascii="仿宋" w:hAnsi="仿宋" w:eastAsia="仿宋" w:cs="仿宋"/>
          <w:color w:val="000000"/>
          <w:kern w:val="2"/>
          <w:sz w:val="28"/>
          <w:szCs w:val="28"/>
          <w:shd w:val="clear" w:color="auto" w:fill="FFFFFF"/>
          <w:lang w:val="en-US" w:eastAsia="zh-CN" w:bidi="ar-SA"/>
        </w:rPr>
      </w:pPr>
      <w:r>
        <w:rPr>
          <w:rFonts w:hint="default" w:ascii="仿宋" w:hAnsi="仿宋" w:eastAsia="仿宋" w:cs="仿宋"/>
          <w:color w:val="000000"/>
          <w:kern w:val="2"/>
          <w:sz w:val="28"/>
          <w:szCs w:val="28"/>
          <w:shd w:val="clear" w:color="auto" w:fill="FFFFFF"/>
          <w:lang w:val="en-US" w:eastAsia="zh-CN" w:bidi="ar-SA"/>
        </w:rPr>
        <w:t>本项目按照“尊重民意、居民自治”的原则。坚持政府指导群众参与，充分发挥群众主体作用。坚持“改不改群众说了算”，广泛征求群众意愿，有序推进改造工作。以改善城市环境面貌，提高群众居住质量，构建和谐社会为宗旨，以建立健全小区公共环境长效管控机制为根本,通过共商共建共管全面提高老旧小区改造工作成效和社区治理能力，逐步实现北塔区老旧小区道路平整、设施配套、干净整洁、安全有序管理规范、和谐宜居的目标。</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rPr>
      </w:pPr>
      <w:r>
        <w:rPr>
          <w:rFonts w:hint="default" w:ascii="仿宋" w:hAnsi="仿宋" w:eastAsia="仿宋" w:cs="仿宋"/>
          <w:b/>
          <w:bCs/>
          <w:sz w:val="28"/>
          <w:szCs w:val="28"/>
        </w:rPr>
        <w:t>2.</w:t>
      </w:r>
      <w:r>
        <w:rPr>
          <w:rFonts w:hint="eastAsia" w:ascii="仿宋" w:hAnsi="仿宋" w:eastAsia="仿宋" w:cs="仿宋"/>
          <w:b/>
          <w:bCs/>
          <w:sz w:val="28"/>
          <w:szCs w:val="28"/>
        </w:rPr>
        <w:t>项目具体绩效目标</w:t>
      </w:r>
    </w:p>
    <w:tbl>
      <w:tblPr>
        <w:tblStyle w:val="9"/>
        <w:tblW w:w="48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129"/>
        <w:gridCol w:w="1797"/>
        <w:gridCol w:w="2058"/>
        <w:gridCol w:w="1293"/>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68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一级指标</w:t>
            </w:r>
          </w:p>
        </w:tc>
        <w:tc>
          <w:tcPr>
            <w:tcW w:w="109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二级指标</w:t>
            </w:r>
          </w:p>
        </w:tc>
        <w:tc>
          <w:tcPr>
            <w:tcW w:w="125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三级指标</w:t>
            </w:r>
          </w:p>
        </w:tc>
        <w:tc>
          <w:tcPr>
            <w:tcW w:w="78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单位</w:t>
            </w:r>
          </w:p>
        </w:tc>
        <w:tc>
          <w:tcPr>
            <w:tcW w:w="11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688"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产出指标</w:t>
            </w:r>
          </w:p>
        </w:tc>
        <w:tc>
          <w:tcPr>
            <w:tcW w:w="1095"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数量指标</w:t>
            </w:r>
          </w:p>
        </w:tc>
        <w:tc>
          <w:tcPr>
            <w:tcW w:w="125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改造小区数</w:t>
            </w:r>
          </w:p>
        </w:tc>
        <w:tc>
          <w:tcPr>
            <w:tcW w:w="78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个</w:t>
            </w:r>
          </w:p>
        </w:tc>
        <w:tc>
          <w:tcPr>
            <w:tcW w:w="11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688"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bCs/>
                <w:sz w:val="21"/>
                <w:szCs w:val="21"/>
              </w:rPr>
            </w:pPr>
          </w:p>
        </w:tc>
        <w:tc>
          <w:tcPr>
            <w:tcW w:w="1095"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25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房屋</w:t>
            </w:r>
          </w:p>
        </w:tc>
        <w:tc>
          <w:tcPr>
            <w:tcW w:w="78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栋</w:t>
            </w:r>
          </w:p>
        </w:tc>
        <w:tc>
          <w:tcPr>
            <w:tcW w:w="11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688"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bCs/>
                <w:sz w:val="21"/>
                <w:szCs w:val="21"/>
              </w:rPr>
            </w:pPr>
          </w:p>
        </w:tc>
        <w:tc>
          <w:tcPr>
            <w:tcW w:w="1095"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25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居民户数</w:t>
            </w:r>
          </w:p>
        </w:tc>
        <w:tc>
          <w:tcPr>
            <w:tcW w:w="78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户</w:t>
            </w:r>
          </w:p>
        </w:tc>
        <w:tc>
          <w:tcPr>
            <w:tcW w:w="11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688"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bCs/>
                <w:sz w:val="21"/>
                <w:szCs w:val="21"/>
              </w:rPr>
            </w:pPr>
          </w:p>
        </w:tc>
        <w:tc>
          <w:tcPr>
            <w:tcW w:w="1095"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25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房屋总建筑面积</w:t>
            </w:r>
          </w:p>
        </w:tc>
        <w:tc>
          <w:tcPr>
            <w:tcW w:w="78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万㎡</w:t>
            </w:r>
          </w:p>
        </w:tc>
        <w:tc>
          <w:tcPr>
            <w:tcW w:w="11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88"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bCs/>
                <w:sz w:val="21"/>
                <w:szCs w:val="21"/>
              </w:rPr>
            </w:pPr>
          </w:p>
        </w:tc>
        <w:tc>
          <w:tcPr>
            <w:tcW w:w="109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质量指标</w:t>
            </w:r>
          </w:p>
        </w:tc>
        <w:tc>
          <w:tcPr>
            <w:tcW w:w="125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合格率</w:t>
            </w:r>
          </w:p>
        </w:tc>
        <w:tc>
          <w:tcPr>
            <w:tcW w:w="78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100%</w:t>
            </w:r>
          </w:p>
        </w:tc>
        <w:tc>
          <w:tcPr>
            <w:tcW w:w="11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88"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bCs/>
                <w:sz w:val="21"/>
                <w:szCs w:val="21"/>
              </w:rPr>
            </w:pPr>
          </w:p>
        </w:tc>
        <w:tc>
          <w:tcPr>
            <w:tcW w:w="109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时效指标</w:t>
            </w:r>
          </w:p>
        </w:tc>
        <w:tc>
          <w:tcPr>
            <w:tcW w:w="125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工期</w:t>
            </w:r>
          </w:p>
        </w:tc>
        <w:tc>
          <w:tcPr>
            <w:tcW w:w="78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个月</w:t>
            </w:r>
          </w:p>
        </w:tc>
        <w:tc>
          <w:tcPr>
            <w:tcW w:w="11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88"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bCs/>
                <w:sz w:val="21"/>
                <w:szCs w:val="21"/>
              </w:rPr>
            </w:pPr>
          </w:p>
        </w:tc>
        <w:tc>
          <w:tcPr>
            <w:tcW w:w="109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成本指标</w:t>
            </w:r>
          </w:p>
        </w:tc>
        <w:tc>
          <w:tcPr>
            <w:tcW w:w="125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项目总投资</w:t>
            </w:r>
          </w:p>
        </w:tc>
        <w:tc>
          <w:tcPr>
            <w:tcW w:w="78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万元</w:t>
            </w:r>
          </w:p>
        </w:tc>
        <w:tc>
          <w:tcPr>
            <w:tcW w:w="11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jc w:val="center"/>
        </w:trPr>
        <w:tc>
          <w:tcPr>
            <w:tcW w:w="688"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效益指标</w:t>
            </w:r>
          </w:p>
        </w:tc>
        <w:tc>
          <w:tcPr>
            <w:tcW w:w="109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经济效益指标</w:t>
            </w:r>
          </w:p>
        </w:tc>
        <w:tc>
          <w:tcPr>
            <w:tcW w:w="125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加强基础设施建设</w:t>
            </w:r>
          </w:p>
        </w:tc>
        <w:tc>
          <w:tcPr>
            <w:tcW w:w="196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加强区域基础设施建设，扩大有效投资和内需发展动力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688"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09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社会效益指标</w:t>
            </w:r>
          </w:p>
        </w:tc>
        <w:tc>
          <w:tcPr>
            <w:tcW w:w="125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leftChars="0" w:right="0" w:right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人居环境</w:t>
            </w:r>
          </w:p>
        </w:tc>
        <w:tc>
          <w:tcPr>
            <w:tcW w:w="196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leftChars="0" w:right="0" w:right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改善老旧小区人居环境，提升生活质量，促进社会稳定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3" w:hRule="atLeast"/>
          <w:jc w:val="center"/>
        </w:trPr>
        <w:tc>
          <w:tcPr>
            <w:tcW w:w="688"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09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生态效益指标</w:t>
            </w:r>
          </w:p>
        </w:tc>
        <w:tc>
          <w:tcPr>
            <w:tcW w:w="125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生态环境</w:t>
            </w:r>
          </w:p>
        </w:tc>
        <w:tc>
          <w:tcPr>
            <w:tcW w:w="196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美化生态环境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688"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09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可持续影响指标</w:t>
            </w:r>
          </w:p>
        </w:tc>
        <w:tc>
          <w:tcPr>
            <w:tcW w:w="125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促进社会和谐发展</w:t>
            </w:r>
          </w:p>
        </w:tc>
        <w:tc>
          <w:tcPr>
            <w:tcW w:w="196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改善基础设施条件，促进社会和谐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68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b/>
                <w:bCs/>
                <w:kern w:val="0"/>
                <w:sz w:val="21"/>
                <w:szCs w:val="21"/>
                <w:lang w:val="en-US" w:eastAsia="zh-CN" w:bidi="ar"/>
              </w:rPr>
              <w:t>满意度指标</w:t>
            </w:r>
          </w:p>
        </w:tc>
        <w:tc>
          <w:tcPr>
            <w:tcW w:w="109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社会公众或服务对象满意度指标</w:t>
            </w:r>
          </w:p>
        </w:tc>
        <w:tc>
          <w:tcPr>
            <w:tcW w:w="125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公众社会满意度</w:t>
            </w:r>
          </w:p>
        </w:tc>
        <w:tc>
          <w:tcPr>
            <w:tcW w:w="78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≥90%</w:t>
            </w:r>
          </w:p>
        </w:tc>
        <w:tc>
          <w:tcPr>
            <w:tcW w:w="11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≥90%</w:t>
            </w:r>
          </w:p>
        </w:tc>
      </w:tr>
    </w:tbl>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（三）项目资金构成</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cs="仿宋"/>
          <w:color w:val="000000"/>
          <w:kern w:val="2"/>
          <w:sz w:val="28"/>
          <w:szCs w:val="28"/>
          <w:shd w:val="clear" w:color="auto" w:fill="FFFFFF"/>
          <w:lang w:val="en-US" w:eastAsia="zh-CN" w:bidi="ar-SA"/>
        </w:rPr>
      </w:pPr>
      <w:r>
        <w:rPr>
          <w:rFonts w:hint="default" w:ascii="仿宋" w:hAnsi="仿宋" w:eastAsia="仿宋" w:cs="仿宋"/>
          <w:color w:val="000000"/>
          <w:kern w:val="2"/>
          <w:sz w:val="28"/>
          <w:szCs w:val="28"/>
          <w:shd w:val="clear" w:color="auto" w:fill="FFFFFF"/>
          <w:lang w:val="en-US" w:eastAsia="zh-CN" w:bidi="ar-SA"/>
        </w:rPr>
        <w:t>本项目</w:t>
      </w:r>
      <w:r>
        <w:rPr>
          <w:rFonts w:hint="eastAsia" w:ascii="仿宋" w:hAnsi="仿宋" w:eastAsia="仿宋" w:cs="仿宋"/>
          <w:color w:val="000000"/>
          <w:kern w:val="2"/>
          <w:sz w:val="28"/>
          <w:szCs w:val="28"/>
          <w:shd w:val="clear" w:color="auto" w:fill="FFFFFF"/>
          <w:lang w:val="en-US" w:eastAsia="zh-CN" w:bidi="ar-SA"/>
        </w:rPr>
        <w:t>计划投入资金1275.00万元，其中工程费用 1050.39 万元，工程建设其他费用163.90万元，预备费用 60.71 万元。资金来源于上级中央资金及地方财政配套资金。主要</w:t>
      </w:r>
      <w:r>
        <w:rPr>
          <w:rFonts w:hint="default" w:ascii="仿宋" w:hAnsi="仿宋" w:eastAsia="仿宋" w:cs="仿宋"/>
          <w:color w:val="000000"/>
          <w:kern w:val="2"/>
          <w:sz w:val="28"/>
          <w:szCs w:val="28"/>
          <w:shd w:val="clear" w:color="auto" w:fill="FFFFFF"/>
          <w:lang w:val="en-US" w:eastAsia="zh-CN" w:bidi="ar-SA"/>
        </w:rPr>
        <w:t>用于</w:t>
      </w:r>
      <w:r>
        <w:rPr>
          <w:rFonts w:hint="eastAsia" w:ascii="仿宋" w:hAnsi="仿宋" w:eastAsia="仿宋" w:cs="仿宋"/>
          <w:color w:val="000000"/>
          <w:kern w:val="2"/>
          <w:sz w:val="28"/>
          <w:szCs w:val="28"/>
          <w:shd w:val="clear" w:color="auto" w:fill="FFFFFF"/>
          <w:lang w:val="en-US" w:eastAsia="zh-CN" w:bidi="ar-SA"/>
        </w:rPr>
        <w:t>改造改造邵阳学院江北分院家属区、制镜厂家属区、司乘公寓片区3个老旧小区、房屋 22 栋、居民 400户，改造房屋总建筑面积 4.18 万m</w:t>
      </w:r>
      <w:r>
        <w:rPr>
          <w:rFonts w:hint="default" w:ascii="仿宋" w:hAnsi="仿宋" w:eastAsia="仿宋" w:cs="仿宋"/>
          <w:color w:val="000000"/>
          <w:kern w:val="2"/>
          <w:sz w:val="28"/>
          <w:szCs w:val="28"/>
          <w:shd w:val="clear" w:color="auto" w:fill="FFFFFF"/>
          <w:lang w:val="en-US" w:eastAsia="zh-CN" w:bidi="ar-SA"/>
        </w:rPr>
        <w:t>。具体内容如下：</w:t>
      </w:r>
    </w:p>
    <w:tbl>
      <w:tblPr>
        <w:tblStyle w:val="9"/>
        <w:tblW w:w="4849" w:type="pct"/>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3"/>
        <w:gridCol w:w="1726"/>
        <w:gridCol w:w="1279"/>
        <w:gridCol w:w="1585"/>
        <w:gridCol w:w="1431"/>
        <w:gridCol w:w="1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3" w:hRule="atLeast"/>
        </w:trPr>
        <w:tc>
          <w:tcPr>
            <w:tcW w:w="49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autoSpaceDE w:val="0"/>
              <w:autoSpaceDN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rPr>
            </w:pPr>
            <w:r>
              <w:rPr>
                <w:rFonts w:hint="eastAsia" w:ascii="宋体" w:hAnsi="宋体" w:eastAsia="宋体" w:cs="宋体"/>
                <w:b/>
                <w:bCs/>
                <w:i w:val="0"/>
                <w:iCs w:val="0"/>
                <w:color w:val="000000"/>
                <w:kern w:val="0"/>
                <w:sz w:val="21"/>
                <w:szCs w:val="21"/>
                <w:lang w:val="en-US" w:eastAsia="zh-CN" w:bidi="ar"/>
              </w:rPr>
              <w:t>序号</w:t>
            </w:r>
          </w:p>
        </w:tc>
        <w:tc>
          <w:tcPr>
            <w:tcW w:w="1043"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rPr>
            </w:pPr>
            <w:r>
              <w:rPr>
                <w:rFonts w:hint="eastAsia" w:ascii="宋体" w:hAnsi="宋体" w:eastAsia="宋体" w:cs="宋体"/>
                <w:b/>
                <w:bCs/>
                <w:i w:val="0"/>
                <w:iCs w:val="0"/>
                <w:color w:val="000000"/>
                <w:kern w:val="0"/>
                <w:sz w:val="21"/>
                <w:szCs w:val="21"/>
                <w:lang w:val="en-US" w:eastAsia="zh-CN" w:bidi="ar"/>
              </w:rPr>
              <w:t>小区名称</w:t>
            </w:r>
          </w:p>
        </w:tc>
        <w:tc>
          <w:tcPr>
            <w:tcW w:w="773"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rPr>
            </w:pPr>
            <w:r>
              <w:rPr>
                <w:rFonts w:hint="eastAsia" w:ascii="宋体" w:hAnsi="宋体" w:eastAsia="宋体" w:cs="宋体"/>
                <w:b/>
                <w:bCs/>
                <w:i w:val="0"/>
                <w:iCs w:val="0"/>
                <w:color w:val="000000"/>
                <w:kern w:val="0"/>
                <w:sz w:val="21"/>
                <w:szCs w:val="21"/>
                <w:lang w:val="en-US" w:eastAsia="zh-CN" w:bidi="ar"/>
              </w:rPr>
              <w:t>工程费用（万元）</w:t>
            </w:r>
          </w:p>
        </w:tc>
        <w:tc>
          <w:tcPr>
            <w:tcW w:w="95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rPr>
            </w:pPr>
            <w:r>
              <w:rPr>
                <w:rFonts w:hint="eastAsia" w:ascii="宋体" w:hAnsi="宋体" w:eastAsia="宋体" w:cs="宋体"/>
                <w:b/>
                <w:bCs/>
                <w:i w:val="0"/>
                <w:iCs w:val="0"/>
                <w:color w:val="000000"/>
                <w:kern w:val="0"/>
                <w:sz w:val="21"/>
                <w:szCs w:val="21"/>
                <w:lang w:val="en-US" w:eastAsia="zh-CN" w:bidi="ar"/>
              </w:rPr>
              <w:t>工程建设其他费用（万元）</w:t>
            </w:r>
          </w:p>
        </w:tc>
        <w:tc>
          <w:tcPr>
            <w:tcW w:w="86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rPr>
            </w:pPr>
            <w:r>
              <w:rPr>
                <w:rFonts w:hint="eastAsia" w:ascii="宋体" w:hAnsi="宋体" w:eastAsia="宋体" w:cs="宋体"/>
                <w:b/>
                <w:bCs/>
                <w:i w:val="0"/>
                <w:iCs w:val="0"/>
                <w:color w:val="000000"/>
                <w:kern w:val="0"/>
                <w:sz w:val="21"/>
                <w:szCs w:val="21"/>
                <w:lang w:val="en-US" w:eastAsia="zh-CN" w:bidi="ar"/>
              </w:rPr>
              <w:t>预备费（万元）</w:t>
            </w:r>
          </w:p>
        </w:tc>
        <w:tc>
          <w:tcPr>
            <w:tcW w:w="86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rPr>
            </w:pPr>
            <w:r>
              <w:rPr>
                <w:rFonts w:hint="eastAsia" w:ascii="宋体" w:hAnsi="宋体" w:eastAsia="宋体" w:cs="宋体"/>
                <w:b/>
                <w:bCs/>
                <w:i w:val="0"/>
                <w:iCs w:val="0"/>
                <w:color w:val="000000"/>
                <w:kern w:val="0"/>
                <w:sz w:val="21"/>
                <w:szCs w:val="21"/>
                <w:lang w:val="en-US" w:eastAsia="zh-CN" w:bidi="ar"/>
              </w:rPr>
              <w:t>总投资（万元）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1" w:hRule="atLeast"/>
        </w:trPr>
        <w:tc>
          <w:tcPr>
            <w:tcW w:w="49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autoSpaceDE w:val="0"/>
              <w:autoSpaceDN w:val="0"/>
              <w:spacing w:before="0" w:beforeAutospacing="0" w:after="0" w:afterAutospacing="0"/>
              <w:ind w:left="0" w:right="0"/>
              <w:jc w:val="center"/>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1</w:t>
            </w:r>
          </w:p>
        </w:tc>
        <w:tc>
          <w:tcPr>
            <w:tcW w:w="104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val="0"/>
              <w:spacing w:before="0" w:beforeAutospacing="0" w:after="0" w:afterAutospacing="0"/>
              <w:ind w:left="0" w:right="0"/>
              <w:jc w:val="center"/>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邵阳学院江北分院家属区</w:t>
            </w:r>
          </w:p>
        </w:tc>
        <w:tc>
          <w:tcPr>
            <w:tcW w:w="773"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autoSpaceDE w:val="0"/>
              <w:autoSpaceDN w:val="0"/>
              <w:spacing w:before="0" w:beforeAutospacing="0" w:after="0" w:afterAutospacing="0"/>
              <w:ind w:left="0" w:right="0"/>
              <w:jc w:val="center"/>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 xml:space="preserve">289.21 </w:t>
            </w:r>
          </w:p>
        </w:tc>
        <w:tc>
          <w:tcPr>
            <w:tcW w:w="958"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autoSpaceDE w:val="0"/>
              <w:autoSpaceDN w:val="0"/>
              <w:spacing w:before="0" w:beforeAutospacing="0" w:after="0" w:afterAutospacing="0"/>
              <w:ind w:left="0" w:right="0"/>
              <w:jc w:val="center"/>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 xml:space="preserve">50.73 </w:t>
            </w:r>
          </w:p>
        </w:tc>
        <w:tc>
          <w:tcPr>
            <w:tcW w:w="865"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autoSpaceDE w:val="0"/>
              <w:autoSpaceDN w:val="0"/>
              <w:spacing w:before="0" w:beforeAutospacing="0" w:after="0" w:afterAutospacing="0"/>
              <w:ind w:left="0" w:right="0"/>
              <w:jc w:val="center"/>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 xml:space="preserve">17.00 </w:t>
            </w:r>
          </w:p>
        </w:tc>
        <w:tc>
          <w:tcPr>
            <w:tcW w:w="865"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autoSpaceDE w:val="0"/>
              <w:autoSpaceDN w:val="0"/>
              <w:spacing w:before="0" w:beforeAutospacing="0" w:after="0" w:afterAutospacing="0"/>
              <w:ind w:left="0" w:right="0"/>
              <w:jc w:val="center"/>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 xml:space="preserve">356.94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49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autoSpaceDE w:val="0"/>
              <w:autoSpaceDN w:val="0"/>
              <w:spacing w:before="0" w:beforeAutospacing="0" w:after="0" w:afterAutospacing="0"/>
              <w:ind w:left="0" w:right="0"/>
              <w:jc w:val="center"/>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2</w:t>
            </w:r>
          </w:p>
        </w:tc>
        <w:tc>
          <w:tcPr>
            <w:tcW w:w="104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val="0"/>
              <w:spacing w:before="0" w:beforeAutospacing="0" w:after="0" w:afterAutospacing="0"/>
              <w:ind w:left="0" w:right="0"/>
              <w:jc w:val="center"/>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制镜厂家属区</w:t>
            </w:r>
          </w:p>
        </w:tc>
        <w:tc>
          <w:tcPr>
            <w:tcW w:w="773"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autoSpaceDE w:val="0"/>
              <w:autoSpaceDN w:val="0"/>
              <w:spacing w:before="0" w:beforeAutospacing="0" w:after="0" w:afterAutospacing="0"/>
              <w:ind w:left="0" w:right="0"/>
              <w:jc w:val="center"/>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 xml:space="preserve">204.30 </w:t>
            </w:r>
          </w:p>
        </w:tc>
        <w:tc>
          <w:tcPr>
            <w:tcW w:w="958"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autoSpaceDE w:val="0"/>
              <w:autoSpaceDN w:val="0"/>
              <w:spacing w:before="0" w:beforeAutospacing="0" w:after="0" w:afterAutospacing="0"/>
              <w:ind w:left="0" w:right="0"/>
              <w:jc w:val="center"/>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 xml:space="preserve">38.53 </w:t>
            </w:r>
          </w:p>
        </w:tc>
        <w:tc>
          <w:tcPr>
            <w:tcW w:w="865"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autoSpaceDE w:val="0"/>
              <w:autoSpaceDN w:val="0"/>
              <w:spacing w:before="0" w:beforeAutospacing="0" w:after="0" w:afterAutospacing="0"/>
              <w:ind w:left="0" w:right="0"/>
              <w:jc w:val="center"/>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 xml:space="preserve">12.14 </w:t>
            </w:r>
          </w:p>
        </w:tc>
        <w:tc>
          <w:tcPr>
            <w:tcW w:w="865"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autoSpaceDE w:val="0"/>
              <w:autoSpaceDN w:val="0"/>
              <w:spacing w:before="0" w:beforeAutospacing="0" w:after="0" w:afterAutospacing="0"/>
              <w:ind w:left="0" w:right="0"/>
              <w:jc w:val="center"/>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 xml:space="preserve">254.97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49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autoSpaceDE w:val="0"/>
              <w:autoSpaceDN w:val="0"/>
              <w:spacing w:before="0" w:beforeAutospacing="0" w:after="0" w:afterAutospacing="0"/>
              <w:ind w:left="0" w:right="0"/>
              <w:jc w:val="center"/>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3</w:t>
            </w:r>
          </w:p>
        </w:tc>
        <w:tc>
          <w:tcPr>
            <w:tcW w:w="104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val="0"/>
              <w:spacing w:before="0" w:beforeAutospacing="0" w:after="0" w:afterAutospacing="0"/>
              <w:ind w:left="0" w:right="0"/>
              <w:jc w:val="center"/>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司乘公寓片区</w:t>
            </w:r>
          </w:p>
        </w:tc>
        <w:tc>
          <w:tcPr>
            <w:tcW w:w="773"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autoSpaceDE w:val="0"/>
              <w:autoSpaceDN w:val="0"/>
              <w:spacing w:before="0" w:beforeAutospacing="0" w:after="0" w:afterAutospacing="0"/>
              <w:ind w:left="0" w:right="0"/>
              <w:jc w:val="center"/>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 xml:space="preserve">556.88 </w:t>
            </w:r>
          </w:p>
        </w:tc>
        <w:tc>
          <w:tcPr>
            <w:tcW w:w="958"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autoSpaceDE w:val="0"/>
              <w:autoSpaceDN w:val="0"/>
              <w:spacing w:before="0" w:beforeAutospacing="0" w:after="0" w:afterAutospacing="0"/>
              <w:ind w:left="0" w:right="0"/>
              <w:jc w:val="center"/>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 xml:space="preserve">74.64 </w:t>
            </w:r>
          </w:p>
        </w:tc>
        <w:tc>
          <w:tcPr>
            <w:tcW w:w="865"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autoSpaceDE w:val="0"/>
              <w:autoSpaceDN w:val="0"/>
              <w:spacing w:before="0" w:beforeAutospacing="0" w:after="0" w:afterAutospacing="0"/>
              <w:ind w:left="0" w:right="0"/>
              <w:jc w:val="center"/>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 xml:space="preserve">31.57 </w:t>
            </w:r>
          </w:p>
        </w:tc>
        <w:tc>
          <w:tcPr>
            <w:tcW w:w="865"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autoSpaceDE w:val="0"/>
              <w:autoSpaceDN w:val="0"/>
              <w:spacing w:before="0" w:beforeAutospacing="0" w:after="0" w:afterAutospacing="0"/>
              <w:ind w:left="0" w:right="0"/>
              <w:jc w:val="center"/>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 xml:space="preserve">663.09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92" w:type="pc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autoSpaceDE w:val="0"/>
              <w:autoSpaceDN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rPr>
            </w:pPr>
            <w:r>
              <w:rPr>
                <w:rFonts w:hint="eastAsia" w:ascii="宋体" w:hAnsi="宋体" w:eastAsia="宋体" w:cs="宋体"/>
                <w:b/>
                <w:bCs/>
                <w:i w:val="0"/>
                <w:iCs w:val="0"/>
                <w:color w:val="000000"/>
                <w:kern w:val="0"/>
                <w:sz w:val="21"/>
                <w:szCs w:val="21"/>
                <w:lang w:val="en-US" w:eastAsia="zh-CN" w:bidi="ar"/>
              </w:rPr>
              <w:t>合计</w:t>
            </w:r>
          </w:p>
        </w:tc>
        <w:tc>
          <w:tcPr>
            <w:tcW w:w="1043" w:type="pct"/>
            <w:tcBorders>
              <w:top w:val="nil"/>
              <w:left w:val="nil"/>
              <w:bottom w:val="single" w:color="000000" w:sz="8" w:space="0"/>
              <w:right w:val="single" w:color="000000" w:sz="8" w:space="0"/>
            </w:tcBorders>
            <w:shd w:val="clear" w:color="auto" w:fill="auto"/>
            <w:noWrap/>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宋体" w:hAnsi="宋体" w:eastAsia="宋体" w:cs="宋体"/>
                <w:b/>
                <w:bCs/>
                <w:i w:val="0"/>
                <w:iCs w:val="0"/>
                <w:color w:val="000000"/>
                <w:sz w:val="21"/>
                <w:szCs w:val="21"/>
              </w:rPr>
            </w:pPr>
          </w:p>
        </w:tc>
        <w:tc>
          <w:tcPr>
            <w:tcW w:w="773"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autoSpaceDE w:val="0"/>
              <w:autoSpaceDN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rPr>
            </w:pPr>
            <w:r>
              <w:rPr>
                <w:rFonts w:hint="eastAsia" w:ascii="宋体" w:hAnsi="宋体" w:eastAsia="宋体" w:cs="宋体"/>
                <w:b/>
                <w:bCs/>
                <w:i w:val="0"/>
                <w:iCs w:val="0"/>
                <w:color w:val="000000"/>
                <w:kern w:val="0"/>
                <w:sz w:val="21"/>
                <w:szCs w:val="21"/>
                <w:lang w:val="en-US" w:eastAsia="zh-CN" w:bidi="ar"/>
              </w:rPr>
              <w:t xml:space="preserve">1050.39 </w:t>
            </w:r>
          </w:p>
        </w:tc>
        <w:tc>
          <w:tcPr>
            <w:tcW w:w="958"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autoSpaceDE w:val="0"/>
              <w:autoSpaceDN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rPr>
            </w:pPr>
            <w:r>
              <w:rPr>
                <w:rFonts w:hint="eastAsia" w:ascii="宋体" w:hAnsi="宋体" w:eastAsia="宋体" w:cs="宋体"/>
                <w:b/>
                <w:bCs/>
                <w:i w:val="0"/>
                <w:iCs w:val="0"/>
                <w:color w:val="000000"/>
                <w:kern w:val="0"/>
                <w:sz w:val="21"/>
                <w:szCs w:val="21"/>
                <w:lang w:val="en-US" w:eastAsia="zh-CN" w:bidi="ar"/>
              </w:rPr>
              <w:t xml:space="preserve">163.90 </w:t>
            </w:r>
          </w:p>
        </w:tc>
        <w:tc>
          <w:tcPr>
            <w:tcW w:w="865"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autoSpaceDE w:val="0"/>
              <w:autoSpaceDN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rPr>
            </w:pPr>
            <w:r>
              <w:rPr>
                <w:rFonts w:hint="eastAsia" w:ascii="宋体" w:hAnsi="宋体" w:eastAsia="宋体" w:cs="宋体"/>
                <w:b/>
                <w:bCs/>
                <w:i w:val="0"/>
                <w:iCs w:val="0"/>
                <w:color w:val="000000"/>
                <w:kern w:val="0"/>
                <w:sz w:val="21"/>
                <w:szCs w:val="21"/>
                <w:lang w:val="en-US" w:eastAsia="zh-CN" w:bidi="ar"/>
              </w:rPr>
              <w:t xml:space="preserve">60.71 </w:t>
            </w:r>
          </w:p>
        </w:tc>
        <w:tc>
          <w:tcPr>
            <w:tcW w:w="865"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autoSpaceDE w:val="0"/>
              <w:autoSpaceDN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rPr>
            </w:pPr>
            <w:r>
              <w:rPr>
                <w:rFonts w:hint="eastAsia" w:ascii="宋体" w:hAnsi="宋体" w:eastAsia="宋体" w:cs="宋体"/>
                <w:b/>
                <w:bCs/>
                <w:i w:val="0"/>
                <w:iCs w:val="0"/>
                <w:color w:val="000000"/>
                <w:kern w:val="0"/>
                <w:sz w:val="21"/>
                <w:szCs w:val="21"/>
                <w:lang w:val="en-US" w:eastAsia="zh-CN" w:bidi="ar"/>
              </w:rPr>
              <w:t xml:space="preserve">1275.00 </w:t>
            </w:r>
          </w:p>
        </w:tc>
      </w:tr>
    </w:tbl>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rPr>
        <w:t>（四）项目概况</w:t>
      </w:r>
    </w:p>
    <w:p>
      <w:pPr>
        <w:keepNext w:val="0"/>
        <w:keepLines w:val="0"/>
        <w:widowControl/>
        <w:suppressLineNumbers w:val="0"/>
        <w:autoSpaceDE w:val="0"/>
        <w:autoSpaceDN w:val="0"/>
        <w:spacing w:before="0" w:beforeAutospacing="0" w:after="0" w:afterAutospacing="0" w:line="360" w:lineRule="auto"/>
        <w:ind w:left="0" w:right="0"/>
        <w:jc w:val="center"/>
        <w:rPr>
          <w:rFonts w:hint="default"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lang w:val="en-US" w:eastAsia="zh-CN"/>
        </w:rPr>
        <w:t>北塔区</w:t>
      </w:r>
      <w:r>
        <w:rPr>
          <w:rFonts w:hint="default" w:ascii="仿宋" w:hAnsi="仿宋" w:eastAsia="仿宋" w:cs="仿宋"/>
          <w:color w:val="000000"/>
          <w:sz w:val="28"/>
          <w:szCs w:val="28"/>
          <w:shd w:val="clear" w:color="auto" w:fill="FFFFFF"/>
          <w:lang w:val="en-US" w:eastAsia="zh-CN"/>
        </w:rPr>
        <w:t>2024</w:t>
      </w:r>
      <w:r>
        <w:rPr>
          <w:rFonts w:hint="eastAsia" w:ascii="仿宋" w:hAnsi="仿宋" w:eastAsia="仿宋" w:cs="仿宋"/>
          <w:color w:val="000000"/>
          <w:sz w:val="28"/>
          <w:szCs w:val="28"/>
          <w:shd w:val="clear" w:color="auto" w:fill="FFFFFF"/>
          <w:lang w:val="en-US" w:eastAsia="zh-CN"/>
        </w:rPr>
        <w:t>年城镇老旧小区改造配套基础设施建设项目第一片区（邵阳学院江北分院家属区、制镜厂家属区、司乘公寓片区）现状建筑基本为房改房，</w:t>
      </w:r>
      <w:r>
        <w:rPr>
          <w:rFonts w:hint="default" w:ascii="仿宋" w:hAnsi="仿宋" w:eastAsia="仿宋" w:cs="仿宋"/>
          <w:color w:val="000000"/>
          <w:sz w:val="28"/>
          <w:szCs w:val="28"/>
          <w:shd w:val="clear" w:color="auto" w:fill="FFFFFF"/>
          <w:lang w:eastAsia="zh-CN"/>
        </w:rPr>
        <w:t>由于</w:t>
      </w:r>
      <w:r>
        <w:rPr>
          <w:rFonts w:hint="eastAsia" w:ascii="仿宋" w:hAnsi="仿宋" w:eastAsia="仿宋" w:cs="仿宋"/>
          <w:color w:val="000000"/>
          <w:sz w:val="28"/>
          <w:szCs w:val="28"/>
          <w:shd w:val="clear" w:color="auto" w:fill="FFFFFF"/>
          <w:lang w:val="en-US" w:eastAsia="zh-CN"/>
        </w:rPr>
        <w:t>使用年限久，建筑质量</w:t>
      </w:r>
      <w:r>
        <w:rPr>
          <w:rFonts w:hint="default" w:ascii="仿宋" w:hAnsi="仿宋" w:eastAsia="仿宋" w:cs="仿宋"/>
          <w:color w:val="000000"/>
          <w:sz w:val="28"/>
          <w:szCs w:val="28"/>
          <w:shd w:val="clear" w:color="auto" w:fill="FFFFFF"/>
          <w:lang w:eastAsia="zh-CN"/>
        </w:rPr>
        <w:t>和</w:t>
      </w:r>
      <w:r>
        <w:rPr>
          <w:rFonts w:hint="eastAsia" w:ascii="仿宋" w:hAnsi="仿宋" w:eastAsia="仿宋" w:cs="仿宋"/>
          <w:color w:val="000000"/>
          <w:sz w:val="28"/>
          <w:szCs w:val="28"/>
          <w:shd w:val="clear" w:color="auto" w:fill="FFFFFF"/>
          <w:lang w:val="en-US" w:eastAsia="zh-CN"/>
        </w:rPr>
        <w:t>环境</w:t>
      </w:r>
      <w:r>
        <w:rPr>
          <w:rFonts w:hint="default" w:ascii="仿宋" w:hAnsi="仿宋" w:eastAsia="仿宋" w:cs="仿宋"/>
          <w:color w:val="000000"/>
          <w:sz w:val="28"/>
          <w:szCs w:val="28"/>
          <w:shd w:val="clear" w:color="auto" w:fill="FFFFFF"/>
          <w:lang w:eastAsia="zh-CN"/>
        </w:rPr>
        <w:t>卫生均</w:t>
      </w:r>
      <w:r>
        <w:rPr>
          <w:rFonts w:hint="eastAsia" w:ascii="仿宋" w:hAnsi="仿宋" w:eastAsia="仿宋" w:cs="仿宋"/>
          <w:color w:val="000000"/>
          <w:sz w:val="28"/>
          <w:szCs w:val="28"/>
          <w:shd w:val="clear" w:color="auto" w:fill="FFFFFF"/>
          <w:lang w:val="en-US" w:eastAsia="zh-CN"/>
        </w:rPr>
        <w:t>亟需改造提升。</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000000"/>
          <w:sz w:val="28"/>
          <w:szCs w:val="28"/>
          <w:shd w:val="clear" w:color="auto" w:fill="FFFFFF"/>
          <w:lang w:eastAsia="zh-CN"/>
        </w:rPr>
      </w:pPr>
      <w:r>
        <w:rPr>
          <w:rFonts w:hint="default" w:ascii="仿宋" w:hAnsi="仿宋" w:eastAsia="仿宋" w:cs="仿宋"/>
          <w:color w:val="000000"/>
          <w:sz w:val="28"/>
          <w:szCs w:val="28"/>
          <w:shd w:val="clear" w:color="auto" w:fill="FFFFFF"/>
          <w:lang w:eastAsia="zh-CN"/>
        </w:rPr>
        <w:t>本项目</w:t>
      </w:r>
      <w:r>
        <w:rPr>
          <w:rFonts w:hint="eastAsia" w:ascii="仿宋" w:hAnsi="仿宋" w:eastAsia="仿宋" w:cs="仿宋"/>
          <w:color w:val="000000"/>
          <w:sz w:val="28"/>
          <w:szCs w:val="28"/>
          <w:shd w:val="clear" w:color="auto" w:fill="FFFFFF"/>
          <w:lang w:val="en-US" w:eastAsia="zh-CN"/>
        </w:rPr>
        <w:t>属于基础设施建设工程，旨在改善城区居民居住条件，提高居民生活质量。项目建设期为2024年3月-2024年12月，建设工期共10个月。由邵阳市北塔区住房和城乡建设局负责建设和管理，通过“湖南省固定资产投资项目在线审批监管平台”，如实报送项目开工建设、建设进度、竣工投用等基本信息，邵阳市北塔区发展和改革局采取在线监测、现场核查等方式，加强对项目实施的事中事后监管。项目建设完毕后由各小区自行负责，确保项目资产性能、完好率满足相关正常使用要求。</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二、事前绩效评估的基本情况</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（一）评估程序</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1、准备阶段</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lang w:eastAsia="zh-CN"/>
        </w:rPr>
        <w:t xml:space="preserve">①确定评估对象。根据部门职能，按照中央和省委、省政府决策部署，依据年度预算编制管理的有关要求，县财政局绩效股拟定事前绩效评估项目，受托的第三方机构进一步确定评估对象、评估方式、评估依据和评估内容，制定具体工作计划。 </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lang w:eastAsia="zh-CN"/>
        </w:rPr>
        <w:t>②成立评估组织。成立</w:t>
      </w:r>
      <w:r>
        <w:rPr>
          <w:rFonts w:hint="eastAsia" w:ascii="仿宋" w:hAnsi="仿宋" w:eastAsia="仿宋" w:cs="仿宋"/>
          <w:color w:val="000000"/>
          <w:sz w:val="28"/>
          <w:szCs w:val="28"/>
          <w:shd w:val="clear" w:color="auto" w:fill="FFFFFF"/>
          <w:lang w:val="en-US" w:eastAsia="zh-CN"/>
        </w:rPr>
        <w:t>事前绩效</w:t>
      </w:r>
      <w:r>
        <w:rPr>
          <w:rFonts w:hint="eastAsia" w:ascii="仿宋" w:hAnsi="仿宋" w:eastAsia="仿宋" w:cs="仿宋"/>
          <w:color w:val="000000"/>
          <w:sz w:val="28"/>
          <w:szCs w:val="28"/>
          <w:shd w:val="clear" w:color="auto" w:fill="FFFFFF"/>
          <w:lang w:eastAsia="zh-CN"/>
        </w:rPr>
        <w:t>评估组，确定评估工作人员，明确责任和任务。</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lang w:eastAsia="zh-CN"/>
        </w:rPr>
        <w:t>③制定评估方案。</w:t>
      </w:r>
      <w:r>
        <w:rPr>
          <w:rFonts w:hint="eastAsia" w:ascii="仿宋" w:hAnsi="仿宋" w:eastAsia="仿宋" w:cs="仿宋"/>
          <w:color w:val="000000"/>
          <w:sz w:val="28"/>
          <w:szCs w:val="28"/>
          <w:shd w:val="clear" w:color="auto" w:fill="FFFFFF"/>
          <w:lang w:val="en-US" w:eastAsia="zh-CN"/>
        </w:rPr>
        <w:t>根据评估任务制定评估方案，明确评估目的、内容、时间安排和工作要求等具体事项</w:t>
      </w:r>
      <w:r>
        <w:rPr>
          <w:rFonts w:hint="default" w:ascii="仿宋" w:hAnsi="仿宋" w:eastAsia="仿宋" w:cs="仿宋"/>
          <w:color w:val="000000"/>
          <w:sz w:val="28"/>
          <w:szCs w:val="28"/>
          <w:shd w:val="clear" w:color="auto" w:fill="FFFFFF"/>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2、实施阶段</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lang w:eastAsia="zh-CN"/>
        </w:rPr>
        <w:t>①资料收集与审核。全面收集与被评估政策和项目有关的数据和资料，并进行审核与分析。</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lang w:eastAsia="zh-CN"/>
        </w:rPr>
        <w:t>②开展</w:t>
      </w:r>
      <w:r>
        <w:rPr>
          <w:rFonts w:hint="eastAsia" w:ascii="仿宋" w:hAnsi="仿宋" w:eastAsia="仿宋" w:cs="仿宋"/>
          <w:color w:val="000000"/>
          <w:sz w:val="28"/>
          <w:szCs w:val="28"/>
          <w:shd w:val="clear" w:color="auto" w:fill="FFFFFF"/>
          <w:lang w:val="en-US" w:eastAsia="zh-CN"/>
        </w:rPr>
        <w:t>非</w:t>
      </w:r>
      <w:r>
        <w:rPr>
          <w:rFonts w:hint="eastAsia" w:ascii="仿宋" w:hAnsi="仿宋" w:eastAsia="仿宋" w:cs="仿宋"/>
          <w:color w:val="000000"/>
          <w:sz w:val="28"/>
          <w:szCs w:val="28"/>
          <w:shd w:val="clear" w:color="auto" w:fill="FFFFFF"/>
          <w:lang w:eastAsia="zh-CN"/>
        </w:rPr>
        <w:t>现场评估。评估组对有关资料进行分类、整理与分析，提出评估意见。</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lang w:eastAsia="zh-CN"/>
        </w:rPr>
        <w:t>③综合评估。评估组选择因素分析、公众评判等方法，对照评估方案中内容，对政策和项目立项必要性、投入经济性、绩效目标合理性、实施方案可行性、筹资合规性等情况进行综合评判。</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3、报告阶段</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lang w:eastAsia="zh-CN"/>
        </w:rPr>
        <w:t>按照规定的文本格式和要求撰写事前绩效评估报告，报告内容包括介绍评估对象的基本情况、评估采用的主要方法、评估的主要内容及结论、相关建议及有关问题的说明等。</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（二）评估思路</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lang w:eastAsia="zh-CN"/>
        </w:rPr>
        <w:t>本次</w:t>
      </w:r>
      <w:r>
        <w:rPr>
          <w:rFonts w:hint="eastAsia" w:ascii="仿宋" w:hAnsi="仿宋" w:eastAsia="仿宋" w:cs="仿宋"/>
          <w:color w:val="000000"/>
          <w:sz w:val="28"/>
          <w:szCs w:val="28"/>
          <w:shd w:val="clear" w:color="auto" w:fill="FFFFFF"/>
          <w:lang w:val="en-US" w:eastAsia="zh-CN"/>
        </w:rPr>
        <w:t>事前绩效</w:t>
      </w:r>
      <w:r>
        <w:rPr>
          <w:rFonts w:hint="eastAsia" w:ascii="仿宋" w:hAnsi="仿宋" w:eastAsia="仿宋" w:cs="仿宋"/>
          <w:color w:val="000000"/>
          <w:sz w:val="28"/>
          <w:szCs w:val="28"/>
          <w:shd w:val="clear" w:color="auto" w:fill="FFFFFF"/>
          <w:lang w:eastAsia="zh-CN"/>
        </w:rPr>
        <w:t>评估主要依据《中共中央国务院关于全面实施预算绩效管理的意见》（中发〔2018〕34号）、《中共湖南省委办公厅湖南省人民政府办公厅关于全面实施预算绩效管理的实施意见》（湘办发〔2019〕10号）</w:t>
      </w:r>
      <w:r>
        <w:rPr>
          <w:rFonts w:hint="eastAsia" w:ascii="仿宋" w:hAnsi="仿宋" w:eastAsia="仿宋" w:cs="仿宋"/>
          <w:color w:val="000000"/>
          <w:sz w:val="28"/>
          <w:szCs w:val="28"/>
          <w:shd w:val="clear" w:color="auto" w:fill="FFFFFF"/>
          <w:lang w:val="en-US" w:eastAsia="zh-CN"/>
        </w:rPr>
        <w:t>和湖南</w:t>
      </w:r>
      <w:r>
        <w:rPr>
          <w:rFonts w:hint="eastAsia" w:ascii="仿宋" w:hAnsi="仿宋" w:eastAsia="仿宋" w:cs="仿宋"/>
          <w:color w:val="000000"/>
          <w:sz w:val="28"/>
          <w:szCs w:val="28"/>
          <w:shd w:val="clear" w:color="auto" w:fill="FFFFFF"/>
          <w:lang w:eastAsia="zh-CN"/>
        </w:rPr>
        <w:t>省财政厅印发的《</w:t>
      </w:r>
      <w:r>
        <w:rPr>
          <w:rFonts w:hint="eastAsia" w:ascii="仿宋" w:hAnsi="仿宋" w:eastAsia="仿宋" w:cs="仿宋"/>
          <w:color w:val="000000"/>
          <w:sz w:val="28"/>
          <w:szCs w:val="28"/>
          <w:shd w:val="clear" w:color="auto" w:fill="FFFFFF"/>
          <w:lang w:val="en-US" w:eastAsia="zh-CN"/>
        </w:rPr>
        <w:t>湖南</w:t>
      </w:r>
      <w:r>
        <w:rPr>
          <w:rFonts w:hint="eastAsia" w:ascii="仿宋" w:hAnsi="仿宋" w:eastAsia="仿宋" w:cs="仿宋"/>
          <w:color w:val="000000"/>
          <w:sz w:val="28"/>
          <w:szCs w:val="28"/>
          <w:shd w:val="clear" w:color="auto" w:fill="FFFFFF"/>
          <w:lang w:eastAsia="zh-CN"/>
        </w:rPr>
        <w:t>省省级</w:t>
      </w:r>
      <w:r>
        <w:rPr>
          <w:rFonts w:hint="eastAsia" w:ascii="仿宋" w:hAnsi="仿宋" w:eastAsia="仿宋" w:cs="仿宋"/>
          <w:color w:val="000000"/>
          <w:sz w:val="28"/>
          <w:szCs w:val="28"/>
          <w:shd w:val="clear" w:color="auto" w:fill="FFFFFF"/>
          <w:lang w:val="en-US" w:eastAsia="zh-CN"/>
        </w:rPr>
        <w:t>预算事前绩效评估管理暂行办法</w:t>
      </w:r>
      <w:r>
        <w:rPr>
          <w:rFonts w:hint="eastAsia" w:ascii="仿宋" w:hAnsi="仿宋" w:eastAsia="仿宋" w:cs="仿宋"/>
          <w:color w:val="000000"/>
          <w:sz w:val="28"/>
          <w:szCs w:val="28"/>
          <w:shd w:val="clear" w:color="auto" w:fill="FFFFFF"/>
          <w:lang w:eastAsia="zh-CN"/>
        </w:rPr>
        <w:t>》</w:t>
      </w:r>
      <w:r>
        <w:rPr>
          <w:rFonts w:hint="eastAsia" w:ascii="仿宋" w:hAnsi="仿宋" w:eastAsia="仿宋" w:cs="仿宋"/>
          <w:color w:val="000000"/>
          <w:sz w:val="28"/>
          <w:szCs w:val="28"/>
          <w:shd w:val="clear" w:color="auto" w:fill="FFFFFF"/>
          <w:lang w:val="en-US" w:eastAsia="zh-CN"/>
        </w:rPr>
        <w:t>等相关规定</w:t>
      </w:r>
      <w:r>
        <w:rPr>
          <w:rFonts w:hint="eastAsia" w:ascii="仿宋" w:hAnsi="仿宋" w:eastAsia="仿宋" w:cs="仿宋"/>
          <w:color w:val="000000"/>
          <w:sz w:val="28"/>
          <w:szCs w:val="28"/>
          <w:shd w:val="clear" w:color="auto" w:fill="FFFFFF"/>
          <w:lang w:eastAsia="zh-CN"/>
        </w:rPr>
        <w:t>执行，运</w:t>
      </w:r>
      <w:r>
        <w:rPr>
          <w:rFonts w:hint="eastAsia" w:ascii="仿宋" w:hAnsi="仿宋" w:eastAsia="仿宋" w:cs="仿宋"/>
          <w:color w:val="000000"/>
          <w:sz w:val="28"/>
          <w:szCs w:val="28"/>
          <w:shd w:val="clear" w:color="auto" w:fill="FFFFFF"/>
          <w:lang w:val="en-US" w:eastAsia="zh-CN"/>
        </w:rPr>
        <w:t>用</w:t>
      </w:r>
      <w:r>
        <w:rPr>
          <w:rFonts w:hint="eastAsia" w:ascii="仿宋" w:hAnsi="仿宋" w:eastAsia="仿宋" w:cs="仿宋"/>
          <w:color w:val="000000"/>
          <w:sz w:val="28"/>
          <w:szCs w:val="28"/>
          <w:shd w:val="clear" w:color="auto" w:fill="FFFFFF"/>
          <w:lang w:eastAsia="zh-CN"/>
        </w:rPr>
        <w:t>科学、合理的评估方法，对政策或项目立项必要性、投入经济性、绩效目标合理性、实施方案可行性、筹资和规定等进行客观、公正的评估。</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（三）评估方式、方法</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lang w:val="en-US" w:eastAsia="zh-CN"/>
        </w:rPr>
        <w:t>城镇老旧小区改造项目是北塔区的重点民生工程项目，属于</w:t>
      </w:r>
      <w:r>
        <w:rPr>
          <w:rFonts w:hint="eastAsia" w:ascii="仿宋" w:hAnsi="仿宋" w:eastAsia="仿宋" w:cs="仿宋"/>
          <w:color w:val="000000"/>
          <w:sz w:val="28"/>
          <w:szCs w:val="28"/>
          <w:shd w:val="clear" w:color="auto" w:fill="FFFFFF"/>
          <w:lang w:eastAsia="zh-CN"/>
        </w:rPr>
        <w:t>利益相关方涉及对象多、作用范围广的</w:t>
      </w:r>
      <w:r>
        <w:rPr>
          <w:rFonts w:hint="eastAsia" w:ascii="仿宋" w:hAnsi="仿宋" w:eastAsia="仿宋" w:cs="仿宋"/>
          <w:color w:val="000000"/>
          <w:sz w:val="28"/>
          <w:szCs w:val="28"/>
          <w:shd w:val="clear" w:color="auto" w:fill="FFFFFF"/>
          <w:lang w:val="en-US" w:eastAsia="zh-CN"/>
        </w:rPr>
        <w:t>重大</w:t>
      </w:r>
      <w:r>
        <w:rPr>
          <w:rFonts w:hint="default" w:ascii="仿宋" w:hAnsi="仿宋" w:eastAsia="仿宋" w:cs="仿宋"/>
          <w:color w:val="000000"/>
          <w:sz w:val="28"/>
          <w:szCs w:val="28"/>
          <w:shd w:val="clear" w:color="auto" w:fill="FFFFFF"/>
          <w:lang w:eastAsia="zh-CN"/>
        </w:rPr>
        <w:t>项目</w:t>
      </w:r>
      <w:r>
        <w:rPr>
          <w:rFonts w:hint="eastAsia" w:ascii="仿宋" w:hAnsi="仿宋" w:eastAsia="仿宋" w:cs="仿宋"/>
          <w:color w:val="000000"/>
          <w:sz w:val="28"/>
          <w:szCs w:val="28"/>
          <w:shd w:val="clear" w:color="auto" w:fill="FFFFFF"/>
          <w:lang w:val="en-US" w:eastAsia="zh-CN"/>
        </w:rPr>
        <w:t>事前绩效评估</w:t>
      </w:r>
      <w:r>
        <w:rPr>
          <w:rFonts w:hint="default" w:ascii="仿宋" w:hAnsi="仿宋" w:eastAsia="仿宋" w:cs="仿宋"/>
          <w:color w:val="000000"/>
          <w:sz w:val="28"/>
          <w:szCs w:val="28"/>
          <w:shd w:val="clear" w:color="auto" w:fill="FFFFFF"/>
          <w:lang w:eastAsia="zh-CN"/>
        </w:rPr>
        <w:t>。</w:t>
      </w:r>
      <w:r>
        <w:rPr>
          <w:rFonts w:hint="eastAsia" w:ascii="仿宋" w:hAnsi="仿宋" w:eastAsia="仿宋" w:cs="仿宋"/>
          <w:color w:val="000000"/>
          <w:sz w:val="28"/>
          <w:szCs w:val="28"/>
          <w:shd w:val="clear" w:color="auto" w:fill="FFFFFF"/>
          <w:lang w:val="en-US" w:eastAsia="zh-CN"/>
        </w:rPr>
        <w:t>因此</w:t>
      </w:r>
      <w:r>
        <w:rPr>
          <w:rFonts w:hint="eastAsia" w:ascii="仿宋" w:hAnsi="仿宋" w:eastAsia="仿宋" w:cs="仿宋"/>
          <w:color w:val="000000"/>
          <w:sz w:val="28"/>
          <w:szCs w:val="28"/>
          <w:shd w:val="clear" w:color="auto" w:fill="FFFFFF"/>
          <w:lang w:eastAsia="zh-CN"/>
        </w:rPr>
        <w:t>采用问卷调查的方式，向评估</w:t>
      </w:r>
      <w:r>
        <w:rPr>
          <w:rFonts w:hint="default" w:ascii="仿宋" w:hAnsi="仿宋" w:eastAsia="仿宋" w:cs="仿宋"/>
          <w:color w:val="000000"/>
          <w:sz w:val="28"/>
          <w:szCs w:val="28"/>
          <w:shd w:val="clear" w:color="auto" w:fill="FFFFFF"/>
          <w:lang w:eastAsia="zh-CN"/>
        </w:rPr>
        <w:t>项目</w:t>
      </w:r>
      <w:r>
        <w:rPr>
          <w:rFonts w:hint="eastAsia" w:ascii="仿宋" w:hAnsi="仿宋" w:eastAsia="仿宋" w:cs="仿宋"/>
          <w:color w:val="000000"/>
          <w:sz w:val="28"/>
          <w:szCs w:val="28"/>
          <w:shd w:val="clear" w:color="auto" w:fill="FFFFFF"/>
          <w:lang w:eastAsia="zh-CN"/>
        </w:rPr>
        <w:t>利益相关方了解情况</w:t>
      </w:r>
      <w:r>
        <w:rPr>
          <w:rFonts w:hint="eastAsia" w:ascii="仿宋" w:hAnsi="仿宋" w:eastAsia="仿宋" w:cs="仿宋"/>
          <w:color w:val="000000"/>
          <w:sz w:val="28"/>
          <w:szCs w:val="28"/>
          <w:shd w:val="clear" w:color="auto" w:fill="FFFFFF"/>
          <w:lang w:val="en-US" w:eastAsia="zh-CN"/>
        </w:rPr>
        <w:t>以及</w:t>
      </w:r>
      <w:r>
        <w:rPr>
          <w:rFonts w:hint="eastAsia" w:ascii="仿宋" w:hAnsi="仿宋" w:eastAsia="仿宋" w:cs="仿宋"/>
          <w:color w:val="000000"/>
          <w:sz w:val="28"/>
          <w:szCs w:val="28"/>
          <w:shd w:val="clear" w:color="auto" w:fill="FFFFFF"/>
          <w:lang w:eastAsia="zh-CN"/>
        </w:rPr>
        <w:t>征询意见。本次事前评估方法按照规范的程序，采用因素分析法、公众评判法、文献法等评估方法科学开展。</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三、评估内容与结论</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（一）立项必要性</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default" w:ascii="仿宋" w:hAnsi="仿宋" w:eastAsia="仿宋" w:cs="仿宋"/>
          <w:b/>
          <w:bCs/>
          <w:sz w:val="28"/>
          <w:szCs w:val="28"/>
        </w:rPr>
      </w:pPr>
      <w:r>
        <w:rPr>
          <w:rFonts w:hint="default" w:ascii="仿宋" w:hAnsi="仿宋" w:eastAsia="仿宋" w:cs="仿宋"/>
          <w:b/>
          <w:bCs/>
          <w:sz w:val="28"/>
          <w:szCs w:val="28"/>
        </w:rPr>
        <w:t>1.政策相关性、财政投入相关性</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lang w:val="en-US" w:eastAsia="zh-CN"/>
        </w:rPr>
        <w:t>城镇老旧小区改造是党中央、国务院高度重视的一项民生工程，北塔区2024年城镇老旧小区改造配套基础设施建设项目第一片区全面贯彻落实党的十九大精神，积极响应国家、省关于老旧小区改造相关建设政策的需要；是解决城市发展不平衡不充分问题，实现人民群众对美好生活向往的重要举措。通过城镇老旧小区改造能提升区域环境卫生水平，改善城市人居环境，提高人民生活质量，是一项推动城市更新、提升城市形象的系统工程。</w:t>
      </w:r>
      <w:r>
        <w:rPr>
          <w:rFonts w:hint="default" w:ascii="仿宋" w:hAnsi="仿宋" w:eastAsia="仿宋" w:cs="仿宋"/>
          <w:color w:val="000000"/>
          <w:sz w:val="28"/>
          <w:szCs w:val="28"/>
          <w:shd w:val="clear" w:color="auto" w:fill="FFFFFF"/>
          <w:lang w:eastAsia="zh-CN"/>
        </w:rPr>
        <w:t>本项目</w:t>
      </w:r>
      <w:r>
        <w:rPr>
          <w:rFonts w:hint="eastAsia" w:ascii="仿宋" w:hAnsi="仿宋" w:eastAsia="仿宋" w:cs="仿宋"/>
          <w:color w:val="000000"/>
          <w:sz w:val="28"/>
          <w:szCs w:val="28"/>
          <w:shd w:val="clear" w:color="auto" w:fill="FFFFFF"/>
          <w:lang w:val="en-US" w:eastAsia="zh-CN"/>
        </w:rPr>
        <w:t>建成后，将为区域内的居民营造良好的生活环境，</w:t>
      </w:r>
      <w:r>
        <w:rPr>
          <w:rFonts w:hint="eastAsia" w:ascii="仿宋" w:hAnsi="仿宋" w:eastAsia="仿宋" w:cs="仿宋"/>
          <w:color w:val="000000"/>
          <w:sz w:val="28"/>
          <w:szCs w:val="28"/>
          <w:shd w:val="clear" w:color="auto" w:fill="FFFFFF"/>
          <w:lang w:eastAsia="zh-CN"/>
        </w:rPr>
        <w:t>属于公共财政支持范围。</w:t>
      </w:r>
    </w:p>
    <w:p>
      <w:pPr>
        <w:keepNext w:val="0"/>
        <w:keepLines w:val="0"/>
        <w:pageBreakBefore w:val="0"/>
        <w:widowControl/>
        <w:numPr>
          <w:ilvl w:val="0"/>
          <w:numId w:val="0"/>
        </w:numPr>
        <w:suppressLineNumbers w:val="0"/>
        <w:kinsoku/>
        <w:wordWrap/>
        <w:topLinePunct w:val="0"/>
        <w:autoSpaceDE/>
        <w:autoSpaceDN/>
        <w:bidi w:val="0"/>
        <w:adjustRightInd/>
        <w:snapToGrid/>
        <w:spacing w:line="360" w:lineRule="auto"/>
        <w:ind w:leftChars="200"/>
        <w:jc w:val="left"/>
        <w:textAlignment w:val="auto"/>
        <w:rPr>
          <w:rFonts w:hint="default" w:ascii="宋体" w:hAnsi="宋体" w:cs="宋体"/>
          <w:b/>
          <w:bCs/>
          <w:sz w:val="28"/>
          <w:szCs w:val="28"/>
          <w:lang w:eastAsia="zh-CN"/>
        </w:rPr>
      </w:pPr>
      <w:r>
        <w:rPr>
          <w:rFonts w:hint="default" w:ascii="仿宋" w:hAnsi="仿宋" w:eastAsia="仿宋" w:cs="仿宋"/>
          <w:b/>
          <w:bCs/>
          <w:sz w:val="28"/>
          <w:szCs w:val="28"/>
          <w:lang w:eastAsia="zh-CN"/>
        </w:rPr>
        <w:t>2.职能相关性</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cs="仿宋"/>
          <w:color w:val="000000"/>
          <w:sz w:val="28"/>
          <w:szCs w:val="28"/>
          <w:shd w:val="clear" w:color="auto" w:fill="FFFFFF"/>
          <w:lang w:eastAsia="zh-CN"/>
        </w:rPr>
      </w:pPr>
      <w:r>
        <w:rPr>
          <w:rFonts w:hint="default" w:ascii="仿宋" w:hAnsi="仿宋" w:eastAsia="仿宋" w:cs="仿宋"/>
          <w:color w:val="000000"/>
          <w:sz w:val="28"/>
          <w:szCs w:val="28"/>
          <w:shd w:val="clear" w:color="auto" w:fill="FFFFFF"/>
          <w:lang w:eastAsia="zh-CN"/>
        </w:rPr>
        <w:t>邵阳市北塔区住房和城乡建设局主要负责全区住房制度政策规定、改革方案的拟定和实施，全区住房保障规划的制度和落实，经济适用房和廉租住房的建设和管理，职能相关；但本项目建设未见相关会议纪要。</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default" w:ascii="仿宋" w:hAnsi="仿宋" w:eastAsia="仿宋" w:cs="仿宋"/>
          <w:b/>
          <w:bCs/>
          <w:sz w:val="28"/>
          <w:szCs w:val="28"/>
          <w:lang w:eastAsia="zh-CN"/>
        </w:rPr>
      </w:pPr>
      <w:r>
        <w:rPr>
          <w:rFonts w:hint="default" w:ascii="仿宋" w:hAnsi="仿宋" w:eastAsia="仿宋" w:cs="仿宋"/>
          <w:b/>
          <w:bCs/>
          <w:sz w:val="28"/>
          <w:szCs w:val="28"/>
          <w:lang w:eastAsia="zh-CN"/>
        </w:rPr>
        <w:t>3.需求相关性</w:t>
      </w:r>
    </w:p>
    <w:p>
      <w:pPr>
        <w:pStyle w:val="8"/>
        <w:keepNext w:val="0"/>
        <w:keepLines w:val="0"/>
        <w:widowControl w:val="0"/>
        <w:suppressLineNumbers w:val="0"/>
        <w:autoSpaceDE w:val="0"/>
        <w:autoSpaceDN w:val="0"/>
        <w:spacing w:before="0" w:beforeAutospacing="0" w:after="0" w:afterAutospacing="0" w:line="360" w:lineRule="auto"/>
        <w:ind w:left="0" w:leftChars="0" w:right="0" w:rightChars="0" w:firstLine="560" w:firstLineChars="200"/>
        <w:jc w:val="left"/>
        <w:rPr>
          <w:rFonts w:hint="default" w:ascii="仿宋" w:hAnsi="仿宋" w:eastAsia="仿宋" w:cs="仿宋"/>
          <w:color w:val="000000"/>
          <w:kern w:val="2"/>
          <w:sz w:val="28"/>
          <w:szCs w:val="28"/>
          <w:shd w:val="clear" w:color="auto" w:fill="FFFFFF"/>
          <w:lang w:val="en-US" w:eastAsia="zh-CN" w:bidi="ar-SA"/>
        </w:rPr>
      </w:pPr>
      <w:r>
        <w:rPr>
          <w:rFonts w:hint="eastAsia" w:ascii="仿宋" w:hAnsi="仿宋" w:eastAsia="仿宋" w:cs="仿宋"/>
          <w:color w:val="000000"/>
          <w:kern w:val="2"/>
          <w:sz w:val="28"/>
          <w:szCs w:val="28"/>
          <w:shd w:val="clear" w:color="auto" w:fill="FFFFFF"/>
          <w:lang w:val="en-US" w:eastAsia="zh-CN" w:bidi="ar-SA"/>
        </w:rPr>
        <w:t>北塔区</w:t>
      </w:r>
      <w:r>
        <w:rPr>
          <w:rFonts w:hint="default" w:ascii="仿宋" w:hAnsi="仿宋" w:eastAsia="仿宋" w:cs="仿宋"/>
          <w:color w:val="000000"/>
          <w:kern w:val="2"/>
          <w:sz w:val="28"/>
          <w:szCs w:val="28"/>
          <w:shd w:val="clear" w:color="auto" w:fill="FFFFFF"/>
          <w:lang w:val="en-US" w:eastAsia="zh-CN" w:bidi="ar-SA"/>
        </w:rPr>
        <w:t>2024</w:t>
      </w:r>
      <w:r>
        <w:rPr>
          <w:rFonts w:hint="eastAsia" w:ascii="仿宋" w:hAnsi="仿宋" w:eastAsia="仿宋" w:cs="仿宋"/>
          <w:color w:val="000000"/>
          <w:kern w:val="2"/>
          <w:sz w:val="28"/>
          <w:szCs w:val="28"/>
          <w:shd w:val="clear" w:color="auto" w:fill="FFFFFF"/>
          <w:lang w:val="en-US" w:eastAsia="zh-CN" w:bidi="ar-SA"/>
        </w:rPr>
        <w:t>年城镇老旧小区改造配套基础设施建设项目第一片区（邵阳学院江北分院家属区、制镜厂家属区、司乘公寓片区）现状建筑基本为房改房，使用年限久，建筑质量、环境较差；区内主要道路存在路面破损，主要为线裂、网裂、龟裂、坑槽、泛油等病害问题。现状地坪局部地段破损严重；消防设施配套不足；排水设施存在破损、淤堵或无盖板现象；架空线缆较凌乱，小区公共区域和楼道内无照明灯具或照明亮度不够，存在安全隐患，急需改善。</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（二）绩效目标合理性</w:t>
      </w:r>
    </w:p>
    <w:p>
      <w:pPr>
        <w:pStyle w:val="8"/>
        <w:keepNext w:val="0"/>
        <w:keepLines w:val="0"/>
        <w:widowControl w:val="0"/>
        <w:suppressLineNumbers w:val="0"/>
        <w:autoSpaceDE w:val="0"/>
        <w:autoSpaceDN w:val="0"/>
        <w:spacing w:before="0" w:beforeAutospacing="0" w:after="0" w:afterAutospacing="0" w:line="360" w:lineRule="auto"/>
        <w:ind w:left="0" w:leftChars="0" w:right="0" w:rightChars="0" w:firstLine="560" w:firstLineChars="200"/>
        <w:jc w:val="left"/>
        <w:rPr>
          <w:rFonts w:hint="eastAsia" w:ascii="仿宋" w:hAnsi="仿宋" w:eastAsia="仿宋" w:cs="仿宋"/>
          <w:color w:val="000000"/>
          <w:kern w:val="2"/>
          <w:sz w:val="28"/>
          <w:szCs w:val="28"/>
          <w:shd w:val="clear" w:color="auto" w:fill="FFFFFF"/>
          <w:lang w:val="en-US" w:eastAsia="zh-CN" w:bidi="ar-SA"/>
        </w:rPr>
      </w:pPr>
      <w:r>
        <w:rPr>
          <w:rFonts w:hint="default" w:ascii="仿宋" w:hAnsi="仿宋" w:eastAsia="仿宋" w:cs="仿宋"/>
          <w:color w:val="000000"/>
          <w:kern w:val="2"/>
          <w:sz w:val="28"/>
          <w:szCs w:val="28"/>
          <w:shd w:val="clear" w:color="auto" w:fill="FFFFFF"/>
          <w:lang w:val="en-US" w:eastAsia="zh-CN" w:bidi="ar-SA"/>
        </w:rPr>
        <w:t>本项目有明确的绩效目标，围绕城镇老旧小区改造目的设置具体的项目绩效目标，基本覆盖了预期的产出、效益以及满意度情况。一共设置了9大类11个具体指标。</w:t>
      </w:r>
    </w:p>
    <w:p>
      <w:pPr>
        <w:pStyle w:val="8"/>
        <w:keepNext w:val="0"/>
        <w:keepLines w:val="0"/>
        <w:widowControl w:val="0"/>
        <w:suppressLineNumbers w:val="0"/>
        <w:autoSpaceDE w:val="0"/>
        <w:autoSpaceDN w:val="0"/>
        <w:spacing w:before="0" w:beforeAutospacing="0" w:after="0" w:afterAutospacing="0" w:line="360" w:lineRule="auto"/>
        <w:ind w:left="0" w:leftChars="0" w:right="0" w:rightChars="0" w:firstLine="560" w:firstLineChars="200"/>
        <w:jc w:val="left"/>
        <w:rPr>
          <w:rFonts w:hint="default" w:ascii="宋体" w:hAnsi="宋体" w:eastAsia="宋体" w:cs="宋体"/>
          <w:kern w:val="0"/>
          <w:sz w:val="28"/>
          <w:szCs w:val="28"/>
          <w:lang w:val="en-US" w:eastAsia="zh-CN" w:bidi="ar"/>
        </w:rPr>
      </w:pPr>
      <w:r>
        <w:rPr>
          <w:rFonts w:hint="default" w:ascii="仿宋" w:hAnsi="仿宋" w:eastAsia="仿宋" w:cs="仿宋"/>
          <w:color w:val="000000"/>
          <w:kern w:val="2"/>
          <w:sz w:val="28"/>
          <w:szCs w:val="28"/>
          <w:shd w:val="clear" w:color="auto" w:fill="FFFFFF"/>
          <w:lang w:val="en-US" w:eastAsia="zh-CN" w:bidi="ar-SA"/>
        </w:rPr>
        <w:t>本项目绩效指标的设置总体上科学合理，采用定量分析，对产出指标进行细化和量化，指标设置能够有效反映项目实施预期的产出和效益情况，项目绩效的可实现程度较高。</w:t>
      </w:r>
    </w:p>
    <w:p>
      <w:pPr>
        <w:keepNext w:val="0"/>
        <w:keepLines w:val="0"/>
        <w:pageBreakBefore w:val="0"/>
        <w:kinsoku/>
        <w:wordWrap/>
        <w:overflowPunct w:val="0"/>
        <w:topLinePunct w:val="0"/>
        <w:autoSpaceDE/>
        <w:autoSpaceDN/>
        <w:bidi w:val="0"/>
        <w:adjustRightInd/>
        <w:snapToGrid/>
        <w:spacing w:line="360" w:lineRule="auto"/>
        <w:ind w:left="0"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（三）投入经济性</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default" w:ascii="仿宋" w:hAnsi="仿宋" w:eastAsia="仿宋" w:cs="仿宋"/>
          <w:b/>
          <w:bCs/>
          <w:sz w:val="28"/>
          <w:szCs w:val="28"/>
          <w:lang w:val="en-US" w:eastAsia="zh-CN"/>
        </w:rPr>
      </w:pPr>
      <w:r>
        <w:rPr>
          <w:rFonts w:hint="default" w:ascii="仿宋" w:hAnsi="仿宋" w:eastAsia="仿宋" w:cs="仿宋"/>
          <w:b/>
          <w:bCs/>
          <w:sz w:val="28"/>
          <w:szCs w:val="28"/>
          <w:lang w:eastAsia="zh-CN"/>
        </w:rPr>
        <w:t>1.</w:t>
      </w:r>
      <w:r>
        <w:rPr>
          <w:rFonts w:hint="default" w:ascii="仿宋" w:hAnsi="仿宋" w:eastAsia="仿宋" w:cs="仿宋"/>
          <w:b/>
          <w:bCs/>
          <w:sz w:val="28"/>
          <w:szCs w:val="28"/>
          <w:lang w:val="en-US" w:eastAsia="zh-CN"/>
        </w:rPr>
        <w:t xml:space="preserve">概算编制科学性 </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cs="仿宋"/>
          <w:color w:val="000000"/>
          <w:sz w:val="28"/>
          <w:szCs w:val="28"/>
          <w:shd w:val="clear" w:color="auto" w:fill="FFFFFF"/>
          <w:lang w:val="en-US" w:eastAsia="zh-CN"/>
        </w:rPr>
      </w:pPr>
      <w:r>
        <w:rPr>
          <w:rFonts w:hint="default" w:ascii="仿宋" w:hAnsi="仿宋" w:eastAsia="仿宋" w:cs="仿宋"/>
          <w:color w:val="000000"/>
          <w:sz w:val="28"/>
          <w:szCs w:val="28"/>
          <w:shd w:val="clear" w:color="auto" w:fill="FFFFFF"/>
          <w:lang w:eastAsia="zh-CN"/>
        </w:rPr>
        <w:t>本项目建设</w:t>
      </w:r>
      <w:r>
        <w:rPr>
          <w:rFonts w:hint="eastAsia" w:ascii="仿宋" w:hAnsi="仿宋" w:eastAsia="仿宋" w:cs="仿宋"/>
          <w:color w:val="000000"/>
          <w:sz w:val="28"/>
          <w:szCs w:val="28"/>
          <w:shd w:val="clear" w:color="auto" w:fill="FFFFFF"/>
          <w:lang w:val="en-US" w:eastAsia="zh-CN"/>
        </w:rPr>
        <w:t>以《建设项目投资估算编审规程</w:t>
      </w:r>
      <w:r>
        <w:rPr>
          <w:rFonts w:hint="default" w:ascii="仿宋" w:hAnsi="仿宋" w:eastAsia="仿宋" w:cs="仿宋"/>
          <w:color w:val="000000"/>
          <w:sz w:val="28"/>
          <w:szCs w:val="28"/>
          <w:shd w:val="clear" w:color="auto" w:fill="FFFFFF"/>
          <w:lang w:eastAsia="zh-CN"/>
        </w:rPr>
        <w:t>》</w:t>
      </w:r>
      <w:r>
        <w:rPr>
          <w:rFonts w:hint="eastAsia" w:ascii="仿宋" w:hAnsi="仿宋" w:eastAsia="仿宋" w:cs="仿宋"/>
          <w:color w:val="000000"/>
          <w:sz w:val="28"/>
          <w:szCs w:val="28"/>
          <w:shd w:val="clear" w:color="auto" w:fill="FFFFFF"/>
          <w:lang w:val="en-US" w:eastAsia="zh-CN"/>
        </w:rPr>
        <w:t>（</w:t>
      </w:r>
      <w:r>
        <w:rPr>
          <w:rFonts w:hint="default" w:ascii="仿宋" w:hAnsi="仿宋" w:eastAsia="仿宋" w:cs="仿宋"/>
          <w:color w:val="000000"/>
          <w:sz w:val="28"/>
          <w:szCs w:val="28"/>
          <w:shd w:val="clear" w:color="auto" w:fill="FFFFFF"/>
          <w:lang w:val="en-US" w:eastAsia="zh-CN"/>
        </w:rPr>
        <w:t>CECA/GC1-2015</w:t>
      </w:r>
      <w:r>
        <w:rPr>
          <w:rFonts w:hint="eastAsia" w:ascii="仿宋" w:hAnsi="仿宋" w:eastAsia="仿宋" w:cs="仿宋"/>
          <w:color w:val="000000"/>
          <w:sz w:val="28"/>
          <w:szCs w:val="28"/>
          <w:shd w:val="clear" w:color="auto" w:fill="FFFFFF"/>
          <w:lang w:val="en-US" w:eastAsia="zh-CN"/>
        </w:rPr>
        <w:t>）</w:t>
      </w:r>
      <w:r>
        <w:rPr>
          <w:rFonts w:hint="default" w:ascii="仿宋" w:hAnsi="仿宋" w:eastAsia="仿宋" w:cs="仿宋"/>
          <w:color w:val="000000"/>
          <w:sz w:val="28"/>
          <w:szCs w:val="28"/>
          <w:shd w:val="clear" w:color="auto" w:fill="FFFFFF"/>
          <w:lang w:eastAsia="zh-CN"/>
        </w:rPr>
        <w:t>、</w:t>
      </w:r>
      <w:r>
        <w:rPr>
          <w:rFonts w:hint="eastAsia" w:ascii="仿宋" w:hAnsi="仿宋" w:eastAsia="仿宋" w:cs="仿宋"/>
          <w:color w:val="000000"/>
          <w:sz w:val="28"/>
          <w:szCs w:val="28"/>
          <w:shd w:val="clear" w:color="auto" w:fill="FFFFFF"/>
          <w:lang w:val="en-US" w:eastAsia="zh-CN"/>
        </w:rPr>
        <w:t>《湖南省建设工程计价办法》、《湖南省建设工程消耗量标准》（湘建价（</w:t>
      </w:r>
      <w:r>
        <w:rPr>
          <w:rFonts w:hint="default" w:ascii="仿宋" w:hAnsi="仿宋" w:eastAsia="仿宋" w:cs="仿宋"/>
          <w:color w:val="000000"/>
          <w:sz w:val="28"/>
          <w:szCs w:val="28"/>
          <w:shd w:val="clear" w:color="auto" w:fill="FFFFFF"/>
          <w:lang w:val="en-US" w:eastAsia="zh-CN"/>
        </w:rPr>
        <w:t>2020</w:t>
      </w:r>
      <w:r>
        <w:rPr>
          <w:rFonts w:hint="eastAsia" w:ascii="仿宋" w:hAnsi="仿宋" w:eastAsia="仿宋" w:cs="仿宋"/>
          <w:color w:val="000000"/>
          <w:sz w:val="28"/>
          <w:szCs w:val="28"/>
          <w:shd w:val="clear" w:color="auto" w:fill="FFFFFF"/>
          <w:lang w:val="en-US" w:eastAsia="zh-CN"/>
        </w:rPr>
        <w:t>）</w:t>
      </w:r>
      <w:r>
        <w:rPr>
          <w:rFonts w:hint="default" w:ascii="仿宋" w:hAnsi="仿宋" w:eastAsia="仿宋" w:cs="仿宋"/>
          <w:color w:val="000000"/>
          <w:sz w:val="28"/>
          <w:szCs w:val="28"/>
          <w:shd w:val="clear" w:color="auto" w:fill="FFFFFF"/>
          <w:lang w:val="en-US" w:eastAsia="zh-CN"/>
        </w:rPr>
        <w:t>56</w:t>
      </w:r>
      <w:r>
        <w:rPr>
          <w:rFonts w:hint="eastAsia" w:ascii="仿宋" w:hAnsi="仿宋" w:eastAsia="仿宋" w:cs="仿宋"/>
          <w:color w:val="000000"/>
          <w:sz w:val="28"/>
          <w:szCs w:val="28"/>
          <w:shd w:val="clear" w:color="auto" w:fill="FFFFFF"/>
          <w:lang w:val="en-US" w:eastAsia="zh-CN"/>
        </w:rPr>
        <w:t>号）</w:t>
      </w:r>
      <w:r>
        <w:rPr>
          <w:rFonts w:hint="default" w:ascii="仿宋" w:hAnsi="仿宋" w:eastAsia="仿宋" w:cs="仿宋"/>
          <w:color w:val="000000"/>
          <w:sz w:val="28"/>
          <w:szCs w:val="28"/>
          <w:shd w:val="clear" w:color="auto" w:fill="FFFFFF"/>
          <w:lang w:eastAsia="zh-CN"/>
        </w:rPr>
        <w:t>等文件出</w:t>
      </w:r>
      <w:r>
        <w:rPr>
          <w:rFonts w:hint="default" w:ascii="仿宋" w:hAnsi="仿宋" w:eastAsia="仿宋" w:cs="仿宋"/>
          <w:color w:val="000000"/>
          <w:sz w:val="28"/>
          <w:szCs w:val="28"/>
          <w:shd w:val="clear" w:color="auto" w:fill="FFFFFF"/>
          <w:lang w:val="en-US" w:eastAsia="zh-CN"/>
        </w:rPr>
        <w:t>具</w:t>
      </w:r>
      <w:r>
        <w:rPr>
          <w:rFonts w:hint="default" w:ascii="仿宋" w:hAnsi="仿宋" w:eastAsia="仿宋" w:cs="仿宋"/>
          <w:color w:val="000000"/>
          <w:sz w:val="28"/>
          <w:szCs w:val="28"/>
          <w:shd w:val="clear" w:color="auto" w:fill="FFFFFF"/>
          <w:lang w:eastAsia="zh-CN"/>
        </w:rPr>
        <w:t>了具体的</w:t>
      </w:r>
      <w:r>
        <w:rPr>
          <w:rFonts w:hint="default" w:ascii="仿宋" w:hAnsi="仿宋" w:eastAsia="仿宋" w:cs="仿宋"/>
          <w:color w:val="000000"/>
          <w:sz w:val="28"/>
          <w:szCs w:val="28"/>
          <w:shd w:val="clear" w:color="auto" w:fill="FFFFFF"/>
          <w:lang w:val="en-US" w:eastAsia="zh-CN"/>
        </w:rPr>
        <w:t>工程量清单和项目预算明细表，</w:t>
      </w:r>
      <w:r>
        <w:rPr>
          <w:rFonts w:hint="default" w:ascii="仿宋" w:hAnsi="仿宋" w:eastAsia="仿宋" w:cs="仿宋"/>
          <w:color w:val="000000"/>
          <w:sz w:val="28"/>
          <w:szCs w:val="28"/>
          <w:shd w:val="clear" w:color="auto" w:fill="FFFFFF"/>
          <w:lang w:eastAsia="zh-CN"/>
        </w:rPr>
        <w:t>具有相应的</w:t>
      </w:r>
      <w:r>
        <w:rPr>
          <w:rFonts w:hint="default" w:ascii="仿宋" w:hAnsi="仿宋" w:eastAsia="仿宋" w:cs="仿宋"/>
          <w:color w:val="000000"/>
          <w:sz w:val="28"/>
          <w:szCs w:val="28"/>
          <w:shd w:val="clear" w:color="auto" w:fill="FFFFFF"/>
          <w:lang w:val="en-US" w:eastAsia="zh-CN"/>
        </w:rPr>
        <w:t>概算编制</w:t>
      </w:r>
      <w:r>
        <w:rPr>
          <w:rFonts w:hint="default" w:ascii="仿宋" w:hAnsi="仿宋" w:eastAsia="仿宋" w:cs="仿宋"/>
          <w:color w:val="000000"/>
          <w:sz w:val="28"/>
          <w:szCs w:val="28"/>
          <w:shd w:val="clear" w:color="auto" w:fill="FFFFFF"/>
          <w:lang w:eastAsia="zh-CN"/>
        </w:rPr>
        <w:t>；项目改造资金</w:t>
      </w:r>
      <w:r>
        <w:rPr>
          <w:rFonts w:hint="default" w:ascii="仿宋" w:hAnsi="仿宋" w:eastAsia="仿宋" w:cs="仿宋"/>
          <w:color w:val="000000"/>
          <w:sz w:val="28"/>
          <w:szCs w:val="28"/>
          <w:shd w:val="clear" w:color="auto" w:fill="FFFFFF"/>
          <w:lang w:val="en-US" w:eastAsia="zh-CN"/>
        </w:rPr>
        <w:t>测算依据充分</w:t>
      </w:r>
      <w:r>
        <w:rPr>
          <w:rFonts w:hint="default" w:ascii="仿宋" w:hAnsi="仿宋" w:eastAsia="仿宋" w:cs="仿宋"/>
          <w:color w:val="000000"/>
          <w:sz w:val="28"/>
          <w:szCs w:val="28"/>
          <w:shd w:val="clear" w:color="auto" w:fill="FFFFFF"/>
          <w:lang w:eastAsia="zh-CN"/>
        </w:rPr>
        <w:t>，但项目投入资源及成本与预期产出及效果匹配程度一般</w:t>
      </w:r>
      <w:r>
        <w:rPr>
          <w:rFonts w:hint="default" w:ascii="仿宋" w:hAnsi="仿宋" w:eastAsia="仿宋" w:cs="仿宋"/>
          <w:color w:val="000000"/>
          <w:sz w:val="28"/>
          <w:szCs w:val="28"/>
          <w:shd w:val="clear" w:color="auto" w:fill="FFFFFF"/>
          <w:lang w:val="en-US"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default" w:ascii="仿宋" w:hAnsi="仿宋" w:eastAsia="仿宋" w:cs="仿宋"/>
          <w:b/>
          <w:bCs/>
          <w:sz w:val="28"/>
          <w:szCs w:val="28"/>
          <w:lang w:eastAsia="zh-CN"/>
        </w:rPr>
      </w:pPr>
      <w:r>
        <w:rPr>
          <w:rFonts w:hint="default" w:ascii="仿宋" w:hAnsi="仿宋" w:eastAsia="仿宋" w:cs="仿宋"/>
          <w:b/>
          <w:bCs/>
          <w:sz w:val="28"/>
          <w:szCs w:val="28"/>
          <w:lang w:eastAsia="zh-CN"/>
        </w:rPr>
        <w:t>2.项目成本控制措施有效性</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000000"/>
          <w:sz w:val="28"/>
          <w:szCs w:val="28"/>
          <w:shd w:val="clear" w:color="auto" w:fill="FFFFFF"/>
          <w:lang w:val="en-US" w:eastAsia="zh-CN"/>
        </w:rPr>
      </w:pPr>
      <w:r>
        <w:rPr>
          <w:rFonts w:hint="default" w:ascii="仿宋" w:hAnsi="仿宋" w:eastAsia="仿宋" w:cs="仿宋"/>
          <w:color w:val="000000"/>
          <w:sz w:val="28"/>
          <w:szCs w:val="28"/>
          <w:shd w:val="clear" w:color="auto" w:fill="FFFFFF"/>
          <w:lang w:val="en-US" w:eastAsia="zh-CN"/>
        </w:rPr>
        <w:t>项目由</w:t>
      </w:r>
      <w:r>
        <w:rPr>
          <w:rFonts w:hint="default" w:ascii="仿宋" w:hAnsi="仿宋" w:eastAsia="仿宋" w:cs="仿宋"/>
          <w:color w:val="000000"/>
          <w:sz w:val="28"/>
          <w:szCs w:val="28"/>
          <w:shd w:val="clear" w:color="auto" w:fill="FFFFFF"/>
          <w:lang w:eastAsia="zh-CN"/>
        </w:rPr>
        <w:t>北塔</w:t>
      </w:r>
      <w:r>
        <w:rPr>
          <w:rFonts w:hint="default" w:ascii="仿宋" w:hAnsi="仿宋" w:eastAsia="仿宋" w:cs="仿宋"/>
          <w:color w:val="000000"/>
          <w:sz w:val="28"/>
          <w:szCs w:val="28"/>
          <w:shd w:val="clear" w:color="auto" w:fill="FFFFFF"/>
          <w:lang w:val="en-US" w:eastAsia="zh-CN"/>
        </w:rPr>
        <w:t>区</w:t>
      </w:r>
      <w:r>
        <w:rPr>
          <w:rFonts w:hint="default" w:ascii="仿宋" w:hAnsi="仿宋" w:eastAsia="仿宋" w:cs="仿宋"/>
          <w:color w:val="000000"/>
          <w:sz w:val="28"/>
          <w:szCs w:val="28"/>
          <w:shd w:val="clear" w:color="auto" w:fill="FFFFFF"/>
          <w:lang w:eastAsia="zh-CN"/>
        </w:rPr>
        <w:t>财政局拨付资金，北塔区住房和城乡建设局</w:t>
      </w:r>
      <w:r>
        <w:rPr>
          <w:rFonts w:hint="default" w:ascii="仿宋" w:hAnsi="仿宋" w:eastAsia="仿宋" w:cs="仿宋"/>
          <w:color w:val="000000"/>
          <w:sz w:val="28"/>
          <w:szCs w:val="28"/>
          <w:shd w:val="clear" w:color="auto" w:fill="FFFFFF"/>
          <w:lang w:val="en-US" w:eastAsia="zh-CN"/>
        </w:rPr>
        <w:t>分别在设计、造价、监理、 施工各环节组织招投标工作</w:t>
      </w:r>
      <w:r>
        <w:rPr>
          <w:rFonts w:hint="default" w:ascii="仿宋" w:hAnsi="仿宋" w:eastAsia="仿宋" w:cs="仿宋"/>
          <w:color w:val="000000"/>
          <w:sz w:val="28"/>
          <w:szCs w:val="28"/>
          <w:shd w:val="clear" w:color="auto" w:fill="FFFFFF"/>
          <w:lang w:eastAsia="zh-CN"/>
        </w:rPr>
        <w:t>，</w:t>
      </w:r>
      <w:r>
        <w:rPr>
          <w:rFonts w:hint="default" w:ascii="仿宋" w:hAnsi="仿宋" w:eastAsia="仿宋" w:cs="仿宋"/>
          <w:color w:val="000000"/>
          <w:sz w:val="28"/>
          <w:szCs w:val="28"/>
          <w:shd w:val="clear" w:color="auto" w:fill="FFFFFF"/>
          <w:lang w:val="en-US" w:eastAsia="zh-CN"/>
        </w:rPr>
        <w:t>进行整体流程管理</w:t>
      </w:r>
      <w:r>
        <w:rPr>
          <w:rFonts w:hint="default" w:ascii="仿宋" w:hAnsi="仿宋" w:eastAsia="仿宋" w:cs="仿宋"/>
          <w:color w:val="000000"/>
          <w:sz w:val="28"/>
          <w:szCs w:val="28"/>
          <w:shd w:val="clear" w:color="auto" w:fill="FFFFFF"/>
          <w:lang w:eastAsia="zh-CN"/>
        </w:rPr>
        <w:t>以及</w:t>
      </w:r>
      <w:r>
        <w:rPr>
          <w:rFonts w:hint="default" w:ascii="仿宋" w:hAnsi="仿宋" w:eastAsia="仿宋" w:cs="仿宋"/>
          <w:color w:val="000000"/>
          <w:sz w:val="28"/>
          <w:szCs w:val="28"/>
          <w:shd w:val="clear" w:color="auto" w:fill="FFFFFF"/>
          <w:lang w:val="en-US" w:eastAsia="zh-CN"/>
        </w:rPr>
        <w:t>对项目</w:t>
      </w:r>
      <w:r>
        <w:rPr>
          <w:rFonts w:hint="default" w:ascii="仿宋" w:hAnsi="仿宋" w:eastAsia="仿宋" w:cs="仿宋"/>
          <w:color w:val="000000"/>
          <w:sz w:val="28"/>
          <w:szCs w:val="28"/>
          <w:shd w:val="clear" w:color="auto" w:fill="FFFFFF"/>
          <w:lang w:eastAsia="zh-CN"/>
        </w:rPr>
        <w:t>建设</w:t>
      </w:r>
      <w:r>
        <w:rPr>
          <w:rFonts w:hint="default" w:ascii="仿宋" w:hAnsi="仿宋" w:eastAsia="仿宋" w:cs="仿宋"/>
          <w:color w:val="000000"/>
          <w:sz w:val="28"/>
          <w:szCs w:val="28"/>
          <w:shd w:val="clear" w:color="auto" w:fill="FFFFFF"/>
          <w:lang w:val="en-US" w:eastAsia="zh-CN"/>
        </w:rPr>
        <w:t>进行监管</w:t>
      </w:r>
      <w:r>
        <w:rPr>
          <w:rFonts w:hint="default" w:ascii="仿宋" w:hAnsi="仿宋" w:eastAsia="仿宋" w:cs="仿宋"/>
          <w:color w:val="000000"/>
          <w:sz w:val="28"/>
          <w:szCs w:val="28"/>
          <w:shd w:val="clear" w:color="auto" w:fill="FFFFFF"/>
          <w:lang w:eastAsia="zh-CN"/>
        </w:rPr>
        <w:t>。</w:t>
      </w:r>
      <w:r>
        <w:rPr>
          <w:rFonts w:hint="eastAsia" w:ascii="仿宋" w:hAnsi="仿宋" w:eastAsia="仿宋" w:cs="仿宋"/>
          <w:color w:val="000000"/>
          <w:sz w:val="28"/>
          <w:szCs w:val="28"/>
          <w:shd w:val="clear" w:color="auto" w:fill="FFFFFF"/>
          <w:lang w:val="en-US" w:eastAsia="zh-CN"/>
        </w:rPr>
        <w:t>投入产出及效果较匹配，成本测算依据</w:t>
      </w:r>
      <w:r>
        <w:rPr>
          <w:rFonts w:hint="default" w:ascii="仿宋" w:hAnsi="仿宋" w:eastAsia="仿宋" w:cs="仿宋"/>
          <w:color w:val="000000"/>
          <w:sz w:val="28"/>
          <w:szCs w:val="28"/>
          <w:shd w:val="clear" w:color="auto" w:fill="FFFFFF"/>
          <w:lang w:eastAsia="zh-CN"/>
        </w:rPr>
        <w:t>较为</w:t>
      </w:r>
      <w:r>
        <w:rPr>
          <w:rFonts w:hint="eastAsia" w:ascii="仿宋" w:hAnsi="仿宋" w:eastAsia="仿宋" w:cs="仿宋"/>
          <w:color w:val="000000"/>
          <w:sz w:val="28"/>
          <w:szCs w:val="28"/>
          <w:shd w:val="clear" w:color="auto" w:fill="FFFFFF"/>
          <w:lang w:val="en-US" w:eastAsia="zh-CN"/>
        </w:rPr>
        <w:t>充分，</w:t>
      </w:r>
      <w:r>
        <w:rPr>
          <w:rFonts w:hint="default" w:ascii="仿宋" w:hAnsi="仿宋" w:eastAsia="仿宋" w:cs="仿宋"/>
          <w:color w:val="000000"/>
          <w:sz w:val="28"/>
          <w:szCs w:val="28"/>
          <w:shd w:val="clear" w:color="auto" w:fill="FFFFFF"/>
          <w:lang w:eastAsia="zh-CN"/>
        </w:rPr>
        <w:t>但无相关的</w:t>
      </w:r>
      <w:r>
        <w:rPr>
          <w:rFonts w:hint="eastAsia" w:ascii="仿宋" w:hAnsi="仿宋" w:eastAsia="仿宋" w:cs="仿宋"/>
          <w:color w:val="000000"/>
          <w:sz w:val="28"/>
          <w:szCs w:val="28"/>
          <w:shd w:val="clear" w:color="auto" w:fill="FFFFFF"/>
          <w:lang w:val="en-US" w:eastAsia="zh-CN"/>
        </w:rPr>
        <w:t>成本控制措施。</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default" w:ascii="仿宋" w:hAnsi="仿宋" w:eastAsia="仿宋" w:cs="仿宋"/>
          <w:b/>
          <w:bCs/>
          <w:sz w:val="28"/>
          <w:szCs w:val="28"/>
        </w:rPr>
      </w:pPr>
      <w:r>
        <w:rPr>
          <w:rFonts w:hint="default" w:ascii="仿宋" w:hAnsi="仿宋" w:eastAsia="仿宋" w:cs="仿宋"/>
          <w:b/>
          <w:bCs/>
          <w:sz w:val="28"/>
          <w:szCs w:val="28"/>
          <w:lang w:eastAsia="zh-CN"/>
        </w:rPr>
        <w:t>（四）</w:t>
      </w:r>
      <w:r>
        <w:rPr>
          <w:rFonts w:hint="eastAsia" w:ascii="仿宋" w:hAnsi="仿宋" w:eastAsia="仿宋" w:cs="仿宋"/>
          <w:b/>
          <w:bCs/>
          <w:sz w:val="28"/>
          <w:szCs w:val="28"/>
        </w:rPr>
        <w:t>实施方案可行性</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default" w:ascii="仿宋" w:hAnsi="仿宋" w:eastAsia="仿宋" w:cs="仿宋"/>
          <w:b/>
          <w:bCs/>
          <w:sz w:val="28"/>
          <w:szCs w:val="28"/>
        </w:rPr>
      </w:pPr>
      <w:r>
        <w:rPr>
          <w:rFonts w:hint="default" w:ascii="仿宋" w:hAnsi="仿宋" w:eastAsia="仿宋" w:cs="仿宋"/>
          <w:b/>
          <w:bCs/>
          <w:sz w:val="28"/>
          <w:szCs w:val="28"/>
        </w:rPr>
        <w:t>1.实施内容明确性</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cs="仿宋"/>
          <w:color w:val="000000"/>
          <w:sz w:val="28"/>
          <w:szCs w:val="28"/>
          <w:shd w:val="clear" w:color="auto" w:fill="FFFFFF"/>
          <w:lang w:eastAsia="zh-CN"/>
        </w:rPr>
      </w:pPr>
      <w:r>
        <w:rPr>
          <w:rFonts w:hint="default" w:ascii="仿宋" w:hAnsi="仿宋" w:eastAsia="仿宋" w:cs="仿宋"/>
          <w:color w:val="000000"/>
          <w:sz w:val="28"/>
          <w:szCs w:val="28"/>
          <w:shd w:val="clear" w:color="auto" w:fill="FFFFFF"/>
          <w:lang w:eastAsia="zh-CN"/>
        </w:rPr>
        <w:t>本项目的实施内容主要为：</w:t>
      </w:r>
      <w:r>
        <w:rPr>
          <w:rFonts w:hint="eastAsia" w:ascii="仿宋" w:hAnsi="仿宋" w:eastAsia="仿宋" w:cs="仿宋"/>
          <w:color w:val="000000"/>
          <w:sz w:val="28"/>
          <w:szCs w:val="28"/>
          <w:shd w:val="clear" w:color="auto" w:fill="FFFFFF"/>
          <w:lang w:val="en-US" w:eastAsia="zh-CN"/>
        </w:rPr>
        <w:t>用于改造邵阳学院江北分院家属区、制镜厂家属区、司乘公寓片区3个老旧小区、房屋 22 栋、居民 400户，改造房屋总建筑面积 4.18 万m。具体改造内容为建筑工程、道路与铺装工程、室外排水工程、室外消防工程、室内消防、路灯、室外弱电、装修工程、充电桩配电、机动车停车位、健身器材、室外特色景观等。</w:t>
      </w:r>
      <w:r>
        <w:rPr>
          <w:rFonts w:hint="default" w:ascii="仿宋" w:hAnsi="仿宋" w:eastAsia="仿宋" w:cs="仿宋"/>
          <w:color w:val="000000"/>
          <w:sz w:val="28"/>
          <w:szCs w:val="28"/>
          <w:shd w:val="clear" w:color="auto" w:fill="FFFFFF"/>
          <w:lang w:eastAsia="zh-CN"/>
        </w:rPr>
        <w:t>项目内容明确具体，与绩效目标匹配。</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default" w:ascii="仿宋" w:hAnsi="仿宋" w:eastAsia="仿宋" w:cs="仿宋"/>
          <w:b/>
          <w:bCs/>
          <w:sz w:val="28"/>
          <w:szCs w:val="28"/>
          <w:lang w:eastAsia="zh-CN"/>
        </w:rPr>
      </w:pPr>
      <w:r>
        <w:rPr>
          <w:rFonts w:hint="default" w:ascii="仿宋" w:hAnsi="仿宋" w:eastAsia="仿宋" w:cs="仿宋"/>
          <w:b/>
          <w:bCs/>
          <w:sz w:val="28"/>
          <w:szCs w:val="28"/>
          <w:lang w:eastAsia="zh-CN"/>
        </w:rPr>
        <w:t>2.项目时效性</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000000"/>
          <w:sz w:val="28"/>
          <w:szCs w:val="28"/>
          <w:shd w:val="clear" w:color="auto" w:fill="FFFFFF"/>
          <w:lang w:val="en-US" w:eastAsia="zh-CN"/>
        </w:rPr>
      </w:pPr>
      <w:r>
        <w:rPr>
          <w:rFonts w:hint="default" w:ascii="仿宋" w:hAnsi="仿宋" w:eastAsia="仿宋" w:cs="仿宋"/>
          <w:color w:val="000000"/>
          <w:sz w:val="28"/>
          <w:szCs w:val="28"/>
          <w:shd w:val="clear" w:color="auto" w:fill="FFFFFF"/>
          <w:lang w:eastAsia="zh-CN"/>
        </w:rPr>
        <w:t>本项目</w:t>
      </w:r>
      <w:r>
        <w:rPr>
          <w:rFonts w:hint="eastAsia" w:ascii="仿宋" w:hAnsi="仿宋" w:eastAsia="仿宋" w:cs="仿宋"/>
          <w:color w:val="000000"/>
          <w:sz w:val="28"/>
          <w:szCs w:val="28"/>
          <w:shd w:val="clear" w:color="auto" w:fill="FFFFFF"/>
          <w:lang w:val="en-US" w:eastAsia="zh-CN"/>
        </w:rPr>
        <w:t>实施方案设计合理可行，项目建设地点为北塔区内。北塔区交通便利；所需材料货源丰富；区域通讯条件较好；项目所需人员、水、电、气等基础保障条件均具备。针对识别出的可能存在的风险制定了风险管控方案和风险应急预案。</w:t>
      </w:r>
      <w:r>
        <w:rPr>
          <w:rFonts w:hint="default" w:ascii="仿宋" w:hAnsi="仿宋" w:eastAsia="仿宋" w:cs="仿宋"/>
          <w:color w:val="000000"/>
          <w:sz w:val="28"/>
          <w:szCs w:val="28"/>
          <w:shd w:val="clear" w:color="auto" w:fill="FFFFFF"/>
          <w:lang w:eastAsia="zh-CN"/>
        </w:rPr>
        <w:t>但</w:t>
      </w:r>
      <w:r>
        <w:rPr>
          <w:rFonts w:hint="eastAsia" w:ascii="仿宋" w:hAnsi="仿宋" w:eastAsia="仿宋" w:cs="仿宋"/>
          <w:color w:val="000000"/>
          <w:sz w:val="28"/>
          <w:szCs w:val="28"/>
          <w:shd w:val="clear" w:color="auto" w:fill="FFFFFF"/>
          <w:lang w:val="en-US" w:eastAsia="zh-CN"/>
        </w:rPr>
        <w:t>项目</w:t>
      </w:r>
      <w:r>
        <w:rPr>
          <w:rFonts w:hint="default" w:ascii="仿宋" w:hAnsi="仿宋" w:eastAsia="仿宋" w:cs="仿宋"/>
          <w:color w:val="000000"/>
          <w:sz w:val="28"/>
          <w:szCs w:val="28"/>
          <w:shd w:val="clear" w:color="auto" w:fill="FFFFFF"/>
          <w:lang w:eastAsia="zh-CN"/>
        </w:rPr>
        <w:t>未</w:t>
      </w:r>
      <w:r>
        <w:rPr>
          <w:rFonts w:hint="eastAsia" w:ascii="仿宋" w:hAnsi="仿宋" w:eastAsia="仿宋" w:cs="仿宋"/>
          <w:color w:val="000000"/>
          <w:sz w:val="28"/>
          <w:szCs w:val="28"/>
          <w:shd w:val="clear" w:color="auto" w:fill="FFFFFF"/>
          <w:lang w:val="en-US" w:eastAsia="zh-CN"/>
        </w:rPr>
        <w:t>建立有效的过程控制措施，项目设立、清理和退出无明确的时限和步骤。</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default" w:ascii="仿宋" w:hAnsi="仿宋" w:eastAsia="仿宋" w:cs="仿宋"/>
          <w:b/>
          <w:bCs/>
          <w:sz w:val="28"/>
          <w:szCs w:val="28"/>
          <w:lang w:eastAsia="zh-CN"/>
        </w:rPr>
      </w:pPr>
      <w:r>
        <w:rPr>
          <w:rFonts w:hint="default" w:ascii="仿宋" w:hAnsi="仿宋" w:eastAsia="仿宋" w:cs="仿宋"/>
          <w:b/>
          <w:bCs/>
          <w:sz w:val="28"/>
          <w:szCs w:val="28"/>
          <w:lang w:eastAsia="zh-CN"/>
        </w:rPr>
        <w:t>3.实施方案可行性、过程控制有效性</w:t>
      </w:r>
    </w:p>
    <w:p>
      <w:pPr>
        <w:keepNext w:val="0"/>
        <w:keepLines w:val="0"/>
        <w:widowControl/>
        <w:suppressLineNumbers w:val="0"/>
        <w:ind w:firstLine="560" w:firstLineChars="200"/>
        <w:jc w:val="both"/>
        <w:rPr>
          <w:rFonts w:hint="eastAsia" w:ascii="宋体" w:hAnsi="宋体" w:eastAsia="宋体" w:cs="宋体"/>
          <w:color w:val="000000"/>
          <w:kern w:val="0"/>
          <w:sz w:val="28"/>
          <w:szCs w:val="28"/>
          <w:lang w:val="en-US" w:eastAsia="zh-CN" w:bidi="ar"/>
        </w:rPr>
      </w:pPr>
      <w:r>
        <w:rPr>
          <w:rFonts w:hint="default" w:ascii="仿宋" w:hAnsi="仿宋" w:eastAsia="仿宋" w:cs="仿宋"/>
          <w:color w:val="000000"/>
          <w:sz w:val="28"/>
          <w:szCs w:val="28"/>
          <w:shd w:val="clear" w:color="auto" w:fill="FFFFFF"/>
          <w:lang w:eastAsia="zh-CN"/>
        </w:rPr>
        <w:t>北塔区2024年城镇老旧小区改造配套基础设施建设项目第一片区(邵阳学</w:t>
      </w:r>
      <w:r>
        <w:rPr>
          <w:rFonts w:hint="default" w:ascii="仿宋" w:hAnsi="仿宋" w:eastAsia="仿宋" w:cs="仿宋"/>
          <w:color w:val="000000"/>
          <w:sz w:val="28"/>
          <w:szCs w:val="28"/>
          <w:shd w:val="clear" w:color="auto" w:fill="FFFFFF"/>
          <w:lang w:val="en-US" w:eastAsia="zh-CN"/>
        </w:rPr>
        <w:t>院江北分院家属区、制镜厂家属区、司乘公寓片区)可行性研究报告</w:t>
      </w:r>
      <w:r>
        <w:rPr>
          <w:rFonts w:hint="default" w:ascii="仿宋" w:hAnsi="仿宋" w:eastAsia="仿宋" w:cs="仿宋"/>
          <w:color w:val="000000"/>
          <w:sz w:val="28"/>
          <w:szCs w:val="28"/>
          <w:shd w:val="clear" w:color="auto" w:fill="FFFFFF"/>
          <w:lang w:eastAsia="zh-CN"/>
        </w:rPr>
        <w:t>以及总体的项目实施方案</w:t>
      </w:r>
      <w:r>
        <w:rPr>
          <w:rFonts w:hint="eastAsia" w:ascii="仿宋" w:hAnsi="仿宋" w:eastAsia="仿宋" w:cs="仿宋"/>
          <w:color w:val="000000"/>
          <w:sz w:val="28"/>
          <w:szCs w:val="28"/>
          <w:shd w:val="clear" w:color="auto" w:fill="FFFFFF"/>
          <w:lang w:val="en-US" w:eastAsia="zh-CN"/>
        </w:rPr>
        <w:t>列出了项目实施包括报批及配套管理、设计管理及协调、招标管理等内容，制定</w:t>
      </w:r>
      <w:r>
        <w:rPr>
          <w:rFonts w:hint="default" w:ascii="仿宋" w:hAnsi="仿宋" w:eastAsia="仿宋" w:cs="仿宋"/>
          <w:color w:val="000000"/>
          <w:sz w:val="28"/>
          <w:szCs w:val="28"/>
          <w:shd w:val="clear" w:color="auto" w:fill="FFFFFF"/>
          <w:lang w:eastAsia="zh-CN"/>
        </w:rPr>
        <w:t>了</w:t>
      </w:r>
      <w:r>
        <w:rPr>
          <w:rFonts w:hint="eastAsia" w:ascii="仿宋" w:hAnsi="仿宋" w:eastAsia="仿宋" w:cs="仿宋"/>
          <w:color w:val="000000"/>
          <w:sz w:val="28"/>
          <w:szCs w:val="28"/>
          <w:shd w:val="clear" w:color="auto" w:fill="FFFFFF"/>
          <w:lang w:val="en-US" w:eastAsia="zh-CN"/>
        </w:rPr>
        <w:t>项目技术方案，</w:t>
      </w:r>
      <w:r>
        <w:rPr>
          <w:rFonts w:hint="default" w:ascii="仿宋" w:hAnsi="仿宋" w:eastAsia="仿宋" w:cs="仿宋"/>
          <w:color w:val="000000"/>
          <w:sz w:val="28"/>
          <w:szCs w:val="28"/>
          <w:shd w:val="clear" w:color="auto" w:fill="FFFFFF"/>
          <w:lang w:eastAsia="zh-CN"/>
        </w:rPr>
        <w:t>为保证项目顺利实施，制定了相关的业务管理制度、项目管理制度等，</w:t>
      </w:r>
      <w:r>
        <w:rPr>
          <w:rFonts w:hint="eastAsia" w:ascii="仿宋" w:hAnsi="仿宋" w:eastAsia="仿宋" w:cs="仿宋"/>
          <w:color w:val="000000"/>
          <w:sz w:val="28"/>
          <w:szCs w:val="28"/>
          <w:shd w:val="clear" w:color="auto" w:fill="FFFFFF"/>
          <w:lang w:val="en-US" w:eastAsia="zh-CN"/>
        </w:rPr>
        <w:t>明确</w:t>
      </w:r>
      <w:r>
        <w:rPr>
          <w:rFonts w:hint="default" w:ascii="仿宋" w:hAnsi="仿宋" w:eastAsia="仿宋" w:cs="仿宋"/>
          <w:color w:val="000000"/>
          <w:sz w:val="28"/>
          <w:szCs w:val="28"/>
          <w:shd w:val="clear" w:color="auto" w:fill="FFFFFF"/>
          <w:lang w:eastAsia="zh-CN"/>
        </w:rPr>
        <w:t>了项目</w:t>
      </w:r>
      <w:r>
        <w:rPr>
          <w:rFonts w:hint="eastAsia" w:ascii="仿宋" w:hAnsi="仿宋" w:eastAsia="仿宋" w:cs="仿宋"/>
          <w:color w:val="000000"/>
          <w:sz w:val="28"/>
          <w:szCs w:val="28"/>
          <w:shd w:val="clear" w:color="auto" w:fill="FFFFFF"/>
          <w:lang w:val="en-US" w:eastAsia="zh-CN"/>
        </w:rPr>
        <w:t>保障措施</w:t>
      </w:r>
      <w:r>
        <w:rPr>
          <w:rFonts w:hint="default" w:ascii="仿宋" w:hAnsi="仿宋" w:eastAsia="仿宋" w:cs="仿宋"/>
          <w:color w:val="000000"/>
          <w:sz w:val="28"/>
          <w:szCs w:val="28"/>
          <w:shd w:val="clear" w:color="auto" w:fill="FFFFFF"/>
          <w:lang w:eastAsia="zh-CN"/>
        </w:rPr>
        <w:t>和管控措施，出具了</w:t>
      </w:r>
      <w:r>
        <w:rPr>
          <w:rFonts w:hint="eastAsia" w:ascii="仿宋" w:hAnsi="仿宋" w:eastAsia="仿宋" w:cs="仿宋"/>
          <w:color w:val="000000"/>
          <w:sz w:val="28"/>
          <w:szCs w:val="28"/>
          <w:shd w:val="clear" w:color="auto" w:fill="FFFFFF"/>
          <w:lang w:val="en-US" w:eastAsia="zh-CN"/>
        </w:rPr>
        <w:t>各项工作环节的时间节点和具体工作内容</w:t>
      </w:r>
      <w:r>
        <w:rPr>
          <w:rFonts w:hint="default" w:ascii="仿宋" w:hAnsi="仿宋" w:eastAsia="仿宋" w:cs="仿宋"/>
          <w:color w:val="000000"/>
          <w:sz w:val="28"/>
          <w:szCs w:val="28"/>
          <w:shd w:val="clear" w:color="auto" w:fill="FFFFFF"/>
          <w:lang w:eastAsia="zh-CN"/>
        </w:rPr>
        <w:t>安排</w:t>
      </w:r>
      <w:r>
        <w:rPr>
          <w:rFonts w:hint="eastAsia" w:ascii="仿宋" w:hAnsi="仿宋" w:eastAsia="仿宋" w:cs="仿宋"/>
          <w:color w:val="000000"/>
          <w:sz w:val="28"/>
          <w:szCs w:val="28"/>
          <w:shd w:val="clear" w:color="auto" w:fill="FFFFFF"/>
          <w:lang w:val="en-US" w:eastAsia="zh-CN"/>
        </w:rPr>
        <w:t>，</w:t>
      </w:r>
      <w:r>
        <w:rPr>
          <w:rFonts w:hint="default" w:ascii="仿宋" w:hAnsi="仿宋" w:eastAsia="仿宋" w:cs="仿宋"/>
          <w:color w:val="000000"/>
          <w:sz w:val="28"/>
          <w:szCs w:val="28"/>
          <w:shd w:val="clear" w:color="auto" w:fill="FFFFFF"/>
          <w:lang w:eastAsia="zh-CN"/>
        </w:rPr>
        <w:t>但具体的工作安排时间缺乏合理性</w:t>
      </w:r>
      <w:r>
        <w:rPr>
          <w:rFonts w:hint="eastAsia" w:ascii="仿宋" w:hAnsi="仿宋" w:eastAsia="仿宋" w:cs="仿宋"/>
          <w:color w:val="000000"/>
          <w:sz w:val="28"/>
          <w:szCs w:val="28"/>
          <w:shd w:val="clear" w:color="auto" w:fill="FFFFFF"/>
          <w:lang w:val="en-US" w:eastAsia="zh-CN"/>
        </w:rPr>
        <w:t>。</w:t>
      </w:r>
      <w:r>
        <w:rPr>
          <w:rFonts w:hint="eastAsia" w:ascii="宋体" w:hAnsi="宋体" w:eastAsia="宋体" w:cs="宋体"/>
          <w:color w:val="000000"/>
          <w:kern w:val="0"/>
          <w:sz w:val="28"/>
          <w:szCs w:val="28"/>
          <w:lang w:val="en-US" w:eastAsia="zh-CN" w:bidi="ar"/>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（五）筹资合规性</w:t>
      </w:r>
    </w:p>
    <w:p>
      <w:pPr>
        <w:pStyle w:val="8"/>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360" w:lineRule="auto"/>
        <w:ind w:left="0" w:right="0" w:firstLine="560" w:firstLineChars="200"/>
        <w:jc w:val="left"/>
        <w:rPr>
          <w:rFonts w:hint="eastAsia" w:ascii="仿宋" w:hAnsi="仿宋" w:eastAsia="仿宋" w:cs="仿宋"/>
          <w:color w:val="000000"/>
          <w:kern w:val="2"/>
          <w:sz w:val="28"/>
          <w:szCs w:val="28"/>
          <w:shd w:val="clear" w:color="auto" w:fill="FFFFFF"/>
          <w:lang w:val="en-US" w:eastAsia="zh-CN" w:bidi="ar-SA"/>
        </w:rPr>
      </w:pPr>
      <w:r>
        <w:rPr>
          <w:rFonts w:hint="eastAsia" w:ascii="仿宋" w:hAnsi="仿宋" w:eastAsia="仿宋" w:cs="仿宋"/>
          <w:color w:val="000000"/>
          <w:kern w:val="2"/>
          <w:sz w:val="28"/>
          <w:szCs w:val="28"/>
          <w:shd w:val="clear" w:color="auto" w:fill="FFFFFF"/>
          <w:lang w:val="en-US" w:eastAsia="zh-CN" w:bidi="ar-SA"/>
        </w:rPr>
        <w:t>本项目拟作为项目建设单位</w:t>
      </w:r>
      <w:r>
        <w:rPr>
          <w:rFonts w:hint="default" w:ascii="仿宋" w:hAnsi="仿宋" w:eastAsia="仿宋" w:cs="仿宋"/>
          <w:color w:val="000000"/>
          <w:kern w:val="2"/>
          <w:sz w:val="28"/>
          <w:szCs w:val="28"/>
          <w:shd w:val="clear" w:color="auto" w:fill="FFFFFF"/>
          <w:lang w:val="en-US" w:eastAsia="zh-CN" w:bidi="ar-SA"/>
        </w:rPr>
        <w:t>2024</w:t>
      </w:r>
      <w:r>
        <w:rPr>
          <w:rFonts w:hint="eastAsia" w:ascii="仿宋" w:hAnsi="仿宋" w:eastAsia="仿宋" w:cs="仿宋"/>
          <w:color w:val="000000"/>
          <w:kern w:val="2"/>
          <w:sz w:val="28"/>
          <w:szCs w:val="28"/>
          <w:shd w:val="clear" w:color="auto" w:fill="FFFFFF"/>
          <w:lang w:val="en-US" w:eastAsia="zh-CN" w:bidi="ar-SA"/>
        </w:rPr>
        <w:t>年重点工作内容之一进行预算编制，申请纳入区本级</w:t>
      </w:r>
      <w:r>
        <w:rPr>
          <w:rFonts w:hint="default" w:ascii="仿宋" w:hAnsi="仿宋" w:eastAsia="仿宋" w:cs="仿宋"/>
          <w:color w:val="000000"/>
          <w:kern w:val="2"/>
          <w:sz w:val="28"/>
          <w:szCs w:val="28"/>
          <w:shd w:val="clear" w:color="auto" w:fill="FFFFFF"/>
          <w:lang w:val="en-US" w:eastAsia="zh-CN" w:bidi="ar-SA"/>
        </w:rPr>
        <w:t>2024</w:t>
      </w:r>
      <w:r>
        <w:rPr>
          <w:rFonts w:hint="eastAsia" w:ascii="仿宋" w:hAnsi="仿宋" w:eastAsia="仿宋" w:cs="仿宋"/>
          <w:color w:val="000000"/>
          <w:kern w:val="2"/>
          <w:sz w:val="28"/>
          <w:szCs w:val="28"/>
          <w:shd w:val="clear" w:color="auto" w:fill="FFFFFF"/>
          <w:lang w:val="en-US" w:eastAsia="zh-CN" w:bidi="ar-SA"/>
        </w:rPr>
        <w:t>年基本财力保障范围。区财政全力统筹全区资源及资金，优先保障民生资金需求。积极拓宽筹资渠道，以政府补助资金作为引导，不断吸引社会运营企业、居民、原产权单位等资金投入。增加财政服务保障能力，提升财政政策效能，有力支持全区经济与社会事业的健康发展</w:t>
      </w:r>
      <w:r>
        <w:rPr>
          <w:rFonts w:hint="default" w:ascii="仿宋" w:hAnsi="仿宋" w:eastAsia="仿宋" w:cs="仿宋"/>
          <w:color w:val="000000"/>
          <w:kern w:val="2"/>
          <w:sz w:val="28"/>
          <w:szCs w:val="28"/>
          <w:shd w:val="clear" w:color="auto" w:fill="FFFFFF"/>
          <w:lang w:val="en-US" w:eastAsia="zh-CN" w:bidi="ar-SA"/>
        </w:rPr>
        <w:t>，建设资金在财政承受能力范围之内，</w:t>
      </w:r>
      <w:r>
        <w:rPr>
          <w:rFonts w:hint="eastAsia" w:ascii="仿宋" w:hAnsi="仿宋" w:eastAsia="仿宋" w:cs="仿宋"/>
          <w:color w:val="000000"/>
          <w:kern w:val="2"/>
          <w:sz w:val="28"/>
          <w:szCs w:val="28"/>
          <w:shd w:val="clear" w:color="auto" w:fill="FFFFFF"/>
          <w:lang w:val="en-US" w:eastAsia="zh-CN" w:bidi="ar-SA"/>
        </w:rPr>
        <w:t>总体风险合理。</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eastAsia="zh-CN"/>
        </w:rPr>
        <w:t>（六）总体结论</w:t>
      </w:r>
    </w:p>
    <w:p>
      <w:pPr>
        <w:keepNext w:val="0"/>
        <w:keepLines w:val="0"/>
        <w:widowControl/>
        <w:suppressLineNumbers w:val="0"/>
        <w:ind w:firstLine="560" w:firstLineChars="200"/>
        <w:jc w:val="both"/>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lang w:val="en-US" w:eastAsia="zh-CN"/>
        </w:rPr>
        <w:t>绩效评估小组依据项目事前绩效评估指标体系，从立项必要性、投入经济性、绩效目标合理性、实施方案有效性以及筹资合规性五个维度，通过数据采集、非现场评估和问卷调查等方式，对北塔区2024年城镇老旧小区改造配套基础设施建设项目第一片区进行了综合评估，项目最终评分结果为85分，评价等级为“良好”。项目扣分情况分析具体如下：</w:t>
      </w:r>
    </w:p>
    <w:p>
      <w:pPr>
        <w:keepNext w:val="0"/>
        <w:keepLines w:val="0"/>
        <w:widowControl/>
        <w:suppressLineNumbers w:val="0"/>
        <w:ind w:firstLine="560" w:firstLineChars="200"/>
        <w:jc w:val="both"/>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lang w:val="en-US" w:eastAsia="zh-CN"/>
        </w:rPr>
        <w:t>一是立项必要性方面: 决策指标总分值为20.00分，实得18.00分，扣2.00分，主要扣分原因为：</w:t>
      </w:r>
      <w:r>
        <w:rPr>
          <w:rFonts w:hint="default" w:ascii="仿宋" w:hAnsi="仿宋" w:eastAsia="仿宋" w:cs="仿宋"/>
          <w:color w:val="000000"/>
          <w:sz w:val="28"/>
          <w:szCs w:val="28"/>
          <w:shd w:val="clear" w:color="auto" w:fill="FFFFFF"/>
          <w:lang w:eastAsia="zh-CN"/>
        </w:rPr>
        <w:t>本项目建设未见相关会议纪要</w:t>
      </w:r>
      <w:r>
        <w:rPr>
          <w:rFonts w:hint="eastAsia" w:ascii="仿宋" w:hAnsi="仿宋" w:eastAsia="仿宋" w:cs="仿宋"/>
          <w:color w:val="000000"/>
          <w:sz w:val="28"/>
          <w:szCs w:val="28"/>
          <w:shd w:val="clear" w:color="auto" w:fill="FFFFFF"/>
          <w:lang w:val="en-US" w:eastAsia="zh-CN"/>
        </w:rPr>
        <w:t>。</w:t>
      </w:r>
    </w:p>
    <w:p>
      <w:pPr>
        <w:keepNext w:val="0"/>
        <w:keepLines w:val="0"/>
        <w:widowControl/>
        <w:suppressLineNumbers w:val="0"/>
        <w:ind w:firstLine="560" w:firstLineChars="200"/>
        <w:jc w:val="both"/>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lang w:eastAsia="zh-CN"/>
        </w:rPr>
        <w:t>二是投入经济性方面: 过程指标总分值为</w:t>
      </w:r>
      <w:r>
        <w:rPr>
          <w:rFonts w:hint="eastAsia" w:ascii="仿宋" w:hAnsi="仿宋" w:eastAsia="仿宋" w:cs="仿宋"/>
          <w:color w:val="000000"/>
          <w:sz w:val="28"/>
          <w:szCs w:val="28"/>
          <w:shd w:val="clear" w:color="auto" w:fill="FFFFFF"/>
          <w:lang w:val="en-US" w:eastAsia="zh-CN"/>
        </w:rPr>
        <w:t>20</w:t>
      </w:r>
      <w:r>
        <w:rPr>
          <w:rFonts w:hint="eastAsia" w:ascii="仿宋" w:hAnsi="仿宋" w:eastAsia="仿宋" w:cs="仿宋"/>
          <w:color w:val="000000"/>
          <w:sz w:val="28"/>
          <w:szCs w:val="28"/>
          <w:shd w:val="clear" w:color="auto" w:fill="FFFFFF"/>
          <w:lang w:eastAsia="zh-CN"/>
        </w:rPr>
        <w:t>.00分，实得</w:t>
      </w:r>
      <w:r>
        <w:rPr>
          <w:rFonts w:hint="eastAsia" w:ascii="仿宋" w:hAnsi="仿宋" w:eastAsia="仿宋" w:cs="仿宋"/>
          <w:color w:val="000000"/>
          <w:sz w:val="28"/>
          <w:szCs w:val="28"/>
          <w:shd w:val="clear" w:color="auto" w:fill="FFFFFF"/>
          <w:lang w:val="en-US" w:eastAsia="zh-CN"/>
        </w:rPr>
        <w:t>10.0</w:t>
      </w:r>
      <w:r>
        <w:rPr>
          <w:rFonts w:hint="eastAsia" w:ascii="仿宋" w:hAnsi="仿宋" w:eastAsia="仿宋" w:cs="仿宋"/>
          <w:color w:val="000000"/>
          <w:sz w:val="28"/>
          <w:szCs w:val="28"/>
          <w:shd w:val="clear" w:color="auto" w:fill="FFFFFF"/>
          <w:lang w:eastAsia="zh-CN"/>
        </w:rPr>
        <w:t>0分，扣</w:t>
      </w:r>
      <w:r>
        <w:rPr>
          <w:rFonts w:hint="eastAsia" w:ascii="仿宋" w:hAnsi="仿宋" w:eastAsia="仿宋" w:cs="仿宋"/>
          <w:color w:val="000000"/>
          <w:sz w:val="28"/>
          <w:szCs w:val="28"/>
          <w:shd w:val="clear" w:color="auto" w:fill="FFFFFF"/>
          <w:lang w:val="en-US" w:eastAsia="zh-CN"/>
        </w:rPr>
        <w:t>10.00</w:t>
      </w:r>
      <w:r>
        <w:rPr>
          <w:rFonts w:hint="eastAsia" w:ascii="仿宋" w:hAnsi="仿宋" w:eastAsia="仿宋" w:cs="仿宋"/>
          <w:color w:val="000000"/>
          <w:sz w:val="28"/>
          <w:szCs w:val="28"/>
          <w:shd w:val="clear" w:color="auto" w:fill="FFFFFF"/>
          <w:lang w:eastAsia="zh-CN"/>
        </w:rPr>
        <w:t>分，主要扣分原因为：项目投入资源及成本与预期产出及效果匹配程度</w:t>
      </w:r>
      <w:r>
        <w:rPr>
          <w:rFonts w:hint="eastAsia" w:ascii="仿宋" w:hAnsi="仿宋" w:eastAsia="仿宋" w:cs="仿宋"/>
          <w:color w:val="000000"/>
          <w:sz w:val="28"/>
          <w:szCs w:val="28"/>
          <w:shd w:val="clear" w:color="auto" w:fill="FFFFFF"/>
          <w:lang w:val="en-US" w:eastAsia="zh-CN"/>
        </w:rPr>
        <w:t>不高且项目建设无相关成本控制措施</w:t>
      </w:r>
      <w:r>
        <w:rPr>
          <w:rFonts w:hint="eastAsia" w:ascii="仿宋" w:hAnsi="仿宋" w:eastAsia="仿宋" w:cs="仿宋"/>
          <w:color w:val="000000"/>
          <w:sz w:val="28"/>
          <w:szCs w:val="28"/>
          <w:shd w:val="clear" w:color="auto" w:fill="FFFFFF"/>
          <w:lang w:eastAsia="zh-CN"/>
        </w:rPr>
        <w:t>。</w:t>
      </w:r>
    </w:p>
    <w:p>
      <w:pPr>
        <w:keepNext w:val="0"/>
        <w:keepLines w:val="0"/>
        <w:widowControl/>
        <w:suppressLineNumbers w:val="0"/>
        <w:ind w:firstLine="560" w:firstLineChars="200"/>
        <w:jc w:val="both"/>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lang w:eastAsia="zh-CN"/>
        </w:rPr>
        <w:t>三是绩效目标合理性方面: 项目产出总分值为</w:t>
      </w:r>
      <w:r>
        <w:rPr>
          <w:rFonts w:hint="eastAsia" w:ascii="仿宋" w:hAnsi="仿宋" w:eastAsia="仿宋" w:cs="仿宋"/>
          <w:color w:val="000000"/>
          <w:sz w:val="28"/>
          <w:szCs w:val="28"/>
          <w:shd w:val="clear" w:color="auto" w:fill="FFFFFF"/>
          <w:lang w:val="en-US" w:eastAsia="zh-CN"/>
        </w:rPr>
        <w:t>20</w:t>
      </w:r>
      <w:r>
        <w:rPr>
          <w:rFonts w:hint="eastAsia" w:ascii="仿宋" w:hAnsi="仿宋" w:eastAsia="仿宋" w:cs="仿宋"/>
          <w:color w:val="000000"/>
          <w:sz w:val="28"/>
          <w:szCs w:val="28"/>
          <w:shd w:val="clear" w:color="auto" w:fill="FFFFFF"/>
          <w:lang w:eastAsia="zh-CN"/>
        </w:rPr>
        <w:t>.00分，实得</w:t>
      </w:r>
      <w:r>
        <w:rPr>
          <w:rFonts w:hint="eastAsia" w:ascii="仿宋" w:hAnsi="仿宋" w:eastAsia="仿宋" w:cs="仿宋"/>
          <w:color w:val="000000"/>
          <w:sz w:val="28"/>
          <w:szCs w:val="28"/>
          <w:shd w:val="clear" w:color="auto" w:fill="FFFFFF"/>
          <w:lang w:val="en-US" w:eastAsia="zh-CN"/>
        </w:rPr>
        <w:t>20</w:t>
      </w:r>
      <w:r>
        <w:rPr>
          <w:rFonts w:hint="eastAsia" w:ascii="仿宋" w:hAnsi="仿宋" w:eastAsia="仿宋" w:cs="仿宋"/>
          <w:color w:val="000000"/>
          <w:sz w:val="28"/>
          <w:szCs w:val="28"/>
          <w:shd w:val="clear" w:color="auto" w:fill="FFFFFF"/>
          <w:lang w:eastAsia="zh-CN"/>
        </w:rPr>
        <w:t>.00分，扣</w:t>
      </w:r>
      <w:r>
        <w:rPr>
          <w:rFonts w:hint="eastAsia" w:ascii="仿宋" w:hAnsi="仿宋" w:eastAsia="仿宋" w:cs="仿宋"/>
          <w:color w:val="000000"/>
          <w:sz w:val="28"/>
          <w:szCs w:val="28"/>
          <w:shd w:val="clear" w:color="auto" w:fill="FFFFFF"/>
          <w:lang w:val="en-US" w:eastAsia="zh-CN"/>
        </w:rPr>
        <w:t>0</w:t>
      </w:r>
      <w:r>
        <w:rPr>
          <w:rFonts w:hint="eastAsia" w:ascii="仿宋" w:hAnsi="仿宋" w:eastAsia="仿宋" w:cs="仿宋"/>
          <w:color w:val="000000"/>
          <w:sz w:val="28"/>
          <w:szCs w:val="28"/>
          <w:shd w:val="clear" w:color="auto" w:fill="FFFFFF"/>
          <w:lang w:eastAsia="zh-CN"/>
        </w:rPr>
        <w:t>.00分。</w:t>
      </w:r>
    </w:p>
    <w:p>
      <w:pPr>
        <w:keepNext w:val="0"/>
        <w:keepLines w:val="0"/>
        <w:widowControl/>
        <w:suppressLineNumbers w:val="0"/>
        <w:ind w:firstLine="560" w:firstLineChars="200"/>
        <w:jc w:val="both"/>
        <w:rPr>
          <w:rFonts w:hint="default"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lang w:val="en-US" w:eastAsia="zh-CN"/>
        </w:rPr>
        <w:t>四是实施方案有效性方面 :项目效益总分值为20.00分，实得17.00分，扣3.00分，主要扣分原因为：该项目未建立项目调整机制且项目进度安排不够合理。</w:t>
      </w:r>
    </w:p>
    <w:p>
      <w:pPr>
        <w:keepNext w:val="0"/>
        <w:keepLines w:val="0"/>
        <w:widowControl/>
        <w:suppressLineNumbers w:val="0"/>
        <w:ind w:firstLine="560" w:firstLineChars="200"/>
        <w:jc w:val="both"/>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五是筹资合规性方面 :项目效益总分值为20.00分，实得20.00分，扣0.00分。</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四、评估的相关建议</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eastAsia="zh-CN"/>
        </w:rPr>
      </w:pPr>
      <w:bookmarkStart w:id="0" w:name="_Hlk53502312"/>
      <w:r>
        <w:rPr>
          <w:rFonts w:hint="default" w:ascii="仿宋" w:hAnsi="仿宋" w:eastAsia="仿宋" w:cs="仿宋"/>
          <w:b/>
          <w:bCs/>
          <w:sz w:val="28"/>
          <w:szCs w:val="28"/>
          <w:lang w:eastAsia="zh-CN"/>
        </w:rPr>
        <w:t>1、</w:t>
      </w:r>
      <w:r>
        <w:rPr>
          <w:rFonts w:hint="eastAsia" w:ascii="仿宋" w:hAnsi="仿宋" w:eastAsia="仿宋" w:cs="仿宋"/>
          <w:b/>
          <w:bCs/>
          <w:sz w:val="28"/>
          <w:szCs w:val="28"/>
          <w:lang w:eastAsia="zh-CN"/>
        </w:rPr>
        <w:t>补充完善成本控制措施</w:t>
      </w:r>
    </w:p>
    <w:p>
      <w:pPr>
        <w:keepNext w:val="0"/>
        <w:keepLines w:val="0"/>
        <w:widowControl/>
        <w:suppressLineNumbers w:val="0"/>
        <w:ind w:firstLine="560" w:firstLineChars="200"/>
        <w:jc w:val="both"/>
        <w:rPr>
          <w:rFonts w:hint="default"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lang w:val="en-US" w:eastAsia="zh-CN"/>
        </w:rPr>
        <w:t>建议项目单位依据</w:t>
      </w:r>
      <w:r>
        <w:rPr>
          <w:rFonts w:hint="default" w:ascii="仿宋" w:hAnsi="仿宋" w:eastAsia="仿宋" w:cs="仿宋"/>
          <w:color w:val="000000"/>
          <w:sz w:val="28"/>
          <w:szCs w:val="28"/>
          <w:shd w:val="clear" w:color="auto" w:fill="FFFFFF"/>
          <w:lang w:eastAsia="zh-CN"/>
        </w:rPr>
        <w:t>项目</w:t>
      </w:r>
      <w:r>
        <w:rPr>
          <w:rFonts w:hint="eastAsia" w:ascii="仿宋" w:hAnsi="仿宋" w:eastAsia="仿宋" w:cs="仿宋"/>
          <w:color w:val="000000"/>
          <w:sz w:val="28"/>
          <w:szCs w:val="28"/>
          <w:shd w:val="clear" w:color="auto" w:fill="FFFFFF"/>
          <w:lang w:val="en-US" w:eastAsia="zh-CN"/>
        </w:rPr>
        <w:t>实际需求情况，完善工程方案设计，加快完善工程设计说明、施工图纸及工程量表，开展进一步的市场工作询价后，细化成本测算，明确取费标准，科学、合理地编制项目投资估算表，提高财政资金使用效益</w:t>
      </w:r>
      <w:r>
        <w:rPr>
          <w:rFonts w:hint="default" w:ascii="仿宋" w:hAnsi="仿宋" w:eastAsia="仿宋" w:cs="仿宋"/>
          <w:color w:val="000000"/>
          <w:sz w:val="28"/>
          <w:szCs w:val="28"/>
          <w:shd w:val="clear" w:color="auto" w:fill="FFFFFF"/>
          <w:lang w:eastAsia="zh-CN"/>
        </w:rPr>
        <w:t>；并且</w:t>
      </w:r>
      <w:r>
        <w:rPr>
          <w:rFonts w:hint="default" w:ascii="仿宋" w:hAnsi="仿宋" w:eastAsia="仿宋" w:cs="仿宋"/>
          <w:color w:val="000000"/>
          <w:sz w:val="28"/>
          <w:szCs w:val="28"/>
          <w:shd w:val="clear" w:color="auto" w:fill="FFFFFF"/>
          <w:lang w:val="en-US" w:eastAsia="zh-CN"/>
        </w:rPr>
        <w:t>要优化采购管理，</w:t>
      </w:r>
      <w:r>
        <w:rPr>
          <w:rFonts w:hint="default" w:ascii="仿宋" w:hAnsi="仿宋" w:eastAsia="仿宋" w:cs="仿宋"/>
          <w:color w:val="000000"/>
          <w:sz w:val="28"/>
          <w:szCs w:val="28"/>
          <w:shd w:val="clear" w:color="auto" w:fill="FFFFFF"/>
          <w:lang w:eastAsia="zh-CN"/>
        </w:rPr>
        <w:t>完善成本控制措施，</w:t>
      </w:r>
      <w:r>
        <w:rPr>
          <w:rFonts w:hint="default" w:ascii="仿宋" w:hAnsi="仿宋" w:eastAsia="仿宋" w:cs="仿宋"/>
          <w:color w:val="000000"/>
          <w:sz w:val="28"/>
          <w:szCs w:val="28"/>
          <w:shd w:val="clear" w:color="auto" w:fill="FFFFFF"/>
          <w:lang w:val="en-US" w:eastAsia="zh-CN"/>
        </w:rPr>
        <w:t>确保采购质量和成本控制</w:t>
      </w:r>
      <w:r>
        <w:rPr>
          <w:rFonts w:hint="default" w:ascii="仿宋" w:hAnsi="仿宋" w:eastAsia="仿宋" w:cs="仿宋"/>
          <w:color w:val="000000"/>
          <w:sz w:val="28"/>
          <w:szCs w:val="28"/>
          <w:shd w:val="clear" w:color="auto" w:fill="FFFFFF"/>
          <w:lang w:eastAsia="zh-CN"/>
        </w:rPr>
        <w:t>，使得项目投入资源与预期产出效果匹配程度更高。</w:t>
      </w:r>
    </w:p>
    <w:bookmarkEnd w:id="0"/>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default" w:ascii="仿宋" w:hAnsi="仿宋" w:eastAsia="仿宋" w:cs="仿宋"/>
          <w:b/>
          <w:bCs/>
          <w:sz w:val="28"/>
          <w:szCs w:val="28"/>
          <w:lang w:eastAsia="zh-CN"/>
        </w:rPr>
      </w:pPr>
      <w:r>
        <w:rPr>
          <w:rFonts w:hint="default" w:ascii="仿宋" w:hAnsi="仿宋" w:eastAsia="仿宋" w:cs="仿宋"/>
          <w:b/>
          <w:bCs/>
          <w:sz w:val="28"/>
          <w:szCs w:val="28"/>
          <w:lang w:eastAsia="zh-CN"/>
        </w:rPr>
        <w:t>2、加强项目全过程管理</w:t>
      </w:r>
    </w:p>
    <w:p>
      <w:pPr>
        <w:keepNext w:val="0"/>
        <w:keepLines w:val="0"/>
        <w:widowControl/>
        <w:suppressLineNumbers w:val="0"/>
        <w:ind w:firstLine="560" w:firstLineChars="200"/>
        <w:jc w:val="both"/>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lang w:eastAsia="zh-CN"/>
        </w:rPr>
        <w:t>对于各具体实施项目的设立、清理和退出管理上，要有明确的时限和步骤，以确定有关子项目是否符合总创建工作全生命周期管理的要求。同时，完善项目的成本控制措施，以确保项目投入的经济性不会随着项目实施而失控。</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default" w:ascii="仿宋" w:hAnsi="仿宋" w:eastAsia="仿宋" w:cs="仿宋"/>
          <w:b/>
          <w:bCs/>
          <w:sz w:val="28"/>
          <w:szCs w:val="28"/>
          <w:lang w:eastAsia="zh-CN"/>
        </w:rPr>
      </w:pPr>
      <w:r>
        <w:rPr>
          <w:rFonts w:hint="eastAsia" w:ascii="仿宋" w:hAnsi="仿宋" w:eastAsia="仿宋" w:cs="仿宋"/>
          <w:b/>
          <w:bCs/>
          <w:sz w:val="28"/>
          <w:szCs w:val="28"/>
          <w:lang w:val="en-US" w:eastAsia="zh-CN"/>
        </w:rPr>
        <w:t>3、</w:t>
      </w:r>
      <w:r>
        <w:rPr>
          <w:rFonts w:hint="default" w:ascii="仿宋" w:hAnsi="仿宋" w:eastAsia="仿宋" w:cs="仿宋"/>
          <w:b/>
          <w:bCs/>
          <w:sz w:val="28"/>
          <w:szCs w:val="28"/>
          <w:lang w:val="en-US" w:eastAsia="zh-CN"/>
        </w:rPr>
        <w:t>进一步细化完善实施方案，提高方案的深度和可操作</w:t>
      </w:r>
      <w:r>
        <w:rPr>
          <w:rFonts w:hint="default" w:ascii="仿宋" w:hAnsi="仿宋" w:eastAsia="仿宋" w:cs="仿宋"/>
          <w:b/>
          <w:bCs/>
          <w:sz w:val="28"/>
          <w:szCs w:val="28"/>
          <w:lang w:eastAsia="zh-CN"/>
        </w:rPr>
        <w:t>性</w:t>
      </w:r>
    </w:p>
    <w:p>
      <w:pPr>
        <w:keepNext w:val="0"/>
        <w:keepLines w:val="0"/>
        <w:widowControl/>
        <w:suppressLineNumbers w:val="0"/>
        <w:ind w:firstLine="560" w:firstLineChars="200"/>
        <w:jc w:val="both"/>
        <w:rPr>
          <w:rFonts w:hint="default" w:ascii="仿宋" w:hAnsi="仿宋" w:eastAsia="仿宋" w:cs="仿宋"/>
          <w:color w:val="000000"/>
          <w:sz w:val="28"/>
          <w:szCs w:val="28"/>
          <w:shd w:val="clear" w:color="auto" w:fill="FFFFFF"/>
          <w:lang w:val="en-US" w:eastAsia="zh-CN"/>
        </w:rPr>
      </w:pPr>
      <w:r>
        <w:rPr>
          <w:rFonts w:hint="default" w:ascii="仿宋" w:hAnsi="仿宋" w:eastAsia="仿宋" w:cs="仿宋"/>
          <w:color w:val="000000"/>
          <w:sz w:val="28"/>
          <w:szCs w:val="28"/>
          <w:shd w:val="clear" w:color="auto" w:fill="FFFFFF"/>
          <w:lang w:val="en-US" w:eastAsia="zh-CN"/>
        </w:rPr>
        <w:t>建议项目单位在现有实施方案基础上，细化完善实施方案</w:t>
      </w:r>
      <w:r>
        <w:rPr>
          <w:rFonts w:hint="default" w:ascii="仿宋" w:hAnsi="仿宋" w:eastAsia="仿宋" w:cs="仿宋"/>
          <w:color w:val="000000"/>
          <w:sz w:val="28"/>
          <w:szCs w:val="28"/>
          <w:shd w:val="clear" w:color="auto" w:fill="FFFFFF"/>
          <w:lang w:eastAsia="zh-CN"/>
        </w:rPr>
        <w:t>，</w:t>
      </w:r>
      <w:r>
        <w:rPr>
          <w:rFonts w:hint="default" w:ascii="仿宋" w:hAnsi="仿宋" w:eastAsia="仿宋" w:cs="仿宋"/>
          <w:color w:val="000000"/>
          <w:sz w:val="28"/>
          <w:szCs w:val="28"/>
          <w:shd w:val="clear" w:color="auto" w:fill="FFFFFF"/>
          <w:lang w:val="en-US" w:eastAsia="zh-CN"/>
        </w:rPr>
        <w:t>在实施方案的项目背景中明确项目设计审查、招投标、施工、验收、竣工结算备案等环节的时间节点和工作内容规划，制定先进、可行、完整的技术路线，以及针对各环节委托方的监管制度及过程管控的具体措施，体现项目实施的组织管理、技术条件等保障措施，保证</w:t>
      </w:r>
      <w:r>
        <w:rPr>
          <w:rFonts w:hint="default" w:ascii="仿宋" w:hAnsi="仿宋" w:eastAsia="仿宋" w:cs="仿宋"/>
          <w:color w:val="000000"/>
          <w:sz w:val="28"/>
          <w:szCs w:val="28"/>
          <w:shd w:val="clear" w:color="auto" w:fill="FFFFFF"/>
          <w:lang w:eastAsia="zh-CN"/>
        </w:rPr>
        <w:t>项目顺利实施</w:t>
      </w:r>
      <w:r>
        <w:rPr>
          <w:rFonts w:hint="default" w:ascii="仿宋" w:hAnsi="仿宋" w:eastAsia="仿宋" w:cs="仿宋"/>
          <w:color w:val="000000"/>
          <w:sz w:val="28"/>
          <w:szCs w:val="28"/>
          <w:shd w:val="clear" w:color="auto" w:fill="FFFFFF"/>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五、其他需要说明的问题</w:t>
      </w:r>
    </w:p>
    <w:p>
      <w:pPr>
        <w:keepNext w:val="0"/>
        <w:keepLines w:val="0"/>
        <w:widowControl/>
        <w:suppressLineNumbers w:val="0"/>
        <w:ind w:firstLine="560" w:firstLineChars="200"/>
        <w:jc w:val="both"/>
        <w:rPr>
          <w:rFonts w:hint="eastAsia" w:ascii="仿宋" w:hAnsi="仿宋" w:eastAsia="仿宋" w:cs="仿宋"/>
          <w:color w:val="000000"/>
          <w:sz w:val="28"/>
          <w:szCs w:val="28"/>
          <w:shd w:val="clear" w:color="auto" w:fill="FFFFFF"/>
          <w:lang w:eastAsia="zh-CN"/>
        </w:rPr>
      </w:pPr>
      <w:r>
        <w:rPr>
          <w:rFonts w:hint="default" w:ascii="仿宋" w:hAnsi="仿宋" w:eastAsia="仿宋" w:cs="仿宋"/>
          <w:color w:val="000000"/>
          <w:sz w:val="28"/>
          <w:szCs w:val="28"/>
          <w:shd w:val="clear" w:color="auto" w:fill="FFFFFF"/>
          <w:lang w:val="en-US" w:eastAsia="zh-CN"/>
        </w:rPr>
        <w:t>本报告是评估机构根据对项目单位所提供及其他经委托方认可的材料进行全面分析与评估，在与委托方沟通的基础上综合形成的</w:t>
      </w:r>
      <w:r>
        <w:rPr>
          <w:rFonts w:hint="default" w:ascii="仿宋" w:hAnsi="仿宋" w:eastAsia="仿宋" w:cs="仿宋"/>
          <w:color w:val="000000"/>
          <w:sz w:val="28"/>
          <w:szCs w:val="28"/>
          <w:shd w:val="clear" w:color="auto" w:fill="FFFFFF"/>
          <w:lang w:eastAsia="zh-CN"/>
        </w:rPr>
        <w:t>，</w:t>
      </w:r>
      <w:r>
        <w:rPr>
          <w:rFonts w:hint="default" w:ascii="仿宋" w:hAnsi="仿宋" w:eastAsia="仿宋" w:cs="仿宋"/>
          <w:color w:val="000000"/>
          <w:sz w:val="28"/>
          <w:szCs w:val="28"/>
          <w:shd w:val="clear" w:color="auto" w:fill="FFFFFF"/>
          <w:lang w:val="en-US" w:eastAsia="zh-CN"/>
        </w:rPr>
        <w:t>报告重点针对</w:t>
      </w:r>
      <w:r>
        <w:rPr>
          <w:rFonts w:hint="default" w:ascii="仿宋" w:hAnsi="仿宋" w:eastAsia="仿宋" w:cs="仿宋"/>
          <w:color w:val="000000"/>
          <w:sz w:val="28"/>
          <w:szCs w:val="28"/>
          <w:shd w:val="clear" w:color="auto" w:fill="FFFFFF"/>
          <w:lang w:eastAsia="zh-CN"/>
        </w:rPr>
        <w:t>茶元头中学篮球场改造</w:t>
      </w:r>
      <w:r>
        <w:rPr>
          <w:rFonts w:hint="default" w:ascii="仿宋" w:hAnsi="仿宋" w:eastAsia="仿宋" w:cs="仿宋"/>
          <w:color w:val="000000"/>
          <w:sz w:val="28"/>
          <w:szCs w:val="28"/>
          <w:shd w:val="clear" w:color="auto" w:fill="FFFFFF"/>
          <w:lang w:val="en-US" w:eastAsia="zh-CN"/>
        </w:rPr>
        <w:t>项目的预算申报进行评估，本报告的结论与意见是参考性的，仅供财政部门审核预算时参考使用，不做其他用途</w:t>
      </w:r>
      <w:r>
        <w:rPr>
          <w:rFonts w:hint="default" w:ascii="仿宋" w:hAnsi="仿宋" w:eastAsia="仿宋" w:cs="仿宋"/>
          <w:color w:val="000000"/>
          <w:sz w:val="28"/>
          <w:szCs w:val="28"/>
          <w:shd w:val="clear" w:color="auto" w:fill="FFFFFF"/>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六</w:t>
      </w:r>
      <w:r>
        <w:rPr>
          <w:rFonts w:hint="eastAsia" w:ascii="宋体" w:hAnsi="宋体" w:eastAsia="宋体" w:cs="宋体"/>
          <w:b/>
          <w:bCs/>
          <w:sz w:val="28"/>
          <w:szCs w:val="28"/>
          <w:lang w:eastAsia="zh-CN"/>
        </w:rPr>
        <w:t>、附件材料</w:t>
      </w:r>
    </w:p>
    <w:p>
      <w:pPr>
        <w:keepNext w:val="0"/>
        <w:keepLines w:val="0"/>
        <w:widowControl/>
        <w:suppressLineNumbers w:val="0"/>
        <w:ind w:firstLine="560" w:firstLineChars="200"/>
        <w:jc w:val="both"/>
        <w:rPr>
          <w:rFonts w:hint="default" w:ascii="仿宋" w:hAnsi="仿宋" w:eastAsia="仿宋" w:cs="仿宋"/>
          <w:color w:val="000000"/>
          <w:sz w:val="28"/>
          <w:szCs w:val="28"/>
          <w:shd w:val="clear" w:color="auto" w:fill="FFFFFF"/>
          <w:lang w:eastAsia="zh-CN"/>
        </w:rPr>
      </w:pPr>
      <w:r>
        <w:rPr>
          <w:rFonts w:hint="default" w:ascii="仿宋" w:hAnsi="仿宋" w:eastAsia="仿宋" w:cs="仿宋"/>
          <w:color w:val="000000"/>
          <w:sz w:val="28"/>
          <w:szCs w:val="28"/>
          <w:shd w:val="clear" w:color="auto" w:fill="FFFFFF"/>
          <w:lang w:eastAsia="zh-CN"/>
        </w:rPr>
        <w:t>附件一：</w:t>
      </w:r>
      <w:r>
        <w:rPr>
          <w:rFonts w:hint="eastAsia" w:ascii="仿宋" w:hAnsi="仿宋" w:eastAsia="仿宋" w:cs="仿宋"/>
          <w:color w:val="000000"/>
          <w:sz w:val="28"/>
          <w:szCs w:val="28"/>
          <w:shd w:val="clear" w:color="auto" w:fill="FFFFFF"/>
          <w:lang w:val="en-US" w:eastAsia="zh-CN"/>
        </w:rPr>
        <w:t>北塔区</w:t>
      </w:r>
      <w:r>
        <w:rPr>
          <w:rFonts w:hint="default" w:ascii="仿宋" w:hAnsi="仿宋" w:eastAsia="仿宋" w:cs="仿宋"/>
          <w:color w:val="000000"/>
          <w:sz w:val="28"/>
          <w:szCs w:val="28"/>
          <w:shd w:val="clear" w:color="auto" w:fill="FFFFFF"/>
          <w:lang w:val="en-US" w:eastAsia="zh-CN"/>
        </w:rPr>
        <w:t>2024</w:t>
      </w:r>
      <w:r>
        <w:rPr>
          <w:rFonts w:hint="eastAsia" w:ascii="仿宋" w:hAnsi="仿宋" w:eastAsia="仿宋" w:cs="仿宋"/>
          <w:color w:val="000000"/>
          <w:sz w:val="28"/>
          <w:szCs w:val="28"/>
          <w:shd w:val="clear" w:color="auto" w:fill="FFFFFF"/>
          <w:lang w:val="en-US" w:eastAsia="zh-CN"/>
        </w:rPr>
        <w:t>年城镇老旧小区改造配套基础设施建设项目第一片区</w:t>
      </w:r>
      <w:r>
        <w:rPr>
          <w:rFonts w:hint="default" w:ascii="仿宋" w:hAnsi="仿宋" w:eastAsia="仿宋" w:cs="仿宋"/>
          <w:color w:val="000000"/>
          <w:sz w:val="28"/>
          <w:szCs w:val="28"/>
          <w:shd w:val="clear" w:color="auto" w:fill="FFFFFF"/>
          <w:lang w:eastAsia="zh-CN"/>
        </w:rPr>
        <w:t>事前绩效评估指标表</w:t>
      </w:r>
    </w:p>
    <w:p>
      <w:pPr>
        <w:shd w:val="clear" w:color="auto" w:fill="auto"/>
        <w:spacing w:line="560" w:lineRule="exact"/>
        <w:jc w:val="right"/>
        <w:rPr>
          <w:rFonts w:hint="eastAsia" w:ascii="仿宋" w:hAnsi="仿宋" w:eastAsia="仿宋" w:cs="仿宋"/>
          <w:b/>
          <w:bCs/>
          <w:sz w:val="28"/>
          <w:szCs w:val="28"/>
          <w:lang w:eastAsia="zh-CN"/>
        </w:rPr>
      </w:pPr>
    </w:p>
    <w:p>
      <w:pPr>
        <w:shd w:val="clear" w:color="auto" w:fill="auto"/>
        <w:spacing w:line="560" w:lineRule="exact"/>
        <w:jc w:val="right"/>
        <w:rPr>
          <w:rFonts w:hint="eastAsia" w:ascii="仿宋" w:hAnsi="仿宋" w:eastAsia="仿宋" w:cs="仿宋"/>
          <w:b/>
          <w:bCs/>
          <w:sz w:val="28"/>
          <w:szCs w:val="28"/>
        </w:rPr>
      </w:pPr>
      <w:r>
        <w:rPr>
          <w:rFonts w:hint="eastAsia" w:ascii="仿宋" w:hAnsi="仿宋" w:eastAsia="仿宋" w:cs="仿宋"/>
          <w:b/>
          <w:bCs/>
          <w:sz w:val="28"/>
          <w:szCs w:val="28"/>
          <w:lang w:eastAsia="zh-CN"/>
        </w:rPr>
        <w:t>湖南骏新联合会计师事务所</w:t>
      </w:r>
      <w:r>
        <w:rPr>
          <w:rFonts w:hint="eastAsia" w:ascii="仿宋" w:hAnsi="仿宋" w:eastAsia="仿宋" w:cs="仿宋"/>
          <w:b/>
          <w:bCs/>
          <w:sz w:val="28"/>
          <w:szCs w:val="28"/>
        </w:rPr>
        <w:t>（普通合伙）</w:t>
      </w:r>
    </w:p>
    <w:p>
      <w:pPr>
        <w:shd w:val="clear" w:color="auto" w:fill="auto"/>
        <w:spacing w:line="560" w:lineRule="exact"/>
        <w:rPr>
          <w:rFonts w:hint="default"/>
          <w:lang w:eastAsia="zh-CN"/>
        </w:rPr>
        <w:sectPr>
          <w:footerReference r:id="rId4" w:type="default"/>
          <w:pgSz w:w="11906" w:h="16838"/>
          <w:pgMar w:top="1440" w:right="1800" w:bottom="1440" w:left="1800" w:header="851" w:footer="992" w:gutter="0"/>
          <w:pgNumType w:fmt="decimal" w:start="1"/>
          <w:cols w:space="425" w:num="1"/>
          <w:docGrid w:type="lines" w:linePitch="312" w:charSpace="0"/>
        </w:sectPr>
      </w:pPr>
      <w:r>
        <w:rPr>
          <w:rFonts w:hint="eastAsia" w:ascii="仿宋" w:hAnsi="仿宋" w:eastAsia="仿宋" w:cs="仿宋"/>
          <w:color w:val="000000"/>
          <w:sz w:val="28"/>
          <w:szCs w:val="28"/>
        </w:rPr>
        <w:t xml:space="preserve">                                  </w:t>
      </w:r>
      <w:r>
        <w:rPr>
          <w:rFonts w:hint="eastAsia" w:ascii="仿宋" w:hAnsi="仿宋" w:eastAsia="仿宋" w:cs="仿宋"/>
          <w:b/>
          <w:bCs/>
          <w:color w:val="000000"/>
          <w:sz w:val="28"/>
          <w:szCs w:val="28"/>
        </w:rPr>
        <w:t>二〇</w:t>
      </w:r>
      <w:r>
        <w:rPr>
          <w:rFonts w:hint="eastAsia" w:ascii="仿宋" w:hAnsi="仿宋" w:eastAsia="仿宋" w:cs="仿宋"/>
          <w:b/>
          <w:bCs/>
          <w:color w:val="000000"/>
          <w:sz w:val="28"/>
          <w:szCs w:val="28"/>
          <w:lang w:val="en-US" w:eastAsia="zh-CN"/>
        </w:rPr>
        <w:t>二</w:t>
      </w:r>
      <w:r>
        <w:rPr>
          <w:rFonts w:hint="eastAsia" w:cs="仿宋"/>
          <w:b/>
          <w:bCs/>
          <w:color w:val="000000"/>
          <w:sz w:val="28"/>
          <w:szCs w:val="28"/>
          <w:lang w:eastAsia="zh-CN"/>
        </w:rPr>
        <w:t>三</w:t>
      </w:r>
      <w:r>
        <w:rPr>
          <w:rFonts w:hint="eastAsia" w:ascii="仿宋" w:hAnsi="仿宋" w:eastAsia="仿宋" w:cs="仿宋"/>
          <w:b/>
          <w:bCs/>
          <w:color w:val="000000"/>
          <w:sz w:val="28"/>
          <w:szCs w:val="28"/>
        </w:rPr>
        <w:t>年</w:t>
      </w:r>
      <w:r>
        <w:rPr>
          <w:rFonts w:hint="eastAsia" w:cs="仿宋"/>
          <w:b/>
          <w:bCs/>
          <w:color w:val="000000"/>
          <w:sz w:val="28"/>
          <w:szCs w:val="28"/>
          <w:lang w:val="en-US" w:eastAsia="zh-CN"/>
        </w:rPr>
        <w:t>十一</w:t>
      </w:r>
      <w:r>
        <w:rPr>
          <w:rFonts w:hint="eastAsia" w:ascii="仿宋" w:hAnsi="仿宋" w:eastAsia="仿宋" w:cs="仿宋"/>
          <w:b/>
          <w:bCs/>
          <w:color w:val="000000"/>
          <w:sz w:val="28"/>
          <w:szCs w:val="28"/>
        </w:rPr>
        <w:t>月</w:t>
      </w:r>
      <w:r>
        <w:rPr>
          <w:rFonts w:hint="eastAsia" w:ascii="仿宋" w:hAnsi="仿宋" w:eastAsia="仿宋" w:cs="仿宋"/>
          <w:b/>
          <w:bCs/>
          <w:color w:val="000000"/>
          <w:sz w:val="28"/>
          <w:szCs w:val="28"/>
          <w:lang w:eastAsia="zh-CN"/>
        </w:rPr>
        <w:t>二十</w:t>
      </w:r>
      <w:r>
        <w:rPr>
          <w:rFonts w:hint="eastAsia" w:ascii="仿宋" w:hAnsi="仿宋" w:eastAsia="仿宋" w:cs="仿宋"/>
          <w:b/>
          <w:bCs/>
          <w:color w:val="000000"/>
          <w:sz w:val="28"/>
          <w:szCs w:val="28"/>
          <w:lang w:val="en-US" w:eastAsia="zh-CN"/>
        </w:rPr>
        <w:t>六</w:t>
      </w:r>
      <w:r>
        <w:rPr>
          <w:rFonts w:hint="eastAsia" w:ascii="仿宋" w:hAnsi="仿宋" w:eastAsia="仿宋" w:cs="仿宋"/>
          <w:b/>
          <w:bCs/>
          <w:color w:val="000000"/>
          <w:sz w:val="28"/>
          <w:szCs w:val="28"/>
        </w:rPr>
        <w:t>日</w:t>
      </w:r>
    </w:p>
    <w:p>
      <w:pPr>
        <w:widowControl/>
        <w:spacing w:line="520" w:lineRule="exact"/>
        <w:jc w:val="center"/>
        <w:rPr>
          <w:rFonts w:hint="eastAsia" w:ascii="黑体" w:hAnsi="黑体" w:eastAsia="黑体" w:cs="仿宋"/>
          <w:spacing w:val="-10"/>
          <w:sz w:val="30"/>
          <w:szCs w:val="32"/>
          <w:lang w:eastAsia="zh-CN"/>
        </w:rPr>
      </w:pPr>
      <w:bookmarkStart w:id="1" w:name="_GoBack"/>
      <w:bookmarkEnd w:id="1"/>
      <w:r>
        <w:rPr>
          <w:rFonts w:hint="eastAsia" w:ascii="黑体" w:hAnsi="黑体" w:eastAsia="黑体" w:cs="仿宋"/>
          <w:spacing w:val="-10"/>
          <w:sz w:val="30"/>
          <w:szCs w:val="32"/>
          <w:lang w:eastAsia="zh-CN"/>
        </w:rPr>
        <w:t>北塔区2024年城镇老旧小区改造配套基础设施建设项目第一片区事前绩效评估指标表</w:t>
      </w: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07"/>
        <w:gridCol w:w="1465"/>
        <w:gridCol w:w="1120"/>
        <w:gridCol w:w="3827"/>
        <w:gridCol w:w="4706"/>
        <w:gridCol w:w="1018"/>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u w:val="none"/>
              </w:rPr>
            </w:pPr>
            <w:r>
              <w:rPr>
                <w:rStyle w:val="13"/>
                <w:rFonts w:hint="eastAsia" w:ascii="宋体" w:hAnsi="宋体" w:eastAsia="宋体" w:cs="宋体"/>
                <w:sz w:val="21"/>
                <w:szCs w:val="21"/>
                <w:lang w:val="en-US" w:eastAsia="zh-CN" w:bidi="ar"/>
              </w:rPr>
              <w:t>一级指标</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u w:val="none"/>
              </w:rPr>
            </w:pPr>
            <w:r>
              <w:rPr>
                <w:rStyle w:val="13"/>
                <w:rFonts w:hint="eastAsia" w:ascii="宋体" w:hAnsi="宋体" w:eastAsia="宋体" w:cs="宋体"/>
                <w:sz w:val="21"/>
                <w:szCs w:val="21"/>
                <w:lang w:val="en-US" w:eastAsia="zh-CN" w:bidi="ar"/>
              </w:rPr>
              <w:t>二级</w:t>
            </w:r>
          </w:p>
        </w:tc>
        <w:tc>
          <w:tcPr>
            <w:tcW w:w="3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u w:val="none"/>
              </w:rPr>
            </w:pPr>
            <w:r>
              <w:rPr>
                <w:rStyle w:val="13"/>
                <w:rFonts w:hint="eastAsia" w:ascii="宋体" w:hAnsi="宋体" w:eastAsia="宋体" w:cs="宋体"/>
                <w:sz w:val="21"/>
                <w:szCs w:val="21"/>
                <w:lang w:val="en-US" w:eastAsia="zh-CN" w:bidi="ar"/>
              </w:rPr>
              <w:t>分值</w:t>
            </w:r>
          </w:p>
        </w:tc>
        <w:tc>
          <w:tcPr>
            <w:tcW w:w="13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u w:val="none"/>
              </w:rPr>
            </w:pPr>
            <w:r>
              <w:rPr>
                <w:rStyle w:val="13"/>
                <w:rFonts w:hint="eastAsia" w:ascii="宋体" w:hAnsi="宋体" w:eastAsia="宋体" w:cs="宋体"/>
                <w:sz w:val="21"/>
                <w:szCs w:val="21"/>
                <w:lang w:val="en-US" w:eastAsia="zh-CN" w:bidi="ar"/>
              </w:rPr>
              <w:t>评估要点</w:t>
            </w:r>
          </w:p>
        </w:tc>
        <w:tc>
          <w:tcPr>
            <w:tcW w:w="16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u w:val="none"/>
              </w:rPr>
            </w:pPr>
            <w:r>
              <w:rPr>
                <w:rStyle w:val="13"/>
                <w:rFonts w:hint="eastAsia" w:ascii="宋体" w:hAnsi="宋体" w:eastAsia="宋体" w:cs="宋体"/>
                <w:sz w:val="21"/>
                <w:szCs w:val="21"/>
                <w:lang w:val="en-US" w:eastAsia="zh-CN" w:bidi="ar"/>
              </w:rPr>
              <w:t>评分依据</w:t>
            </w:r>
          </w:p>
        </w:tc>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u w:val="none"/>
              </w:rPr>
            </w:pPr>
            <w:r>
              <w:rPr>
                <w:rStyle w:val="13"/>
                <w:rFonts w:hint="eastAsia" w:ascii="宋体" w:hAnsi="宋体" w:eastAsia="宋体" w:cs="宋体"/>
                <w:sz w:val="21"/>
                <w:szCs w:val="21"/>
                <w:lang w:val="en-US" w:eastAsia="zh-CN" w:bidi="ar"/>
              </w:rPr>
              <w:t>扣分</w:t>
            </w:r>
          </w:p>
        </w:tc>
        <w:tc>
          <w:tcPr>
            <w:tcW w:w="29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u w:val="none"/>
              </w:rPr>
            </w:pPr>
            <w:r>
              <w:rPr>
                <w:rStyle w:val="13"/>
                <w:rFonts w:hint="eastAsia" w:ascii="宋体" w:hAnsi="宋体" w:eastAsia="宋体" w:cs="宋体"/>
                <w:sz w:val="21"/>
                <w:szCs w:val="21"/>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u w:val="none"/>
              </w:rPr>
            </w:pPr>
            <w:r>
              <w:rPr>
                <w:rStyle w:val="13"/>
                <w:rFonts w:hint="eastAsia" w:ascii="宋体" w:hAnsi="宋体" w:eastAsia="宋体" w:cs="宋体"/>
                <w:sz w:val="21"/>
                <w:szCs w:val="21"/>
                <w:lang w:val="en-US" w:eastAsia="zh-CN" w:bidi="ar"/>
              </w:rPr>
              <w:t>指标</w:t>
            </w: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1"/>
                <w:szCs w:val="21"/>
                <w:u w:val="none"/>
              </w:rPr>
            </w:pPr>
          </w:p>
        </w:tc>
        <w:tc>
          <w:tcPr>
            <w:tcW w:w="13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1"/>
                <w:szCs w:val="21"/>
                <w:u w:val="none"/>
              </w:rPr>
            </w:pPr>
          </w:p>
        </w:tc>
        <w:tc>
          <w:tcPr>
            <w:tcW w:w="1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1"/>
                <w:szCs w:val="21"/>
                <w:u w:val="non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1"/>
                <w:szCs w:val="21"/>
                <w:u w:val="none"/>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4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立项必要性（20）</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政策相关性</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是否与国家、湖南省相关行业宏观政策相关。</w:t>
            </w:r>
          </w:p>
        </w:tc>
        <w:tc>
          <w:tcPr>
            <w:tcW w:w="1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《关于全面推进城镇老旧小区改造工作的指导意见》（国办发〔2020〕23 号）；湖南省住建厅、发改委、财政厅印发《关于推进全省城镇老旧小区改造工作的通知》（湘建城〔2020〕50 号）</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职能相关性</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是否与主管部门职能、规划及当年重点工作相关。</w:t>
            </w:r>
          </w:p>
        </w:tc>
        <w:tc>
          <w:tcPr>
            <w:tcW w:w="1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邵阳市北塔区住房和城乡建设局主要负责全区住房制度政策规定、改革方案的拟定和实施，全区住房保障规划的制度和落实，经济适用房和廉租住房的建设和管理，职能相关；无相关会议纪要</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需求相关性</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①是否具有现实需求，需求是否迫切；②是否有可替代性；③是否有确定的服务对象或受益对象。</w:t>
            </w:r>
          </w:p>
        </w:tc>
        <w:tc>
          <w:tcPr>
            <w:tcW w:w="1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项目覆盖地点主要道路存在路面破损，主要为线裂、网裂、龟裂、坑槽、泛油等病害问题；项目的实施将为区域内的居民营造良好的生活环境</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财政投入相关性</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是否具有公共性，是否属于公共财政支持范围。</w:t>
            </w:r>
          </w:p>
        </w:tc>
        <w:tc>
          <w:tcPr>
            <w:tcW w:w="1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该项目是一项推动城市更新、提升城市形象的系统工程，具有公共性，属于公共财政支持范围</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投入经济性（20）</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投入合理性</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①项目投入资源及成本是否与预期产出及效果相匹配；②投入成本是否合理，成本测算依据是否充分；③其他渠道是否有充分投入。</w:t>
            </w:r>
          </w:p>
        </w:tc>
        <w:tc>
          <w:tcPr>
            <w:tcW w:w="1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项目投入资源及成本与预期产出及效果匹配程度一般</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成本控制措施有效性</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项目是否采取相关成本控制措施，成本控制措施是否有效。</w:t>
            </w:r>
          </w:p>
        </w:tc>
        <w:tc>
          <w:tcPr>
            <w:tcW w:w="1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无相关成本控制措施</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绩效目标合理性（20）</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目标明确性</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①绩效目标设定是否明确；②与部门长期规划目标、年度工作目标是否一致；③项目受益群体定位是否准确；④绩效目标和指标设置是否与项目高度相关。</w:t>
            </w:r>
          </w:p>
        </w:tc>
        <w:tc>
          <w:tcPr>
            <w:tcW w:w="1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绩效目标设定明确；与部门长期规划目标、年度工作目标一致；项目受益群体是否准确；绩效目标和指标设置与项目高度相关</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目标合理性</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①绩效目标与项目预计解决的问题是否匹配；②绩效目标与现实需求是否匹配；③绩效目标是否具有一定的前瞻性和挑战性；④绩效指标是否细化、量化，指标值是否合理。</w:t>
            </w:r>
          </w:p>
        </w:tc>
        <w:tc>
          <w:tcPr>
            <w:tcW w:w="1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绩效目标与项目预计解决的问题相匹配；绩效目标与现实需求相匹配；绩效目标具有一定的前瞻性和挑战性；绩效指标进行了细化、量化，指标值设置合理</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实施方案有效性）（20分）</w:t>
            </w:r>
          </w:p>
        </w:tc>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实施内容明确性</w:t>
            </w:r>
          </w:p>
        </w:tc>
        <w:tc>
          <w:tcPr>
            <w:tcW w:w="3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3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项目内容是否明确、具体，与绩效目标是否匹配。</w:t>
            </w:r>
          </w:p>
        </w:tc>
        <w:tc>
          <w:tcPr>
            <w:tcW w:w="16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项目内容明确、具体，与绩效目标相匹配</w:t>
            </w:r>
          </w:p>
        </w:tc>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29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13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1"/>
                <w:szCs w:val="21"/>
                <w:u w:val="none"/>
              </w:rPr>
            </w:pPr>
          </w:p>
        </w:tc>
        <w:tc>
          <w:tcPr>
            <w:tcW w:w="1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1"/>
                <w:szCs w:val="21"/>
                <w:u w:val="non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13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1"/>
                <w:szCs w:val="21"/>
                <w:u w:val="none"/>
              </w:rPr>
            </w:pPr>
          </w:p>
        </w:tc>
        <w:tc>
          <w:tcPr>
            <w:tcW w:w="1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1"/>
                <w:szCs w:val="21"/>
                <w:u w:val="non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13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1"/>
                <w:szCs w:val="21"/>
                <w:u w:val="none"/>
              </w:rPr>
            </w:pPr>
          </w:p>
        </w:tc>
        <w:tc>
          <w:tcPr>
            <w:tcW w:w="1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1"/>
                <w:szCs w:val="21"/>
                <w:u w:val="non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13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1"/>
                <w:szCs w:val="21"/>
                <w:u w:val="none"/>
              </w:rPr>
            </w:pPr>
          </w:p>
        </w:tc>
        <w:tc>
          <w:tcPr>
            <w:tcW w:w="1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1"/>
                <w:szCs w:val="21"/>
                <w:u w:val="non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项目时效性</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项目是否明确设立、退出时限；项目清理、退出、调整机制是否健全。</w:t>
            </w:r>
          </w:p>
        </w:tc>
        <w:tc>
          <w:tcPr>
            <w:tcW w:w="1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未建立项目调整机制</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实施方案可行性</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①项目技术路线是否完整、先进、可行、合理，与项目内容及绩效目标是否匹配；②项目组织、进度安排是否合理；③与项目有关的基础设施条件是否能够得以有效保障。</w:t>
            </w:r>
          </w:p>
        </w:tc>
        <w:tc>
          <w:tcPr>
            <w:tcW w:w="1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项目进度安排不够合理</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过程控制有效性</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①项目申报、审批、调整及项目资金申请、审批、拨付等方面已履行或计划履行的程序是否规范；②项目组织机构是否健全、职责分工是否明确、项目人员条件是否与项目有关并得以有效保障；③业务管理制度、技术规程、标准是否健全、完善，以前年度业务制度执行是否出现过问题，相关业务方面问题是否得到有效解决并配有相应的保障措施；④项目执行过程是否设立管控措施、机制等，相关措施、机制是否能够保证项目顺利实施。</w:t>
            </w:r>
          </w:p>
        </w:tc>
        <w:tc>
          <w:tcPr>
            <w:tcW w:w="1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关于《北塔区 2024 年城镇老旧小区改造配套基础设施建设项目第一片区(邵阳学院江北分院家属区、制镜厂家属区、司乘公寓片区)可行性研究报告》的批复；《可研究性报告》</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筹资合规性（20）</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筹资合规性</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①资金来源渠道是否符合相关规定；②资金筹措程序是否科学规范，是否经过相关论证，论证资料是否齐全；③资金筹措是否体现权责对等，财权和事权是否匹配。</w:t>
            </w:r>
          </w:p>
        </w:tc>
        <w:tc>
          <w:tcPr>
            <w:tcW w:w="1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由上级中央资金及地方财政配套资金共同解决</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财政投入能力</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①各级财政资金配套方式和承受能力是否科学合理；②各级财政部门和其他部门是否有类似项目资金重复投入；③财政资金支持方式是否科学合理。</w:t>
            </w:r>
          </w:p>
        </w:tc>
        <w:tc>
          <w:tcPr>
            <w:tcW w:w="1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该项目拟作为邵阳市北塔区住房和建设局2024年重点工作内容之一进行预算编制，申请纳入区本级2024年基本财力保障范围；项目建设资金在财政承受能力范围之内</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筹资风险可控性</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①对筹资风险认识是否全面；②是否针对预期风险设定应对措施；③应对措施是否可行、有效。</w:t>
            </w:r>
          </w:p>
        </w:tc>
        <w:tc>
          <w:tcPr>
            <w:tcW w:w="1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对筹资风险认识较全面；针对预期风险设定了有效的应对措施</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1"/>
                <w:szCs w:val="21"/>
                <w:u w:val="none"/>
              </w:rPr>
            </w:pPr>
            <w:r>
              <w:rPr>
                <w:rStyle w:val="13"/>
                <w:rFonts w:hint="eastAsia" w:ascii="宋体" w:hAnsi="宋体" w:eastAsia="宋体" w:cs="宋体"/>
                <w:sz w:val="21"/>
                <w:szCs w:val="21"/>
                <w:lang w:val="en-US" w:eastAsia="zh-CN" w:bidi="ar"/>
              </w:rPr>
              <w:t>合计</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1"/>
                <w:szCs w:val="21"/>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100</w:t>
            </w: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b/>
                <w:bCs/>
                <w:i w:val="0"/>
                <w:iCs w:val="0"/>
                <w:color w:val="000000"/>
                <w:sz w:val="21"/>
                <w:szCs w:val="21"/>
                <w:u w:val="none"/>
              </w:rPr>
            </w:pPr>
          </w:p>
        </w:tc>
        <w:tc>
          <w:tcPr>
            <w:tcW w:w="1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b/>
                <w:bCs/>
                <w:i w:val="0"/>
                <w:iCs w:val="0"/>
                <w:color w:val="000000"/>
                <w:sz w:val="21"/>
                <w:szCs w:val="21"/>
                <w:u w:val="none"/>
              </w:rPr>
            </w:pP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r>
    </w:tbl>
    <w:p>
      <w:pPr>
        <w:pStyle w:val="2"/>
        <w:rPr>
          <w:rFonts w:hint="eastAsia"/>
          <w:lang w:eastAsia="zh-CN"/>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PTBtM4BAACnAwAADgAAAGRycy9lMm9Eb2MueG1srVPNjtMwEL4j8Q6W&#10;7zRpV0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Aj0wbTOAQAApwMAAA4AAAAAAAAAAQAgAAAAHgEAAGRycy9l&#10;Mm9Eb2MueG1sUEsFBgAAAAAGAAYAWQEAAF4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2YjljZGQ0MTVhMjkwZDViNDNlMzY2NTFjMWYyNTkifQ=="/>
  </w:docVars>
  <w:rsids>
    <w:rsidRoot w:val="50435A6B"/>
    <w:rsid w:val="0A731438"/>
    <w:rsid w:val="0F467403"/>
    <w:rsid w:val="0F7F7841"/>
    <w:rsid w:val="15F555B1"/>
    <w:rsid w:val="1B970EB9"/>
    <w:rsid w:val="27EE3A4C"/>
    <w:rsid w:val="316513E5"/>
    <w:rsid w:val="32BC7E5F"/>
    <w:rsid w:val="3B8F1879"/>
    <w:rsid w:val="3DFD7B2C"/>
    <w:rsid w:val="454315E6"/>
    <w:rsid w:val="46B502C1"/>
    <w:rsid w:val="4878573D"/>
    <w:rsid w:val="4CD9638C"/>
    <w:rsid w:val="50435A6B"/>
    <w:rsid w:val="54505217"/>
    <w:rsid w:val="54F76CC0"/>
    <w:rsid w:val="5A0F7891"/>
    <w:rsid w:val="5D776F36"/>
    <w:rsid w:val="5D7D47EF"/>
    <w:rsid w:val="5FEF3275"/>
    <w:rsid w:val="6237450B"/>
    <w:rsid w:val="64DB9A6B"/>
    <w:rsid w:val="6D76DE02"/>
    <w:rsid w:val="77147E3D"/>
    <w:rsid w:val="79FE2BEE"/>
    <w:rsid w:val="7B8BA9B0"/>
    <w:rsid w:val="7BBD448F"/>
    <w:rsid w:val="7D89FCDD"/>
    <w:rsid w:val="7E7DF45E"/>
    <w:rsid w:val="7E7EFE14"/>
    <w:rsid w:val="7EFB0921"/>
    <w:rsid w:val="7F165C8E"/>
    <w:rsid w:val="7F3BED66"/>
    <w:rsid w:val="7FEAC19B"/>
    <w:rsid w:val="7FF21F4F"/>
    <w:rsid w:val="7FFF497F"/>
    <w:rsid w:val="9EF36DD4"/>
    <w:rsid w:val="9FE205E1"/>
    <w:rsid w:val="A7BFCDA3"/>
    <w:rsid w:val="AB6E6A63"/>
    <w:rsid w:val="B5BB68F4"/>
    <w:rsid w:val="BCFFE92C"/>
    <w:rsid w:val="CDFE1F06"/>
    <w:rsid w:val="DBFF4FBF"/>
    <w:rsid w:val="DEFF66CA"/>
    <w:rsid w:val="DFDBC986"/>
    <w:rsid w:val="DFDE2C02"/>
    <w:rsid w:val="EF785C6F"/>
    <w:rsid w:val="EFF77883"/>
    <w:rsid w:val="F746641B"/>
    <w:rsid w:val="F9FFAE13"/>
    <w:rsid w:val="FAFD347E"/>
    <w:rsid w:val="FDFF3493"/>
    <w:rsid w:val="FFEEF47E"/>
    <w:rsid w:val="FFFB6AF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autoRedefine/>
    <w:qFormat/>
    <w:uiPriority w:val="0"/>
    <w:pPr>
      <w:keepNext/>
      <w:keepLines/>
      <w:spacing w:line="312" w:lineRule="auto"/>
      <w:jc w:val="center"/>
      <w:outlineLvl w:val="1"/>
    </w:pPr>
    <w:rPr>
      <w:rFonts w:ascii="Cambria" w:hAnsi="Cambria" w:cs="宋体"/>
      <w:b/>
      <w:bCs/>
      <w:sz w:val="36"/>
      <w:szCs w:val="32"/>
    </w:rPr>
  </w:style>
  <w:style w:type="character" w:default="1" w:styleId="11">
    <w:name w:val="Default Paragraph Font"/>
    <w:autoRedefine/>
    <w:semiHidden/>
    <w:qFormat/>
    <w:uiPriority w:val="0"/>
  </w:style>
  <w:style w:type="table" w:default="1" w:styleId="9">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Default1"/>
    <w:autoRedefine/>
    <w:qFormat/>
    <w:uiPriority w:val="0"/>
    <w:pPr>
      <w:widowControl w:val="0"/>
      <w:autoSpaceDE w:val="0"/>
      <w:autoSpaceDN w:val="0"/>
      <w:adjustRightInd w:val="0"/>
    </w:pPr>
    <w:rPr>
      <w:rFonts w:ascii="宋体" w:hAnsi="Calibri" w:cs="宋体" w:eastAsiaTheme="minorEastAsia"/>
      <w:color w:val="000000"/>
      <w:sz w:val="24"/>
      <w:szCs w:val="24"/>
      <w:lang w:val="en-US" w:eastAsia="zh-CN" w:bidi="ar-SA"/>
    </w:rPr>
  </w:style>
  <w:style w:type="paragraph" w:styleId="4">
    <w:name w:val="Normal Indent"/>
    <w:basedOn w:val="1"/>
    <w:autoRedefine/>
    <w:qFormat/>
    <w:uiPriority w:val="0"/>
    <w:pPr>
      <w:keepNext w:val="0"/>
      <w:keepLines w:val="0"/>
      <w:widowControl w:val="0"/>
      <w:suppressLineNumbers w:val="0"/>
      <w:adjustRightInd w:val="0"/>
      <w:spacing w:before="0" w:beforeAutospacing="0" w:after="0" w:afterAutospacing="0" w:line="312" w:lineRule="atLeast"/>
      <w:ind w:left="0" w:right="0" w:firstLine="420" w:firstLineChars="0"/>
      <w:jc w:val="both"/>
      <w:textAlignment w:val="baseline"/>
    </w:pPr>
    <w:rPr>
      <w:rFonts w:hint="default" w:ascii="Times New Roman" w:hAnsi="Times New Roman" w:eastAsia="宋体" w:cs="Times New Roman"/>
      <w:kern w:val="0"/>
      <w:sz w:val="21"/>
      <w:szCs w:val="21"/>
      <w:lang w:val="en-US" w:eastAsia="zh-CN" w:bidi="ar"/>
    </w:rPr>
  </w:style>
  <w:style w:type="paragraph" w:styleId="5">
    <w:name w:val="Body Text"/>
    <w:basedOn w:val="1"/>
    <w:autoRedefine/>
    <w:qFormat/>
    <w:uiPriority w:val="0"/>
    <w:pPr>
      <w:keepNext w:val="0"/>
      <w:keepLines w:val="0"/>
      <w:widowControl w:val="0"/>
      <w:suppressLineNumbers w:val="0"/>
      <w:autoSpaceDE w:val="0"/>
      <w:autoSpaceDN w:val="0"/>
      <w:spacing w:before="0" w:beforeAutospacing="0" w:after="0" w:afterAutospacing="0"/>
      <w:ind w:left="760" w:right="0"/>
      <w:jc w:val="left"/>
    </w:pPr>
    <w:rPr>
      <w:rFonts w:hint="eastAsia" w:ascii="宋体" w:hAnsi="宋体" w:eastAsia="宋体" w:cs="宋体"/>
      <w:kern w:val="0"/>
      <w:sz w:val="32"/>
      <w:szCs w:val="32"/>
      <w:lang w:val="en-US" w:eastAsia="zh-CN" w:bidi="ar"/>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无间隔1"/>
    <w:autoRedefine/>
    <w:qFormat/>
    <w:uiPriority w:val="0"/>
    <w:pPr>
      <w:widowControl w:val="0"/>
      <w:spacing w:beforeLines="50"/>
      <w:jc w:val="center"/>
    </w:pPr>
    <w:rPr>
      <w:rFonts w:ascii="Times New Roman" w:hAnsi="Times New Roman" w:eastAsia="仿宋_GB2312" w:cs="Times New Roman"/>
      <w:kern w:val="2"/>
      <w:sz w:val="24"/>
      <w:szCs w:val="22"/>
      <w:lang w:val="en-US" w:eastAsia="zh-CN" w:bidi="ar-SA"/>
    </w:rPr>
  </w:style>
  <w:style w:type="character" w:customStyle="1" w:styleId="13">
    <w:name w:val="font11"/>
    <w:basedOn w:val="11"/>
    <w:autoRedefine/>
    <w:qFormat/>
    <w:uiPriority w:val="0"/>
    <w:rPr>
      <w:rFonts w:hint="eastAsia" w:ascii="宋体" w:hAnsi="宋体" w:eastAsia="宋体" w:cs="宋体"/>
      <w:b/>
      <w:bCs/>
      <w:color w:val="000000"/>
      <w:sz w:val="20"/>
      <w:szCs w:val="20"/>
      <w:u w:val="none"/>
    </w:rPr>
  </w:style>
  <w:style w:type="character" w:customStyle="1" w:styleId="14">
    <w:name w:val="font21"/>
    <w:basedOn w:val="11"/>
    <w:autoRedefine/>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2023-11-22T07:22:00Z</dcterms:created>
  <dc:creator>lxy</dc:creator>
  <cp:lastModifiedBy>小鲸怡</cp:lastModifiedBy>
  <dcterms:modified xsi:type="dcterms:W3CDTF">2023-12-18T07:34:50Z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106F99EB6C0F4A68A2784F8F9E19B165_13</vt:lpwstr>
  </property>
</Properties>
</file>