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topLinePunct w:val="0"/>
        <w:bidi w:val="0"/>
        <w:spacing w:line="540" w:lineRule="exact"/>
        <w:ind w:left="0" w:leftChars="0" w:firstLine="560" w:firstLineChars="200"/>
        <w:rPr>
          <w:rFonts w:hint="eastAsia" w:ascii="仿宋" w:hAnsi="仿宋" w:eastAsia="仿宋" w:cs="仿宋"/>
          <w:sz w:val="28"/>
          <w:szCs w:val="28"/>
        </w:rPr>
      </w:pPr>
    </w:p>
    <w:p>
      <w:pPr>
        <w:spacing w:after="500" w:line="288" w:lineRule="auto"/>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事前绩效评估报告</w:t>
      </w: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ind w:firstLine="480"/>
        <w:rPr>
          <w:rFonts w:ascii="Times New Roman" w:hAnsi="Times New Roman" w:eastAsia="宋体" w:cs="Times New Roman"/>
        </w:rPr>
      </w:pPr>
    </w:p>
    <w:p>
      <w:pPr>
        <w:widowControl w:val="0"/>
        <w:autoSpaceDE w:val="0"/>
        <w:autoSpaceDN w:val="0"/>
        <w:adjustRightInd w:val="0"/>
        <w:rPr>
          <w:rFonts w:ascii="宋体" w:hAnsi="Calibri" w:cs="宋体" w:eastAsiaTheme="minorEastAsia"/>
          <w:color w:val="000000"/>
          <w:sz w:val="24"/>
          <w:szCs w:val="24"/>
          <w:lang w:val="en-US" w:eastAsia="zh-CN" w:bidi="ar-SA"/>
        </w:rPr>
      </w:pPr>
    </w:p>
    <w:p>
      <w:pPr>
        <w:ind w:firstLine="480"/>
        <w:rPr>
          <w:rFonts w:ascii="Times New Roman" w:hAnsi="Times New Roman" w:eastAsia="宋体" w:cs="Times New Roman"/>
        </w:rPr>
      </w:pPr>
    </w:p>
    <w:tbl>
      <w:tblPr>
        <w:tblStyle w:val="10"/>
        <w:tblpPr w:leftFromText="180" w:rightFromText="180" w:vertAnchor="text" w:horzAnchor="page" w:tblpX="2196" w:tblpY="497"/>
        <w:tblOverlap w:val="never"/>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6866"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北塔区2024年城镇老旧小区改造配套基础</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u w:val="none"/>
                <w:vertAlign w:val="baseline"/>
                <w:lang w:val="en-US" w:eastAsia="zh-CN"/>
              </w:rPr>
              <w:t>设施建设项目第四片区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32"/>
                <w:szCs w:val="32"/>
                <w:u w:val="none"/>
                <w:vertAlign w:val="baseline"/>
                <w:lang w:eastAsia="zh-CN"/>
              </w:rPr>
            </w:pPr>
            <w:r>
              <w:rPr>
                <w:rFonts w:hint="eastAsia" w:ascii="Times New Roman" w:hAnsi="Times New Roman" w:eastAsia="宋体"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spacing w:after="500" w:line="288" w:lineRule="auto"/>
        <w:jc w:val="center"/>
        <w:outlineLvl w:val="0"/>
        <w:rPr>
          <w:rFonts w:hint="eastAsia" w:ascii="方正小标宋简体" w:hAnsi="方正小标宋简体" w:eastAsia="方正小标宋简体" w:cs="方正小标宋简体"/>
          <w:b w:val="0"/>
          <w:bCs w:val="0"/>
          <w:sz w:val="44"/>
          <w:szCs w:val="44"/>
          <w:lang w:val="en-US" w:eastAsia="zh-CN"/>
        </w:rPr>
      </w:pPr>
    </w:p>
    <w:p>
      <w:pPr>
        <w:bidi w:val="0"/>
        <w:rPr>
          <w:rFonts w:hint="eastAsia" w:ascii="Times New Roman" w:hAnsi="Times New Roman" w:eastAsia="宋体" w:cs="Times New Roman"/>
          <w:kern w:val="2"/>
          <w:sz w:val="21"/>
          <w:szCs w:val="24"/>
          <w:lang w:val="en-US" w:eastAsia="zh-CN" w:bidi="ar-SA"/>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bidi w:val="0"/>
        <w:rPr>
          <w:rFonts w:hint="eastAsia" w:ascii="Times New Roman" w:hAnsi="Times New Roman" w:eastAsia="宋体" w:cs="Times New Roman"/>
          <w:lang w:val="en-US" w:eastAsia="zh-CN"/>
        </w:rPr>
      </w:pPr>
    </w:p>
    <w:p>
      <w:pPr>
        <w:ind w:firstLine="210" w:firstLineChars="100"/>
        <w:jc w:val="center"/>
        <w:rPr>
          <w:rFonts w:ascii="Times New Roman" w:hAnsi="Times New Roman" w:eastAsia="宋体" w:cs="Times New Roman"/>
        </w:rPr>
      </w:pPr>
      <w:r>
        <w:rPr>
          <w:rFonts w:hint="eastAsia" w:ascii="Times New Roman" w:hAnsi="Times New Roman" w:eastAsia="宋体" w:cs="Times New Roman"/>
          <w:lang w:val="en-US" w:eastAsia="zh-CN"/>
        </w:rPr>
        <w:tab/>
      </w:r>
      <w:r>
        <w:rPr>
          <w:rFonts w:hint="eastAsia" w:ascii="仿宋" w:hAnsi="仿宋" w:eastAsia="仿宋" w:cs="仿宋"/>
          <w:b/>
          <w:bCs/>
          <w:sz w:val="32"/>
          <w:szCs w:val="32"/>
        </w:rPr>
        <w:t>二○二</w:t>
      </w:r>
      <w:r>
        <w:rPr>
          <w:rFonts w:hint="eastAsia" w:ascii="Times New Roman" w:hAnsi="Times New Roman" w:eastAsia="宋体" w:cs="仿宋"/>
          <w:b/>
          <w:bCs/>
          <w:sz w:val="32"/>
          <w:szCs w:val="32"/>
          <w:lang w:val="en-US" w:eastAsia="zh-CN"/>
        </w:rPr>
        <w:t>三</w:t>
      </w:r>
      <w:r>
        <w:rPr>
          <w:rFonts w:hint="eastAsia" w:ascii="仿宋" w:hAnsi="仿宋" w:eastAsia="仿宋" w:cs="仿宋"/>
          <w:b/>
          <w:bCs/>
          <w:sz w:val="32"/>
          <w:szCs w:val="32"/>
        </w:rPr>
        <w:t>年</w:t>
      </w:r>
      <w:r>
        <w:rPr>
          <w:rFonts w:hint="eastAsia" w:ascii="Times New Roman" w:hAnsi="Times New Roman" w:eastAsia="宋体"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ascii="Times New Roman" w:hAnsi="Times New Roman" w:eastAsia="宋体" w:cs="仿宋"/>
          <w:b/>
          <w:bCs/>
          <w:color w:val="000000"/>
          <w:sz w:val="32"/>
          <w:szCs w:val="32"/>
          <w:lang w:val="en-US" w:eastAsia="zh-CN"/>
        </w:rPr>
        <w:t>二十六</w:t>
      </w:r>
      <w:r>
        <w:rPr>
          <w:rFonts w:hint="eastAsia" w:ascii="仿宋" w:hAnsi="仿宋" w:eastAsia="仿宋" w:cs="仿宋"/>
          <w:b/>
          <w:bCs/>
          <w:color w:val="000000"/>
          <w:sz w:val="32"/>
          <w:szCs w:val="32"/>
        </w:rPr>
        <w:t>日</w:t>
      </w:r>
    </w:p>
    <w:p>
      <w:pPr>
        <w:jc w:val="center"/>
        <w:rPr>
          <w:rFonts w:ascii="宋体"/>
          <w:b/>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spacing w:line="520" w:lineRule="exact"/>
        <w:jc w:val="center"/>
        <w:rPr>
          <w:rFonts w:ascii="仿宋" w:hAnsi="仿宋" w:eastAsia="仿宋" w:cs="仿宋"/>
          <w:sz w:val="28"/>
          <w:szCs w:val="28"/>
        </w:rPr>
      </w:pPr>
    </w:p>
    <w:p>
      <w:pPr>
        <w:spacing w:line="520" w:lineRule="exact"/>
        <w:jc w:val="center"/>
        <w:rPr>
          <w:rFonts w:ascii="宋体"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ascii="仿宋" w:hAnsi="仿宋" w:eastAsia="仿宋" w:cs="仿宋"/>
          <w:color w:val="FF0000"/>
          <w:sz w:val="28"/>
          <w:szCs w:val="28"/>
          <w:shd w:val="clear" w:color="auto" w:fill="FFFFFF"/>
          <w:lang w:val="en-US" w:eastAsia="zh-CN"/>
        </w:rPr>
        <w:t xml:space="preserve"> 035</w:t>
      </w:r>
      <w:r>
        <w:rPr>
          <w:rFonts w:hint="eastAsia" w:ascii="仿宋" w:hAnsi="仿宋" w:eastAsia="仿宋" w:cs="仿宋"/>
          <w:color w:val="000000"/>
          <w:sz w:val="28"/>
          <w:szCs w:val="28"/>
          <w:shd w:val="clear" w:color="auto" w:fill="FFFFFF"/>
        </w:rPr>
        <w:t>号</w:t>
      </w:r>
    </w:p>
    <w:p>
      <w:pPr>
        <w:pStyle w:val="2"/>
      </w:pPr>
    </w:p>
    <w:p>
      <w:pPr>
        <w:spacing w:line="560" w:lineRule="exact"/>
        <w:jc w:val="center"/>
        <w:rPr>
          <w:rFonts w:hint="eastAsia" w:ascii="宋体" w:hAnsi="宋体" w:eastAsia="宋体" w:cs="Times New Roman"/>
          <w:b/>
          <w:bCs/>
          <w:sz w:val="36"/>
          <w:szCs w:val="36"/>
          <w:lang w:eastAsia="zh-CN"/>
        </w:rPr>
      </w:pPr>
      <w:r>
        <w:rPr>
          <w:rFonts w:hint="eastAsia" w:ascii="宋体" w:hAnsi="宋体" w:eastAsia="宋体" w:cs="Times New Roman"/>
          <w:b/>
          <w:bCs/>
          <w:sz w:val="36"/>
          <w:szCs w:val="36"/>
          <w:lang w:val="en-US" w:eastAsia="zh-CN"/>
        </w:rPr>
        <w:t>北塔区2024年城镇老旧小区改造配套基础设施建设项目第</w:t>
      </w:r>
      <w:r>
        <w:rPr>
          <w:rFonts w:hint="eastAsia" w:ascii="宋体" w:hAnsi="宋体" w:cs="Times New Roman"/>
          <w:b/>
          <w:bCs/>
          <w:sz w:val="36"/>
          <w:szCs w:val="36"/>
          <w:lang w:val="en-US" w:eastAsia="zh-CN"/>
        </w:rPr>
        <w:t>四</w:t>
      </w:r>
      <w:r>
        <w:rPr>
          <w:rFonts w:hint="eastAsia" w:ascii="宋体" w:hAnsi="宋体" w:eastAsia="宋体" w:cs="Times New Roman"/>
          <w:b/>
          <w:bCs/>
          <w:sz w:val="36"/>
          <w:szCs w:val="36"/>
          <w:lang w:val="en-US" w:eastAsia="zh-CN"/>
        </w:rPr>
        <w:t>片区</w:t>
      </w:r>
      <w:r>
        <w:rPr>
          <w:rFonts w:hint="eastAsia" w:ascii="宋体" w:hAnsi="宋体" w:eastAsia="宋体" w:cs="Times New Roman"/>
          <w:b/>
          <w:bCs/>
          <w:sz w:val="36"/>
          <w:szCs w:val="36"/>
          <w:lang w:eastAsia="zh-CN"/>
        </w:rPr>
        <w:t>事前绩效评估报告</w:t>
      </w:r>
    </w:p>
    <w:p>
      <w:pPr>
        <w:pStyle w:val="2"/>
        <w:rPr>
          <w:rFonts w:hint="eastAsia" w:ascii="宋体" w:hAnsi="宋体" w:eastAsia="宋体" w:cs="Times New Roman"/>
          <w:b/>
          <w:bCs/>
          <w:sz w:val="36"/>
          <w:szCs w:val="36"/>
          <w:lang w:eastAsia="zh-CN"/>
        </w:rPr>
      </w:pPr>
    </w:p>
    <w:p>
      <w:pPr>
        <w:pStyle w:val="2"/>
        <w:rPr>
          <w:rFonts w:hint="eastAsia" w:ascii="宋体" w:hAnsi="宋体" w:eastAsia="宋体" w:cs="Times New Roman"/>
          <w:b/>
          <w:bCs/>
          <w:sz w:val="36"/>
          <w:szCs w:val="36"/>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一、评估对象</w:t>
      </w:r>
    </w:p>
    <w:p>
      <w:pPr>
        <w:keepNext w:val="0"/>
        <w:keepLines w:val="0"/>
        <w:pageBreakBefore w:val="0"/>
        <w:widowControl w:val="0"/>
        <w:kinsoku/>
        <w:wordWrap/>
        <w:topLinePunct w:val="0"/>
        <w:autoSpaceDE/>
        <w:autoSpaceDN/>
        <w:bidi w:val="0"/>
        <w:adjustRightInd/>
        <w:snapToGrid/>
        <w:spacing w:line="540" w:lineRule="exact"/>
        <w:ind w:left="0" w:leftChars="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（一）项目名称</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b/>
          <w:bCs/>
          <w:sz w:val="28"/>
          <w:szCs w:val="28"/>
        </w:rPr>
      </w:pPr>
      <w:r>
        <w:rPr>
          <w:rFonts w:hint="eastAsia" w:ascii="仿宋" w:hAnsi="仿宋" w:eastAsia="仿宋" w:cs="仿宋"/>
          <w:kern w:val="2"/>
          <w:sz w:val="28"/>
          <w:szCs w:val="28"/>
          <w:lang w:val="en-US" w:eastAsia="zh-CN" w:bidi="ar"/>
        </w:rPr>
        <w:t>北塔区2024年城镇老旧小区改造配套基础设施建设项目第</w:t>
      </w:r>
      <w:r>
        <w:rPr>
          <w:rFonts w:hint="eastAsia" w:ascii="仿宋" w:hAnsi="仿宋" w:eastAsia="仿宋" w:cs="仿宋"/>
          <w:kern w:val="2"/>
          <w:sz w:val="28"/>
          <w:szCs w:val="28"/>
          <w:lang w:eastAsia="zh-CN" w:bidi="ar"/>
        </w:rPr>
        <w:t>四片区。</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（二）项目绩效目标</w:t>
      </w:r>
    </w:p>
    <w:p>
      <w:pPr>
        <w:pStyle w:val="5"/>
        <w:keepNext w:val="0"/>
        <w:keepLines w:val="0"/>
        <w:pageBreakBefore w:val="0"/>
        <w:widowControl w:val="0"/>
        <w:suppressLineNumbers w:val="0"/>
        <w:wordWrap/>
        <w:topLinePunct w:val="0"/>
        <w:bidi w:val="0"/>
        <w:spacing w:before="0" w:beforeAutospacing="0" w:after="0" w:line="540" w:lineRule="exact"/>
        <w:ind w:left="0" w:leftChars="0" w:right="0" w:rightChars="0"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1.项目总体绩效目标</w:t>
      </w:r>
    </w:p>
    <w:p>
      <w:pPr>
        <w:pStyle w:val="5"/>
        <w:keepNext w:val="0"/>
        <w:keepLines w:val="0"/>
        <w:pageBreakBefore w:val="0"/>
        <w:widowControl w:val="0"/>
        <w:suppressLineNumbers w:val="0"/>
        <w:wordWrap/>
        <w:topLinePunct w:val="0"/>
        <w:bidi w:val="0"/>
        <w:spacing w:before="0" w:beforeAutospacing="0" w:after="0" w:line="540" w:lineRule="exact"/>
        <w:ind w:left="0" w:leftChars="0" w:right="0" w:rightChars="0" w:firstLine="560" w:firstLineChars="200"/>
        <w:outlineLvl w:val="1"/>
        <w:rPr>
          <w:rFonts w:hint="eastAsia" w:ascii="仿宋" w:hAnsi="仿宋" w:eastAsia="仿宋" w:cs="仿宋"/>
          <w:kern w:val="2"/>
          <w:sz w:val="28"/>
          <w:szCs w:val="28"/>
          <w:lang w:eastAsia="zh-CN" w:bidi="ar"/>
        </w:rPr>
      </w:pPr>
      <w:r>
        <w:rPr>
          <w:rFonts w:hint="eastAsia" w:ascii="仿宋" w:hAnsi="仿宋" w:eastAsia="仿宋" w:cs="仿宋"/>
          <w:kern w:val="2"/>
          <w:sz w:val="28"/>
          <w:szCs w:val="28"/>
          <w:lang w:eastAsia="zh-CN" w:bidi="ar"/>
        </w:rPr>
        <w:t>本项目按照“尊重民意、居民自治”的原则。坚持政府指导群众参与，充分发挥群众主体作用。坚持“改不改群众说了算”，广泛征求群众意愿，有序推进改造工作。以改善城市环境面貌，提高群众居住质量，构建和谐社会为宗旨，以建立健全小区公共环境长效管控机制为根本,通过共商共建共管全面提高老旧小区改造工作成效和社区治理能力，逐步实现北塔区老旧小区道路平整、设施配套、干净整洁、安全有序管理规范、和谐宜居的目标。</w:t>
      </w:r>
    </w:p>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bCs/>
          <w:sz w:val="28"/>
          <w:szCs w:val="28"/>
        </w:rPr>
      </w:pPr>
      <w:r>
        <w:rPr>
          <w:rFonts w:hint="eastAsia" w:ascii="仿宋" w:hAnsi="仿宋" w:eastAsia="仿宋" w:cs="仿宋"/>
          <w:b/>
          <w:bCs/>
          <w:sz w:val="28"/>
          <w:szCs w:val="28"/>
        </w:rPr>
        <w:t>2.项目具体绩效目标</w:t>
      </w:r>
    </w:p>
    <w:tbl>
      <w:tblPr>
        <w:tblStyle w:val="9"/>
        <w:tblW w:w="46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48"/>
        <w:gridCol w:w="1797"/>
        <w:gridCol w:w="2058"/>
        <w:gridCol w:w="129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3"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一级指标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二级指标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三级指标</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单位</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产出指标</w:t>
            </w:r>
          </w:p>
        </w:tc>
        <w:tc>
          <w:tcPr>
            <w:tcW w:w="1134"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数量指标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改造小区数</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个</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房屋</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栋</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居民户数</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户</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房屋总建筑面积</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万㎡</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10.82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质量指标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合格率</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100%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时效指标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工期</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个月</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3"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成本指标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项目总投资</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万元</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35"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效益指标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经济效益指标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加强基础设施建设</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加强区域基础设施建设，扩大有效投资和内需发展动力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6"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社会效益指标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人居环境</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改善老旧小区人居环境，提升生活质量，促进社会稳定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生态效益指标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生态环境</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美化生态环境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1" w:hRule="atLeast"/>
          <w:jc w:val="center"/>
        </w:trPr>
        <w:tc>
          <w:tcPr>
            <w:tcW w:w="535" w:type="pct"/>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可持续影响指标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促进社会和谐发展</w:t>
            </w:r>
          </w:p>
        </w:tc>
        <w:tc>
          <w:tcPr>
            <w:tcW w:w="203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改善基础设施条件，促进社会和谐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9" w:hRule="atLeast"/>
          <w:jc w:val="center"/>
        </w:trPr>
        <w:tc>
          <w:tcPr>
            <w:tcW w:w="5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b/>
                <w:bCs/>
                <w:sz w:val="21"/>
                <w:szCs w:val="21"/>
                <w:lang w:val="en-US" w:eastAsia="zh-CN" w:bidi="ar"/>
              </w:rPr>
            </w:pPr>
            <w:r>
              <w:rPr>
                <w:rStyle w:val="14"/>
                <w:rFonts w:hint="eastAsia" w:ascii="宋体" w:hAnsi="宋体" w:eastAsia="宋体" w:cs="宋体"/>
                <w:b/>
                <w:bCs/>
                <w:sz w:val="21"/>
                <w:szCs w:val="21"/>
                <w:lang w:val="en-US" w:eastAsia="zh-CN" w:bidi="ar"/>
              </w:rPr>
              <w:t>满意度指标</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社会公众或服务对象满意度指标</w:t>
            </w:r>
          </w:p>
        </w:tc>
        <w:tc>
          <w:tcPr>
            <w:tcW w:w="12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公众社会满意度</w:t>
            </w:r>
          </w:p>
        </w:tc>
        <w:tc>
          <w:tcPr>
            <w:tcW w:w="81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≥90%</w:t>
            </w:r>
          </w:p>
        </w:tc>
        <w:tc>
          <w:tcPr>
            <w:tcW w:w="121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4"/>
                <w:rFonts w:hint="eastAsia" w:ascii="宋体" w:hAnsi="宋体" w:eastAsia="宋体" w:cs="宋体"/>
                <w:sz w:val="21"/>
                <w:szCs w:val="21"/>
                <w:lang w:val="en-US" w:eastAsia="zh-CN" w:bidi="ar"/>
              </w:rPr>
            </w:pPr>
            <w:r>
              <w:rPr>
                <w:rStyle w:val="14"/>
                <w:rFonts w:hint="eastAsia" w:ascii="宋体" w:hAnsi="宋体" w:eastAsia="宋体" w:cs="宋体"/>
                <w:sz w:val="21"/>
                <w:szCs w:val="21"/>
                <w:lang w:val="en-US" w:eastAsia="zh-CN" w:bidi="ar"/>
              </w:rPr>
              <w:t>≥90%</w:t>
            </w:r>
          </w:p>
        </w:tc>
      </w:tr>
    </w:tbl>
    <w:p>
      <w:pPr>
        <w:keepNext w:val="0"/>
        <w:keepLines w:val="0"/>
        <w:pageBreakBefore w:val="0"/>
        <w:wordWrap/>
        <w:overflowPunct w:val="0"/>
        <w:topLinePunct w:val="0"/>
        <w:bidi w:val="0"/>
        <w:spacing w:line="540" w:lineRule="exact"/>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（三）项目资金构成</w:t>
      </w:r>
    </w:p>
    <w:p>
      <w:pPr>
        <w:keepNext w:val="0"/>
        <w:keepLines w:val="0"/>
        <w:pageBreakBefore w:val="0"/>
        <w:widowControl w:val="0"/>
        <w:suppressLineNumbers w:val="0"/>
        <w:kinsoku/>
        <w:wordWrap/>
        <w:topLinePunct w:val="0"/>
        <w:autoSpaceDE w:val="0"/>
        <w:autoSpaceDN w:val="0"/>
        <w:bidi w:val="0"/>
        <w:adjustRightInd/>
        <w:snapToGrid/>
        <w:spacing w:before="0" w:beforeAutospacing="0" w:afterAutospacing="0" w:line="540" w:lineRule="exact"/>
        <w:ind w:left="0" w:leftChars="0" w:right="0"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计划投入资金1265.00万元，其中工程费用 1043.33 万元，工程建设其他费用169.51万元，预备费用 52.16 万元。资金来源于上级中央资金及地方财政配套资金。主要用于改造</w:t>
      </w:r>
      <w:r>
        <w:rPr>
          <w:rFonts w:hint="eastAsia" w:ascii="仿宋" w:hAnsi="仿宋" w:eastAsia="仿宋" w:cs="仿宋"/>
          <w:kern w:val="0"/>
          <w:sz w:val="28"/>
          <w:szCs w:val="28"/>
          <w:lang w:val="en-US" w:eastAsia="zh-CN" w:bidi="ar"/>
        </w:rPr>
        <w:t>市工商局家属区，市物价局家属区，田江街道家属区和市国税局家属区共4个老旧小区、房屋29栋、居民612户，改造房屋总建筑面积10.82万㎡</w:t>
      </w:r>
      <w:r>
        <w:rPr>
          <w:rFonts w:hint="eastAsia" w:ascii="仿宋" w:hAnsi="仿宋" w:eastAsia="仿宋" w:cs="仿宋"/>
          <w:color w:val="000000"/>
          <w:kern w:val="0"/>
          <w:sz w:val="28"/>
          <w:szCs w:val="28"/>
          <w:lang w:val="en-US" w:eastAsia="zh-CN" w:bidi="ar"/>
        </w:rPr>
        <w:t>。</w:t>
      </w:r>
      <w:r>
        <w:rPr>
          <w:rFonts w:hint="eastAsia" w:ascii="仿宋" w:hAnsi="仿宋" w:eastAsia="仿宋" w:cs="仿宋"/>
          <w:kern w:val="0"/>
          <w:sz w:val="28"/>
          <w:szCs w:val="28"/>
          <w:lang w:eastAsia="zh-CN" w:bidi="ar"/>
        </w:rPr>
        <w:t>具体内容如下：</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1646"/>
        <w:gridCol w:w="1266"/>
        <w:gridCol w:w="1749"/>
        <w:gridCol w:w="1370"/>
        <w:gridCol w:w="1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序号</w:t>
            </w:r>
          </w:p>
        </w:tc>
        <w:tc>
          <w:tcPr>
            <w:tcW w:w="9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小区名称</w:t>
            </w:r>
          </w:p>
        </w:tc>
        <w:tc>
          <w:tcPr>
            <w:tcW w:w="671"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工程费用（万元）</w:t>
            </w:r>
          </w:p>
        </w:tc>
        <w:tc>
          <w:tcPr>
            <w:tcW w:w="104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工程建设其他费用（万元）</w:t>
            </w:r>
          </w:p>
        </w:tc>
        <w:tc>
          <w:tcPr>
            <w:tcW w:w="824"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预备费（万元）</w:t>
            </w:r>
          </w:p>
        </w:tc>
        <w:tc>
          <w:tcPr>
            <w:tcW w:w="858"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总投资（万元）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1</w:t>
            </w:r>
          </w:p>
        </w:tc>
        <w:tc>
          <w:tcPr>
            <w:tcW w:w="9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市工商局家属区</w:t>
            </w: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272.36 </w:t>
            </w:r>
          </w:p>
        </w:tc>
        <w:tc>
          <w:tcPr>
            <w:tcW w:w="10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43.70 </w:t>
            </w:r>
          </w:p>
        </w:tc>
        <w:tc>
          <w:tcPr>
            <w:tcW w:w="8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13.62 </w:t>
            </w:r>
          </w:p>
        </w:tc>
        <w:tc>
          <w:tcPr>
            <w:tcW w:w="8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329.68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2</w:t>
            </w:r>
          </w:p>
        </w:tc>
        <w:tc>
          <w:tcPr>
            <w:tcW w:w="9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市物价局家属区</w:t>
            </w: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226.40 </w:t>
            </w:r>
          </w:p>
        </w:tc>
        <w:tc>
          <w:tcPr>
            <w:tcW w:w="10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37.13 </w:t>
            </w:r>
          </w:p>
        </w:tc>
        <w:tc>
          <w:tcPr>
            <w:tcW w:w="8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11.32 </w:t>
            </w:r>
          </w:p>
        </w:tc>
        <w:tc>
          <w:tcPr>
            <w:tcW w:w="8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274.85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3</w:t>
            </w:r>
          </w:p>
        </w:tc>
        <w:tc>
          <w:tcPr>
            <w:tcW w:w="9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田江街道家属区</w:t>
            </w: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226.40 </w:t>
            </w:r>
          </w:p>
        </w:tc>
        <w:tc>
          <w:tcPr>
            <w:tcW w:w="10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37.13 </w:t>
            </w:r>
          </w:p>
        </w:tc>
        <w:tc>
          <w:tcPr>
            <w:tcW w:w="8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11.32 </w:t>
            </w:r>
          </w:p>
        </w:tc>
        <w:tc>
          <w:tcPr>
            <w:tcW w:w="8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274.85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4</w:t>
            </w:r>
          </w:p>
        </w:tc>
        <w:tc>
          <w:tcPr>
            <w:tcW w:w="9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jc w:val="center"/>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市国税局家属区</w:t>
            </w: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318.17 </w:t>
            </w:r>
          </w:p>
        </w:tc>
        <w:tc>
          <w:tcPr>
            <w:tcW w:w="10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51.55 </w:t>
            </w:r>
          </w:p>
        </w:tc>
        <w:tc>
          <w:tcPr>
            <w:tcW w:w="8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15.90 </w:t>
            </w:r>
          </w:p>
        </w:tc>
        <w:tc>
          <w:tcPr>
            <w:tcW w:w="8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0" w:firstLineChars="200"/>
              <w:jc w:val="both"/>
              <w:textAlignment w:val="center"/>
              <w:rPr>
                <w:rFonts w:hint="eastAsia" w:ascii="宋体" w:hAnsi="宋体" w:eastAsia="宋体" w:cs="宋体"/>
                <w:i w:val="0"/>
                <w:iCs w:val="0"/>
                <w:color w:val="000000"/>
                <w:sz w:val="21"/>
                <w:szCs w:val="21"/>
              </w:rPr>
            </w:pPr>
            <w:r>
              <w:rPr>
                <w:rFonts w:hint="eastAsia" w:ascii="宋体" w:hAnsi="宋体" w:eastAsia="宋体" w:cs="宋体"/>
                <w:i w:val="0"/>
                <w:iCs w:val="0"/>
                <w:color w:val="000000"/>
                <w:kern w:val="0"/>
                <w:sz w:val="21"/>
                <w:szCs w:val="21"/>
                <w:lang w:val="en-US" w:eastAsia="zh-CN" w:bidi="ar"/>
              </w:rPr>
              <w:t xml:space="preserve">385.61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合计</w:t>
            </w:r>
          </w:p>
        </w:tc>
        <w:tc>
          <w:tcPr>
            <w:tcW w:w="98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wordWrap/>
              <w:topLinePunct w:val="0"/>
              <w:autoSpaceDE w:val="0"/>
              <w:autoSpaceDN w:val="0"/>
              <w:bidi w:val="0"/>
              <w:spacing w:before="0" w:beforeAutospacing="0" w:after="0" w:afterAutospacing="0" w:line="240" w:lineRule="auto"/>
              <w:ind w:left="0" w:leftChars="0" w:right="0" w:firstLine="422" w:firstLineChars="200"/>
              <w:jc w:val="center"/>
              <w:rPr>
                <w:rFonts w:hint="eastAsia" w:ascii="宋体" w:hAnsi="宋体" w:eastAsia="宋体" w:cs="宋体"/>
                <w:b/>
                <w:bCs/>
                <w:i w:val="0"/>
                <w:iCs w:val="0"/>
                <w:color w:val="000000"/>
                <w:sz w:val="21"/>
                <w:szCs w:val="21"/>
              </w:rPr>
            </w:pPr>
          </w:p>
        </w:tc>
        <w:tc>
          <w:tcPr>
            <w:tcW w:w="671"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right="0" w:firstLine="211" w:firstLineChars="1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 xml:space="preserve">1043.33 </w:t>
            </w:r>
          </w:p>
        </w:tc>
        <w:tc>
          <w:tcPr>
            <w:tcW w:w="1046"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 xml:space="preserve">169.51 </w:t>
            </w:r>
          </w:p>
        </w:tc>
        <w:tc>
          <w:tcPr>
            <w:tcW w:w="824"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 xml:space="preserve">52.16 </w:t>
            </w:r>
          </w:p>
        </w:tc>
        <w:tc>
          <w:tcPr>
            <w:tcW w:w="85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wordWrap/>
              <w:topLinePunct w:val="0"/>
              <w:autoSpaceDE w:val="0"/>
              <w:autoSpaceDN w:val="0"/>
              <w:bidi w:val="0"/>
              <w:spacing w:before="0" w:beforeAutospacing="0" w:after="0" w:afterAutospacing="0" w:line="240" w:lineRule="auto"/>
              <w:ind w:left="0" w:leftChars="0" w:right="0" w:firstLine="422" w:firstLineChars="200"/>
              <w:jc w:val="both"/>
              <w:textAlignment w:val="center"/>
              <w:rPr>
                <w:rFonts w:hint="eastAsia" w:ascii="宋体" w:hAnsi="宋体" w:eastAsia="宋体" w:cs="宋体"/>
                <w:b/>
                <w:bCs/>
                <w:i w:val="0"/>
                <w:iCs w:val="0"/>
                <w:color w:val="000000"/>
                <w:sz w:val="21"/>
                <w:szCs w:val="21"/>
              </w:rPr>
            </w:pPr>
            <w:r>
              <w:rPr>
                <w:rFonts w:hint="eastAsia" w:ascii="宋体" w:hAnsi="宋体" w:eastAsia="宋体" w:cs="宋体"/>
                <w:b/>
                <w:bCs/>
                <w:i w:val="0"/>
                <w:iCs w:val="0"/>
                <w:color w:val="000000"/>
                <w:kern w:val="0"/>
                <w:sz w:val="21"/>
                <w:szCs w:val="21"/>
                <w:lang w:val="en-US" w:eastAsia="zh-CN" w:bidi="ar"/>
              </w:rPr>
              <w:t xml:space="preserve">1265.00 </w:t>
            </w:r>
          </w:p>
        </w:tc>
      </w:tr>
    </w:tbl>
    <w:p>
      <w:pPr>
        <w:keepNext w:val="0"/>
        <w:keepLines w:val="0"/>
        <w:pageBreakBefore w:val="0"/>
        <w:wordWrap/>
        <w:overflowPunct w:val="0"/>
        <w:topLinePunct w:val="0"/>
        <w:bidi w:val="0"/>
        <w:spacing w:line="540" w:lineRule="exact"/>
        <w:ind w:left="0" w:leftChars="0" w:firstLine="562" w:firstLineChars="200"/>
        <w:rPr>
          <w:rFonts w:hint="eastAsia" w:ascii="仿宋" w:hAnsi="仿宋" w:eastAsia="仿宋" w:cs="仿宋"/>
          <w:b/>
          <w:bCs/>
          <w:sz w:val="28"/>
          <w:szCs w:val="28"/>
        </w:rPr>
      </w:pPr>
      <w:r>
        <w:rPr>
          <w:rFonts w:hint="eastAsia" w:ascii="仿宋" w:hAnsi="仿宋" w:eastAsia="仿宋" w:cs="仿宋"/>
          <w:b/>
          <w:bCs/>
          <w:sz w:val="28"/>
          <w:szCs w:val="28"/>
        </w:rPr>
        <w:t>（四）项目概况</w:t>
      </w:r>
    </w:p>
    <w:p>
      <w:pPr>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color w:val="000000"/>
          <w:kern w:val="0"/>
          <w:sz w:val="28"/>
          <w:szCs w:val="28"/>
          <w:lang w:eastAsia="zh-CN" w:bidi="ar"/>
        </w:rPr>
      </w:pPr>
      <w:r>
        <w:rPr>
          <w:rFonts w:hint="eastAsia" w:ascii="仿宋" w:hAnsi="仿宋" w:eastAsia="仿宋" w:cs="仿宋"/>
          <w:kern w:val="2"/>
          <w:sz w:val="28"/>
          <w:szCs w:val="28"/>
          <w:lang w:val="en-US" w:eastAsia="zh-CN" w:bidi="ar"/>
        </w:rPr>
        <w:t>北塔区2024年城镇老旧小区改造配套基础设施建设项目第四片区（市工商局家属区、市物价局家属区、田江街道家属区、市国税局家属区）现状建筑基本为集资房，</w:t>
      </w:r>
      <w:r>
        <w:rPr>
          <w:rFonts w:hint="eastAsia" w:ascii="仿宋" w:hAnsi="仿宋" w:eastAsia="仿宋" w:cs="仿宋"/>
          <w:kern w:val="2"/>
          <w:sz w:val="28"/>
          <w:szCs w:val="28"/>
          <w:lang w:eastAsia="zh-CN" w:bidi="ar"/>
        </w:rPr>
        <w:t>由于</w:t>
      </w:r>
      <w:r>
        <w:rPr>
          <w:rFonts w:hint="eastAsia" w:ascii="仿宋" w:hAnsi="仿宋" w:eastAsia="仿宋" w:cs="仿宋"/>
          <w:kern w:val="2"/>
          <w:sz w:val="28"/>
          <w:szCs w:val="28"/>
          <w:lang w:val="en-US" w:eastAsia="zh-CN" w:bidi="ar"/>
        </w:rPr>
        <w:t>使用年限久，建筑质量</w:t>
      </w:r>
      <w:r>
        <w:rPr>
          <w:rFonts w:hint="eastAsia" w:ascii="仿宋" w:hAnsi="仿宋" w:eastAsia="仿宋" w:cs="仿宋"/>
          <w:kern w:val="2"/>
          <w:sz w:val="28"/>
          <w:szCs w:val="28"/>
          <w:lang w:eastAsia="zh-CN" w:bidi="ar"/>
        </w:rPr>
        <w:t>和</w:t>
      </w:r>
      <w:r>
        <w:rPr>
          <w:rFonts w:hint="eastAsia" w:ascii="仿宋" w:hAnsi="仿宋" w:eastAsia="仿宋" w:cs="仿宋"/>
          <w:kern w:val="2"/>
          <w:sz w:val="28"/>
          <w:szCs w:val="28"/>
          <w:lang w:val="en-US" w:eastAsia="zh-CN" w:bidi="ar"/>
        </w:rPr>
        <w:t>环境</w:t>
      </w:r>
      <w:r>
        <w:rPr>
          <w:rFonts w:hint="eastAsia" w:ascii="仿宋" w:hAnsi="仿宋" w:eastAsia="仿宋" w:cs="仿宋"/>
          <w:kern w:val="2"/>
          <w:sz w:val="28"/>
          <w:szCs w:val="28"/>
          <w:lang w:eastAsia="zh-CN" w:bidi="ar"/>
        </w:rPr>
        <w:t>卫生均</w:t>
      </w:r>
      <w:r>
        <w:rPr>
          <w:rFonts w:hint="eastAsia" w:ascii="仿宋" w:hAnsi="仿宋" w:eastAsia="仿宋" w:cs="仿宋"/>
          <w:kern w:val="2"/>
          <w:sz w:val="28"/>
          <w:szCs w:val="28"/>
          <w:lang w:val="en-US" w:eastAsia="zh-CN" w:bidi="ar"/>
        </w:rPr>
        <w:t>亟需改造提升。</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属于基础设施建设工程，旨在改善城区居民居住条件，提高居民生活质量。项目建设期为2024年3月-2024年12月，建设工期共10个月。由邵阳市北塔区住房和城乡建设局负责建设和管理，通过“湖南省固定资产投资项目在线审批监管平台”，如实报送项目开工建设、建设进度、竣工投用等基本信息，邵阳市北塔区发展和改革局采取在线监测、现场核查等方式，加强对项目实施的事中事后监管。项目建设完毕后由各小区自行负责，确保项目资产性能、完好率满足相关正常使用要求。</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二、事前绩效评估的基本情况</w:t>
      </w:r>
    </w:p>
    <w:p>
      <w:pPr>
        <w:keepNext w:val="0"/>
        <w:keepLines w:val="0"/>
        <w:pageBreakBefore w:val="0"/>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（一）评估程序</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1、准备阶段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①确定评估对象。根据部门职能，按照中央和省委、省政府决策部署，依据年度预算编制管理的有关要求，县财政局绩效股拟定事前绩效评估项目，受托的第三方机构进一步确定评估对象、评估方式、评估依据和评估内容，制定具体工作计划。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②成立评估组织。成立</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评估组，确定评估工作人员，明确责任和任务。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③制定评估方案。</w:t>
      </w:r>
      <w:r>
        <w:rPr>
          <w:rFonts w:hint="eastAsia" w:ascii="仿宋" w:hAnsi="仿宋" w:eastAsia="仿宋" w:cs="仿宋"/>
          <w:sz w:val="28"/>
          <w:szCs w:val="28"/>
          <w:lang w:val="en-US" w:eastAsia="zh-CN"/>
        </w:rPr>
        <w:t>根据评估任务制定评估方案，明确评估目的、内容、时间安排和工作要求等具体事项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2、实施阶段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①资料收集与审核。全面收集与被评估政策和项目有关的数据和资料，并进行审核与分析。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②开展</w:t>
      </w:r>
      <w:r>
        <w:rPr>
          <w:rFonts w:hint="eastAsia" w:ascii="仿宋" w:hAnsi="仿宋" w:eastAsia="仿宋" w:cs="仿宋"/>
          <w:sz w:val="28"/>
          <w:szCs w:val="28"/>
          <w:lang w:val="en-US" w:eastAsia="zh-CN"/>
        </w:rPr>
        <w:t>非</w:t>
      </w:r>
      <w:r>
        <w:rPr>
          <w:rFonts w:hint="eastAsia" w:ascii="仿宋" w:hAnsi="仿宋" w:eastAsia="仿宋" w:cs="仿宋"/>
          <w:sz w:val="28"/>
          <w:szCs w:val="28"/>
        </w:rPr>
        <w:t>现场评估。评估组对有关资料进行分类、整理与分析，提出评估意见。</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③综合评估。评估组选择因素分析、公众评判等方法，对照评估方案中内容，对政策和项目立项必要性、投入经济性、绩效目标合理性、实施方案可行性、筹资合规性等情况进行综合评判。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3、报告阶段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按照规定的文本格式和要求撰写事前绩效评估报告，报告内容包括介绍评估对象的基本情况、评估采用的主要方法、评估的主要内容及结论、相关建议及有关问题的说明等。</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（二）评估思路</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rPr>
        <w:t>本次</w:t>
      </w:r>
      <w:r>
        <w:rPr>
          <w:rFonts w:hint="eastAsia" w:ascii="仿宋" w:hAnsi="仿宋" w:eastAsia="仿宋" w:cs="仿宋"/>
          <w:sz w:val="28"/>
          <w:szCs w:val="28"/>
          <w:lang w:val="en-US" w:eastAsia="zh-CN"/>
        </w:rPr>
        <w:t>事前绩效</w:t>
      </w:r>
      <w:r>
        <w:rPr>
          <w:rFonts w:hint="eastAsia" w:ascii="仿宋" w:hAnsi="仿宋" w:eastAsia="仿宋" w:cs="仿宋"/>
          <w:sz w:val="28"/>
          <w:szCs w:val="28"/>
        </w:rPr>
        <w:t>评估主要依据《中共中央国务院关于全面实施预算绩效管理的意见》（中发〔2018〕34号）</w:t>
      </w:r>
      <w:r>
        <w:rPr>
          <w:rFonts w:hint="eastAsia" w:ascii="仿宋" w:hAnsi="仿宋" w:eastAsia="仿宋" w:cs="仿宋"/>
          <w:sz w:val="28"/>
          <w:szCs w:val="28"/>
          <w:lang w:eastAsia="zh-CN"/>
        </w:rPr>
        <w:t>、</w:t>
      </w:r>
      <w:r>
        <w:rPr>
          <w:rFonts w:hint="eastAsia" w:ascii="仿宋" w:hAnsi="仿宋" w:eastAsia="仿宋" w:cs="仿宋"/>
          <w:sz w:val="28"/>
          <w:szCs w:val="28"/>
        </w:rPr>
        <w:t>《中共湖南省委办公厅湖南省人民政府办公厅关于全面实施预算绩效管理的实施意见》（湘办发〔2019〕10号）</w:t>
      </w:r>
      <w:r>
        <w:rPr>
          <w:rFonts w:hint="eastAsia" w:ascii="仿宋" w:hAnsi="仿宋" w:eastAsia="仿宋" w:cs="仿宋"/>
          <w:sz w:val="28"/>
          <w:szCs w:val="28"/>
          <w:lang w:val="en-US" w:eastAsia="zh-CN"/>
        </w:rPr>
        <w:t>和湖南</w:t>
      </w:r>
      <w:r>
        <w:rPr>
          <w:rFonts w:hint="eastAsia" w:ascii="仿宋" w:hAnsi="仿宋" w:eastAsia="仿宋" w:cs="仿宋"/>
          <w:sz w:val="28"/>
          <w:szCs w:val="28"/>
        </w:rPr>
        <w:t>省财政厅印发的《</w:t>
      </w:r>
      <w:r>
        <w:rPr>
          <w:rFonts w:hint="eastAsia" w:ascii="仿宋" w:hAnsi="仿宋" w:eastAsia="仿宋" w:cs="仿宋"/>
          <w:sz w:val="28"/>
          <w:szCs w:val="28"/>
          <w:lang w:val="en-US" w:eastAsia="zh-CN"/>
        </w:rPr>
        <w:t>湖南</w:t>
      </w:r>
      <w:r>
        <w:rPr>
          <w:rFonts w:hint="eastAsia" w:ascii="仿宋" w:hAnsi="仿宋" w:eastAsia="仿宋" w:cs="仿宋"/>
          <w:sz w:val="28"/>
          <w:szCs w:val="28"/>
        </w:rPr>
        <w:t>省省级</w:t>
      </w:r>
      <w:r>
        <w:rPr>
          <w:rFonts w:hint="eastAsia" w:ascii="仿宋" w:hAnsi="仿宋" w:eastAsia="仿宋" w:cs="仿宋"/>
          <w:sz w:val="28"/>
          <w:szCs w:val="28"/>
          <w:lang w:val="en-US" w:eastAsia="zh-CN"/>
        </w:rPr>
        <w:t>预算事前绩效评估管理暂行办法</w:t>
      </w:r>
      <w:r>
        <w:rPr>
          <w:rFonts w:hint="eastAsia" w:ascii="仿宋" w:hAnsi="仿宋" w:eastAsia="仿宋" w:cs="仿宋"/>
          <w:sz w:val="28"/>
          <w:szCs w:val="28"/>
        </w:rPr>
        <w:t>》</w:t>
      </w:r>
      <w:r>
        <w:rPr>
          <w:rFonts w:hint="eastAsia" w:ascii="仿宋" w:hAnsi="仿宋" w:eastAsia="仿宋" w:cs="仿宋"/>
          <w:sz w:val="28"/>
          <w:szCs w:val="28"/>
          <w:lang w:val="en-US" w:eastAsia="zh-CN"/>
        </w:rPr>
        <w:t>等相关规定</w:t>
      </w:r>
      <w:r>
        <w:rPr>
          <w:rFonts w:hint="eastAsia" w:ascii="仿宋" w:hAnsi="仿宋" w:eastAsia="仿宋" w:cs="仿宋"/>
          <w:sz w:val="28"/>
          <w:szCs w:val="28"/>
        </w:rPr>
        <w:t>执行，运</w:t>
      </w:r>
      <w:r>
        <w:rPr>
          <w:rFonts w:hint="eastAsia" w:ascii="仿宋" w:hAnsi="仿宋" w:eastAsia="仿宋" w:cs="仿宋"/>
          <w:sz w:val="28"/>
          <w:szCs w:val="28"/>
          <w:lang w:val="en-US" w:eastAsia="zh-CN"/>
        </w:rPr>
        <w:t>用</w:t>
      </w:r>
      <w:r>
        <w:rPr>
          <w:rFonts w:hint="eastAsia" w:ascii="仿宋" w:hAnsi="仿宋" w:eastAsia="仿宋" w:cs="仿宋"/>
          <w:sz w:val="28"/>
          <w:szCs w:val="28"/>
        </w:rPr>
        <w:t>科学、合理的评估方法，对政策或项目立项必要性、投入经济性、绩效目标合理性、实施方案可行性、筹资和规定等进行客观、公正的评估</w:t>
      </w:r>
      <w:r>
        <w:rPr>
          <w:rFonts w:hint="eastAsia" w:ascii="仿宋" w:hAnsi="仿宋" w:eastAsia="仿宋" w:cs="仿宋"/>
          <w:sz w:val="28"/>
          <w:szCs w:val="28"/>
          <w:lang w:eastAsia="zh-CN"/>
        </w:rPr>
        <w:t>。</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（三）评估方式、方法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城镇老旧小区改造项目是北塔区的重点民生工程项目，属于</w:t>
      </w:r>
      <w:r>
        <w:rPr>
          <w:rFonts w:hint="eastAsia" w:ascii="仿宋" w:hAnsi="仿宋" w:eastAsia="仿宋" w:cs="仿宋"/>
          <w:sz w:val="28"/>
          <w:szCs w:val="28"/>
        </w:rPr>
        <w:t>利益相关方涉及对象多、作用范围广的</w:t>
      </w:r>
      <w:r>
        <w:rPr>
          <w:rFonts w:hint="eastAsia" w:ascii="仿宋" w:hAnsi="仿宋" w:eastAsia="仿宋" w:cs="仿宋"/>
          <w:sz w:val="28"/>
          <w:szCs w:val="28"/>
          <w:lang w:val="en-US" w:eastAsia="zh-CN"/>
        </w:rPr>
        <w:t>重大</w:t>
      </w:r>
      <w:r>
        <w:rPr>
          <w:rFonts w:hint="eastAsia" w:ascii="仿宋" w:hAnsi="仿宋" w:eastAsia="仿宋" w:cs="仿宋"/>
          <w:sz w:val="28"/>
          <w:szCs w:val="28"/>
          <w:lang w:eastAsia="zh-CN"/>
        </w:rPr>
        <w:t>项目</w:t>
      </w:r>
      <w:r>
        <w:rPr>
          <w:rFonts w:hint="eastAsia" w:ascii="仿宋" w:hAnsi="仿宋" w:eastAsia="仿宋" w:cs="仿宋"/>
          <w:sz w:val="28"/>
          <w:szCs w:val="28"/>
          <w:lang w:val="en-US" w:eastAsia="zh-CN"/>
        </w:rPr>
        <w:t>事前绩效评估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因此</w:t>
      </w:r>
      <w:r>
        <w:rPr>
          <w:rFonts w:hint="eastAsia" w:ascii="仿宋" w:hAnsi="仿宋" w:eastAsia="仿宋" w:cs="仿宋"/>
          <w:sz w:val="28"/>
          <w:szCs w:val="28"/>
        </w:rPr>
        <w:t>采用问卷调查的方式，向评估项目利益相关方了解情况</w:t>
      </w:r>
      <w:r>
        <w:rPr>
          <w:rFonts w:hint="eastAsia" w:ascii="仿宋" w:hAnsi="仿宋" w:eastAsia="仿宋" w:cs="仿宋"/>
          <w:sz w:val="28"/>
          <w:szCs w:val="28"/>
          <w:lang w:val="en-US" w:eastAsia="zh-CN"/>
        </w:rPr>
        <w:t>以及</w:t>
      </w:r>
      <w:r>
        <w:rPr>
          <w:rFonts w:hint="eastAsia" w:ascii="仿宋" w:hAnsi="仿宋" w:eastAsia="仿宋" w:cs="仿宋"/>
          <w:sz w:val="28"/>
          <w:szCs w:val="28"/>
        </w:rPr>
        <w:t>征询意见。本次事前评估方法按照规范的程序，采用因素分析法、公众评判法、文献法等评估方法科学开展。</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三、评估内容与结论</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（一）立项必要性</w:t>
      </w:r>
    </w:p>
    <w:p>
      <w:pPr>
        <w:keepNext w:val="0"/>
        <w:keepLines w:val="0"/>
        <w:pageBreakBefore w:val="0"/>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rPr>
        <w:t>1.政策相关性、财政投入相关性</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城镇老旧小区改造是党中央、国务院高度重视的一项民生工程，北塔区2024年城镇老旧小区改造配套基础设施建设项目第四片区全面贯彻落实党的十九大精神，积极响应国家、省关于老旧小区改造相关建设政策的需要；是解决城市发展不平衡不充分问题，实现人民群众对美好生活向往的重要举措。通过城镇老旧小区改造能提升区域环境卫生水平，改善城市人居环境，提高人民生活质量，是一项推动城市更新、提升城市形象的系统工程。</w:t>
      </w: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建成后，将为区域内的居民营造良好的生活环境，属于公共财政支持范围。</w:t>
      </w:r>
    </w:p>
    <w:p>
      <w:pPr>
        <w:keepNext w:val="0"/>
        <w:keepLines w:val="0"/>
        <w:pageBreakBefore w:val="0"/>
        <w:widowControl/>
        <w:numPr>
          <w:ilvl w:val="0"/>
          <w:numId w:val="0"/>
        </w:numPr>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2.职能相关性</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邵阳市北塔区住房和城乡建设局主要负责全区住房制度政策规定、改革方案的拟定和实施，全区住房保障规划的制度和落实，经济适用房和廉租住房的建设和管理，职能相关；但本项目建设未见相关会议纪要。</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3.需求相关性</w:t>
      </w:r>
    </w:p>
    <w:p>
      <w:pPr>
        <w:pStyle w:val="8"/>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
        </w:rPr>
        <w:t>北塔区2024年城镇老旧小区改造配套基础设施建设项目第四片区（市工商局家属区、市物价局家属区、田江街道家属区、市国税局家属区）现状建筑基本为集资房，使用年限久，建筑质量、环境较差；区内主要道路存在路面破损，主要为线裂、网裂、龟裂、坑槽、泛油等病害问题。现状地坪局部地段破损严重；消防设施配套不足；排水设施存在破损、淤堵或无盖板现象；架空线缆较凌乱，小区公共区域和楼道内无照明灯具或照明亮度不够，存在安全隐患，急需改善。</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（二）绩效目标合理性</w:t>
      </w:r>
    </w:p>
    <w:p>
      <w:pPr>
        <w:pStyle w:val="8"/>
        <w:keepNext w:val="0"/>
        <w:keepLines w:val="0"/>
        <w:pageBreakBefore w:val="0"/>
        <w:widowControl w:val="0"/>
        <w:suppressLineNumbers w:val="0"/>
        <w:wordWrap/>
        <w:topLinePunct w:val="0"/>
        <w:autoSpaceDE w:val="0"/>
        <w:autoSpaceDN w:val="0"/>
        <w:bidi w:val="0"/>
        <w:spacing w:before="0" w:beforeAutospacing="0" w:afterAutospacing="0" w:line="540" w:lineRule="exact"/>
        <w:ind w:left="0" w:leftChars="0" w:right="0" w:rightChars="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eastAsia="zh-CN" w:bidi="ar"/>
        </w:rPr>
        <w:t>本</w:t>
      </w:r>
      <w:r>
        <w:rPr>
          <w:rFonts w:hint="eastAsia" w:ascii="仿宋" w:hAnsi="仿宋" w:eastAsia="仿宋" w:cs="仿宋"/>
          <w:kern w:val="0"/>
          <w:sz w:val="28"/>
          <w:szCs w:val="28"/>
          <w:lang w:val="en-US" w:eastAsia="zh-CN" w:bidi="ar"/>
        </w:rPr>
        <w:t>项目有明确的绩效目标，围绕</w:t>
      </w:r>
      <w:r>
        <w:rPr>
          <w:rFonts w:hint="eastAsia" w:ascii="仿宋" w:hAnsi="仿宋" w:eastAsia="仿宋" w:cs="仿宋"/>
          <w:kern w:val="0"/>
          <w:sz w:val="28"/>
          <w:szCs w:val="28"/>
          <w:lang w:eastAsia="zh-CN" w:bidi="ar"/>
        </w:rPr>
        <w:t>城镇老旧小区改造</w:t>
      </w:r>
      <w:r>
        <w:rPr>
          <w:rFonts w:hint="eastAsia" w:ascii="仿宋" w:hAnsi="仿宋" w:eastAsia="仿宋" w:cs="仿宋"/>
          <w:kern w:val="0"/>
          <w:sz w:val="28"/>
          <w:szCs w:val="28"/>
          <w:lang w:val="en-US" w:eastAsia="zh-CN" w:bidi="ar"/>
        </w:rPr>
        <w:t>目的设置具体的项目</w:t>
      </w:r>
      <w:r>
        <w:rPr>
          <w:rFonts w:hint="eastAsia" w:ascii="仿宋" w:hAnsi="仿宋" w:eastAsia="仿宋" w:cs="仿宋"/>
          <w:kern w:val="0"/>
          <w:sz w:val="28"/>
          <w:szCs w:val="28"/>
          <w:lang w:eastAsia="zh-CN" w:bidi="ar"/>
        </w:rPr>
        <w:t>绩效目标，</w:t>
      </w:r>
      <w:r>
        <w:rPr>
          <w:rFonts w:hint="eastAsia" w:ascii="仿宋" w:hAnsi="仿宋" w:eastAsia="仿宋" w:cs="仿宋"/>
          <w:kern w:val="0"/>
          <w:sz w:val="28"/>
          <w:szCs w:val="28"/>
          <w:lang w:val="en-US" w:eastAsia="zh-CN" w:bidi="ar"/>
        </w:rPr>
        <w:t>基本覆盖了预期的产出</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效益</w:t>
      </w:r>
      <w:r>
        <w:rPr>
          <w:rFonts w:hint="eastAsia" w:ascii="仿宋" w:hAnsi="仿宋" w:eastAsia="仿宋" w:cs="仿宋"/>
          <w:kern w:val="0"/>
          <w:sz w:val="28"/>
          <w:szCs w:val="28"/>
          <w:lang w:eastAsia="zh-CN" w:bidi="ar"/>
        </w:rPr>
        <w:t>以及满意度</w:t>
      </w:r>
      <w:r>
        <w:rPr>
          <w:rFonts w:hint="eastAsia" w:ascii="仿宋" w:hAnsi="仿宋" w:eastAsia="仿宋" w:cs="仿宋"/>
          <w:kern w:val="0"/>
          <w:sz w:val="28"/>
          <w:szCs w:val="28"/>
          <w:lang w:val="en-US" w:eastAsia="zh-CN" w:bidi="ar"/>
        </w:rPr>
        <w:t>情况。一共设置了</w:t>
      </w:r>
      <w:r>
        <w:rPr>
          <w:rFonts w:hint="eastAsia" w:ascii="仿宋" w:hAnsi="仿宋" w:eastAsia="仿宋" w:cs="仿宋"/>
          <w:kern w:val="0"/>
          <w:sz w:val="28"/>
          <w:szCs w:val="28"/>
          <w:lang w:eastAsia="zh-CN" w:bidi="ar"/>
        </w:rPr>
        <w:t>9</w:t>
      </w:r>
      <w:r>
        <w:rPr>
          <w:rFonts w:hint="eastAsia" w:ascii="仿宋" w:hAnsi="仿宋" w:eastAsia="仿宋" w:cs="仿宋"/>
          <w:kern w:val="0"/>
          <w:sz w:val="28"/>
          <w:szCs w:val="28"/>
          <w:lang w:val="en-US" w:eastAsia="zh-CN" w:bidi="ar"/>
        </w:rPr>
        <w:t>大类</w:t>
      </w:r>
      <w:r>
        <w:rPr>
          <w:rFonts w:hint="eastAsia" w:ascii="仿宋" w:hAnsi="仿宋" w:eastAsia="仿宋" w:cs="仿宋"/>
          <w:kern w:val="0"/>
          <w:sz w:val="28"/>
          <w:szCs w:val="28"/>
          <w:lang w:eastAsia="zh-CN" w:bidi="ar"/>
        </w:rPr>
        <w:t>11</w:t>
      </w:r>
      <w:r>
        <w:rPr>
          <w:rFonts w:hint="eastAsia" w:ascii="仿宋" w:hAnsi="仿宋" w:eastAsia="仿宋" w:cs="仿宋"/>
          <w:kern w:val="0"/>
          <w:sz w:val="28"/>
          <w:szCs w:val="28"/>
          <w:lang w:val="en-US" w:eastAsia="zh-CN" w:bidi="ar"/>
        </w:rPr>
        <w:t>个具体指标。</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本项目绩效指标的设置总体上科学合理，采用定量分析，对产出指标进行细化和量化，指标设置能够有效反映项目实施预期的产出和效益情况，项目绩效的可实现程度较高。</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（三）投入经济性</w:t>
      </w:r>
    </w:p>
    <w:p>
      <w:pPr>
        <w:keepNext w:val="0"/>
        <w:keepLines w:val="0"/>
        <w:pageBreakBefore w:val="0"/>
        <w:numPr>
          <w:ilvl w:val="0"/>
          <w:numId w:val="0"/>
        </w:numPr>
        <w:wordWrap/>
        <w:overflowPunct w:val="0"/>
        <w:topLinePunct w:val="0"/>
        <w:bidi w:val="0"/>
        <w:spacing w:line="540" w:lineRule="exact"/>
        <w:ind w:left="0" w:leftChars="0" w:firstLine="562" w:firstLineChars="200"/>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eastAsia="zh-CN" w:bidi="ar"/>
        </w:rPr>
        <w:t>1.</w:t>
      </w:r>
      <w:r>
        <w:rPr>
          <w:rFonts w:hint="eastAsia" w:ascii="仿宋" w:hAnsi="仿宋" w:eastAsia="仿宋" w:cs="仿宋"/>
          <w:b/>
          <w:bCs/>
          <w:color w:val="000000"/>
          <w:kern w:val="0"/>
          <w:sz w:val="28"/>
          <w:szCs w:val="28"/>
          <w:lang w:val="en-US" w:eastAsia="zh-CN" w:bidi="ar"/>
        </w:rPr>
        <w:t xml:space="preserve">概算编制科学性 </w:t>
      </w:r>
    </w:p>
    <w:p>
      <w:pPr>
        <w:keepNext w:val="0"/>
        <w:keepLines w:val="0"/>
        <w:pageBreakBefore w:val="0"/>
        <w:widowControl w:val="0"/>
        <w:numPr>
          <w:ilvl w:val="0"/>
          <w:numId w:val="0"/>
        </w:numPr>
        <w:suppressLineNumbers w:val="0"/>
        <w:wordWrap/>
        <w:overflowPunct w:val="0"/>
        <w:topLinePunct w:val="0"/>
        <w:autoSpaceDE w:val="0"/>
        <w:autoSpaceDN w:val="0"/>
        <w:bidi w:val="0"/>
        <w:spacing w:before="0" w:beforeAutospacing="0" w:afterAutospacing="0" w:line="540" w:lineRule="exact"/>
        <w:ind w:left="0" w:leftChars="0" w:right="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本项目建设</w:t>
      </w:r>
      <w:r>
        <w:rPr>
          <w:rFonts w:hint="eastAsia" w:ascii="仿宋" w:hAnsi="仿宋" w:eastAsia="仿宋" w:cs="仿宋"/>
          <w:color w:val="000000"/>
          <w:kern w:val="0"/>
          <w:sz w:val="28"/>
          <w:szCs w:val="28"/>
          <w:lang w:val="en-US" w:eastAsia="zh-CN" w:bidi="ar"/>
        </w:rPr>
        <w:t>以《建设项目投资估算编审规程</w:t>
      </w:r>
      <w:r>
        <w:rPr>
          <w:rFonts w:hint="eastAsia" w:ascii="仿宋" w:hAnsi="仿宋" w:eastAsia="仿宋" w:cs="仿宋"/>
          <w:color w:val="000000"/>
          <w:kern w:val="0"/>
          <w:sz w:val="28"/>
          <w:szCs w:val="28"/>
          <w:lang w:eastAsia="zh-CN" w:bidi="ar"/>
        </w:rPr>
        <w:t>》</w:t>
      </w:r>
      <w:r>
        <w:rPr>
          <w:rFonts w:hint="eastAsia" w:ascii="仿宋" w:hAnsi="仿宋" w:eastAsia="仿宋" w:cs="仿宋"/>
          <w:spacing w:val="-23"/>
          <w:kern w:val="0"/>
          <w:sz w:val="28"/>
          <w:szCs w:val="28"/>
          <w:lang w:val="en-US" w:eastAsia="zh-CN" w:bidi="ar"/>
        </w:rPr>
        <w:t>（CECA/GC1-2015）</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《湖南省建设工程计价办法》、《湖南省建设工程消耗量标准》</w:t>
      </w:r>
      <w:r>
        <w:rPr>
          <w:rFonts w:hint="eastAsia" w:ascii="仿宋" w:hAnsi="仿宋" w:eastAsia="仿宋" w:cs="仿宋"/>
          <w:kern w:val="0"/>
          <w:sz w:val="28"/>
          <w:szCs w:val="28"/>
          <w:lang w:val="en-US" w:eastAsia="zh-CN" w:bidi="ar"/>
        </w:rPr>
        <w:t>（湘建价（2020）56号）</w:t>
      </w:r>
      <w:r>
        <w:rPr>
          <w:rFonts w:hint="eastAsia" w:ascii="仿宋" w:hAnsi="仿宋" w:eastAsia="仿宋" w:cs="仿宋"/>
          <w:color w:val="000000"/>
          <w:kern w:val="0"/>
          <w:sz w:val="28"/>
          <w:szCs w:val="28"/>
          <w:lang w:eastAsia="zh-CN" w:bidi="ar"/>
        </w:rPr>
        <w:t>等文件出</w:t>
      </w:r>
      <w:r>
        <w:rPr>
          <w:rFonts w:hint="eastAsia" w:ascii="仿宋" w:hAnsi="仿宋" w:eastAsia="仿宋" w:cs="仿宋"/>
          <w:color w:val="000000"/>
          <w:kern w:val="0"/>
          <w:sz w:val="28"/>
          <w:szCs w:val="28"/>
          <w:lang w:val="en-US" w:eastAsia="zh-CN" w:bidi="ar"/>
        </w:rPr>
        <w:t>具</w:t>
      </w:r>
      <w:r>
        <w:rPr>
          <w:rFonts w:hint="eastAsia" w:ascii="仿宋" w:hAnsi="仿宋" w:eastAsia="仿宋" w:cs="仿宋"/>
          <w:color w:val="000000"/>
          <w:kern w:val="0"/>
          <w:sz w:val="28"/>
          <w:szCs w:val="28"/>
          <w:lang w:eastAsia="zh-CN" w:bidi="ar"/>
        </w:rPr>
        <w:t>了具体的</w:t>
      </w:r>
      <w:r>
        <w:rPr>
          <w:rFonts w:hint="eastAsia" w:ascii="仿宋" w:hAnsi="仿宋" w:eastAsia="仿宋" w:cs="仿宋"/>
          <w:color w:val="000000"/>
          <w:kern w:val="0"/>
          <w:sz w:val="28"/>
          <w:szCs w:val="28"/>
          <w:lang w:val="en-US" w:eastAsia="zh-CN" w:bidi="ar"/>
        </w:rPr>
        <w:t>工程量清单和项目预算明细表，</w:t>
      </w:r>
      <w:r>
        <w:rPr>
          <w:rFonts w:hint="eastAsia" w:ascii="仿宋" w:hAnsi="仿宋" w:eastAsia="仿宋" w:cs="仿宋"/>
          <w:color w:val="000000"/>
          <w:kern w:val="0"/>
          <w:sz w:val="28"/>
          <w:szCs w:val="28"/>
          <w:lang w:eastAsia="zh-CN" w:bidi="ar"/>
        </w:rPr>
        <w:t>具有相应的</w:t>
      </w:r>
      <w:r>
        <w:rPr>
          <w:rFonts w:hint="eastAsia" w:ascii="仿宋" w:hAnsi="仿宋" w:eastAsia="仿宋" w:cs="仿宋"/>
          <w:color w:val="000000"/>
          <w:kern w:val="0"/>
          <w:sz w:val="28"/>
          <w:szCs w:val="28"/>
          <w:lang w:val="en-US" w:eastAsia="zh-CN" w:bidi="ar"/>
        </w:rPr>
        <w:t>概算编制</w:t>
      </w:r>
      <w:r>
        <w:rPr>
          <w:rFonts w:hint="eastAsia" w:ascii="仿宋" w:hAnsi="仿宋" w:eastAsia="仿宋" w:cs="仿宋"/>
          <w:color w:val="000000"/>
          <w:kern w:val="0"/>
          <w:sz w:val="28"/>
          <w:szCs w:val="28"/>
          <w:lang w:eastAsia="zh-CN" w:bidi="ar"/>
        </w:rPr>
        <w:t>；项目改造资金</w:t>
      </w:r>
      <w:r>
        <w:rPr>
          <w:rFonts w:hint="eastAsia" w:ascii="仿宋" w:hAnsi="仿宋" w:eastAsia="仿宋" w:cs="仿宋"/>
          <w:color w:val="000000"/>
          <w:kern w:val="0"/>
          <w:sz w:val="28"/>
          <w:szCs w:val="28"/>
          <w:lang w:val="en-US" w:eastAsia="zh-CN" w:bidi="ar"/>
        </w:rPr>
        <w:t>测算依据充分</w:t>
      </w:r>
      <w:r>
        <w:rPr>
          <w:rFonts w:hint="eastAsia" w:ascii="仿宋" w:hAnsi="仿宋" w:eastAsia="仿宋" w:cs="仿宋"/>
          <w:color w:val="000000"/>
          <w:kern w:val="0"/>
          <w:sz w:val="28"/>
          <w:szCs w:val="28"/>
          <w:lang w:eastAsia="zh-CN" w:bidi="ar"/>
        </w:rPr>
        <w:t>，但项目投入资源及成本与预期产出及效果匹配程度一般</w:t>
      </w:r>
      <w:r>
        <w:rPr>
          <w:rFonts w:hint="eastAsia" w:ascii="仿宋" w:hAnsi="仿宋" w:eastAsia="仿宋" w:cs="仿宋"/>
          <w:color w:val="000000"/>
          <w:kern w:val="0"/>
          <w:sz w:val="28"/>
          <w:szCs w:val="28"/>
          <w:lang w:val="en-US" w:eastAsia="zh-CN" w:bidi="ar"/>
        </w:rPr>
        <w:t>。</w:t>
      </w:r>
    </w:p>
    <w:p>
      <w:pPr>
        <w:keepNext w:val="0"/>
        <w:keepLines w:val="0"/>
        <w:pageBreakBefore w:val="0"/>
        <w:widowControl/>
        <w:numPr>
          <w:ilvl w:val="0"/>
          <w:numId w:val="0"/>
        </w:numPr>
        <w:suppressLineNumbers w:val="0"/>
        <w:kinsoku w:val="0"/>
        <w:wordWrap/>
        <w:overflowPunct w:val="0"/>
        <w:topLinePunct w:val="0"/>
        <w:autoSpaceDE w:val="0"/>
        <w:autoSpaceDN w:val="0"/>
        <w:bidi w:val="0"/>
        <w:adjustRightInd w:val="0"/>
        <w:snapToGrid w:val="0"/>
        <w:spacing w:before="0" w:beforeAutospacing="0" w:afterAutospacing="0" w:line="540" w:lineRule="exact"/>
        <w:ind w:left="0" w:leftChars="0" w:right="0" w:rightChars="0" w:firstLine="562" w:firstLineChars="200"/>
        <w:jc w:val="left"/>
        <w:textAlignment w:val="baseline"/>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2.项目成本控制措施有效性</w:t>
      </w:r>
    </w:p>
    <w:p>
      <w:pPr>
        <w:keepNext w:val="0"/>
        <w:keepLines w:val="0"/>
        <w:pageBreakBefore w:val="0"/>
        <w:widowControl/>
        <w:suppressLineNumbers w:val="0"/>
        <w:wordWrap/>
        <w:topLinePunct w:val="0"/>
        <w:bidi w:val="0"/>
        <w:spacing w:line="540" w:lineRule="exact"/>
        <w:ind w:left="0" w:leftChars="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项目由</w:t>
      </w:r>
      <w:r>
        <w:rPr>
          <w:rFonts w:hint="eastAsia" w:ascii="仿宋" w:hAnsi="仿宋" w:eastAsia="仿宋" w:cs="仿宋"/>
          <w:color w:val="000000"/>
          <w:kern w:val="0"/>
          <w:sz w:val="28"/>
          <w:szCs w:val="28"/>
          <w:lang w:eastAsia="zh-CN" w:bidi="ar"/>
        </w:rPr>
        <w:t>北塔</w:t>
      </w:r>
      <w:r>
        <w:rPr>
          <w:rFonts w:hint="eastAsia" w:ascii="仿宋" w:hAnsi="仿宋" w:eastAsia="仿宋" w:cs="仿宋"/>
          <w:color w:val="000000"/>
          <w:kern w:val="0"/>
          <w:sz w:val="28"/>
          <w:szCs w:val="28"/>
          <w:lang w:val="en-US" w:eastAsia="zh-CN" w:bidi="ar"/>
        </w:rPr>
        <w:t>区</w:t>
      </w:r>
      <w:r>
        <w:rPr>
          <w:rFonts w:hint="eastAsia" w:ascii="仿宋" w:hAnsi="仿宋" w:eastAsia="仿宋" w:cs="仿宋"/>
          <w:color w:val="000000"/>
          <w:kern w:val="0"/>
          <w:sz w:val="28"/>
          <w:szCs w:val="28"/>
          <w:lang w:eastAsia="zh-CN" w:bidi="ar"/>
        </w:rPr>
        <w:t>财政局拨付资金，北塔区住房和城乡建设局</w:t>
      </w:r>
      <w:r>
        <w:rPr>
          <w:rFonts w:hint="eastAsia" w:ascii="仿宋" w:hAnsi="仿宋" w:eastAsia="仿宋" w:cs="仿宋"/>
          <w:color w:val="000000"/>
          <w:kern w:val="0"/>
          <w:sz w:val="28"/>
          <w:szCs w:val="28"/>
          <w:lang w:val="en-US" w:eastAsia="zh-CN" w:bidi="ar"/>
        </w:rPr>
        <w:t>分别在设计、造价、监理、 施工各环节组织招投标工作</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进行整体流程管理</w:t>
      </w:r>
      <w:r>
        <w:rPr>
          <w:rFonts w:hint="eastAsia" w:ascii="仿宋" w:hAnsi="仿宋" w:eastAsia="仿宋" w:cs="仿宋"/>
          <w:color w:val="000000"/>
          <w:kern w:val="0"/>
          <w:sz w:val="28"/>
          <w:szCs w:val="28"/>
          <w:lang w:eastAsia="zh-CN" w:bidi="ar"/>
        </w:rPr>
        <w:t>以及</w:t>
      </w:r>
      <w:r>
        <w:rPr>
          <w:rFonts w:hint="eastAsia" w:ascii="仿宋" w:hAnsi="仿宋" w:eastAsia="仿宋" w:cs="仿宋"/>
          <w:color w:val="000000"/>
          <w:kern w:val="0"/>
          <w:sz w:val="28"/>
          <w:szCs w:val="28"/>
          <w:lang w:val="en-US" w:eastAsia="zh-CN" w:bidi="ar"/>
        </w:rPr>
        <w:t>对项目</w:t>
      </w:r>
      <w:r>
        <w:rPr>
          <w:rFonts w:hint="eastAsia" w:ascii="仿宋" w:hAnsi="仿宋" w:eastAsia="仿宋" w:cs="仿宋"/>
          <w:color w:val="000000"/>
          <w:kern w:val="0"/>
          <w:sz w:val="28"/>
          <w:szCs w:val="28"/>
          <w:lang w:eastAsia="zh-CN" w:bidi="ar"/>
        </w:rPr>
        <w:t>建设</w:t>
      </w:r>
      <w:r>
        <w:rPr>
          <w:rFonts w:hint="eastAsia" w:ascii="仿宋" w:hAnsi="仿宋" w:eastAsia="仿宋" w:cs="仿宋"/>
          <w:color w:val="000000"/>
          <w:kern w:val="0"/>
          <w:sz w:val="28"/>
          <w:szCs w:val="28"/>
          <w:lang w:val="en-US" w:eastAsia="zh-CN" w:bidi="ar"/>
        </w:rPr>
        <w:t>进行监管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投入产出及效果较匹配，成本测算依据</w:t>
      </w:r>
      <w:r>
        <w:rPr>
          <w:rFonts w:hint="eastAsia" w:ascii="仿宋" w:hAnsi="仿宋" w:eastAsia="仿宋" w:cs="仿宋"/>
          <w:color w:val="000000"/>
          <w:kern w:val="0"/>
          <w:sz w:val="28"/>
          <w:szCs w:val="28"/>
          <w:lang w:eastAsia="zh-CN" w:bidi="ar"/>
        </w:rPr>
        <w:t>较为</w:t>
      </w:r>
      <w:r>
        <w:rPr>
          <w:rFonts w:hint="eastAsia" w:ascii="仿宋" w:hAnsi="仿宋" w:eastAsia="仿宋" w:cs="仿宋"/>
          <w:color w:val="000000"/>
          <w:kern w:val="0"/>
          <w:sz w:val="28"/>
          <w:szCs w:val="28"/>
          <w:lang w:val="en-US" w:eastAsia="zh-CN" w:bidi="ar"/>
        </w:rPr>
        <w:t>充分，</w:t>
      </w:r>
      <w:r>
        <w:rPr>
          <w:rFonts w:hint="eastAsia" w:ascii="仿宋" w:hAnsi="仿宋" w:eastAsia="仿宋" w:cs="仿宋"/>
          <w:color w:val="000000"/>
          <w:kern w:val="0"/>
          <w:sz w:val="28"/>
          <w:szCs w:val="28"/>
          <w:lang w:eastAsia="zh-CN" w:bidi="ar"/>
        </w:rPr>
        <w:t>但无相关的</w:t>
      </w:r>
      <w:r>
        <w:rPr>
          <w:rFonts w:hint="eastAsia" w:ascii="仿宋" w:hAnsi="仿宋" w:eastAsia="仿宋" w:cs="仿宋"/>
          <w:color w:val="000000"/>
          <w:kern w:val="0"/>
          <w:sz w:val="28"/>
          <w:szCs w:val="28"/>
          <w:lang w:val="en-US" w:eastAsia="zh-CN" w:bidi="ar"/>
        </w:rPr>
        <w:t>成本控制措施。</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（四）实施方案可行性</w:t>
      </w:r>
    </w:p>
    <w:p>
      <w:pPr>
        <w:keepNext w:val="0"/>
        <w:keepLines w:val="0"/>
        <w:pageBreakBefore w:val="0"/>
        <w:numPr>
          <w:ilvl w:val="0"/>
          <w:numId w:val="0"/>
        </w:numPr>
        <w:kinsoku/>
        <w:wordWrap/>
        <w:overflowPunct w:val="0"/>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1.实施内容明确性</w:t>
      </w:r>
    </w:p>
    <w:p>
      <w:pPr>
        <w:keepNext w:val="0"/>
        <w:keepLines w:val="0"/>
        <w:pageBreakBefore w:val="0"/>
        <w:widowControl w:val="0"/>
        <w:suppressLineNumbers w:val="0"/>
        <w:kinsoku/>
        <w:wordWrap/>
        <w:topLinePunct w:val="0"/>
        <w:autoSpaceDE w:val="0"/>
        <w:autoSpaceDN w:val="0"/>
        <w:bidi w:val="0"/>
        <w:adjustRightInd/>
        <w:snapToGrid/>
        <w:spacing w:before="0" w:beforeAutospacing="0" w:afterAutospacing="0" w:line="540" w:lineRule="exact"/>
        <w:ind w:left="0" w:leftChars="0" w:right="0" w:firstLine="560" w:firstLineChars="200"/>
        <w:jc w:val="left"/>
        <w:textAlignment w:val="auto"/>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本项目的实施内容主要为：</w:t>
      </w:r>
      <w:r>
        <w:rPr>
          <w:rFonts w:hint="eastAsia" w:ascii="仿宋" w:hAnsi="仿宋" w:eastAsia="仿宋" w:cs="仿宋"/>
          <w:color w:val="000000"/>
          <w:kern w:val="0"/>
          <w:sz w:val="28"/>
          <w:szCs w:val="28"/>
          <w:lang w:val="en-US" w:eastAsia="zh-CN" w:bidi="ar"/>
        </w:rPr>
        <w:t>用于改造</w:t>
      </w:r>
      <w:r>
        <w:rPr>
          <w:rFonts w:hint="eastAsia" w:ascii="仿宋" w:hAnsi="仿宋" w:eastAsia="仿宋" w:cs="仿宋"/>
          <w:kern w:val="0"/>
          <w:sz w:val="28"/>
          <w:szCs w:val="28"/>
          <w:lang w:val="en-US" w:eastAsia="zh-CN" w:bidi="ar"/>
        </w:rPr>
        <w:t>市工商局家属区，市物价局家属区，田江街道家属区和市国税局家属区共4个老旧小区、房屋29栋、居民612户，改造房屋总建筑面积10.82万㎡</w:t>
      </w:r>
      <w:r>
        <w:rPr>
          <w:rFonts w:hint="eastAsia" w:ascii="仿宋" w:hAnsi="仿宋" w:eastAsia="仿宋" w:cs="仿宋"/>
          <w:kern w:val="0"/>
          <w:sz w:val="28"/>
          <w:szCs w:val="28"/>
          <w:lang w:eastAsia="zh-CN" w:bidi="ar"/>
        </w:rPr>
        <w:t>。</w:t>
      </w:r>
      <w:r>
        <w:rPr>
          <w:rFonts w:hint="eastAsia" w:ascii="仿宋" w:hAnsi="仿宋" w:eastAsia="仿宋" w:cs="仿宋"/>
          <w:color w:val="000000"/>
          <w:kern w:val="0"/>
          <w:sz w:val="28"/>
          <w:szCs w:val="28"/>
          <w:lang w:val="en-US" w:eastAsia="zh-CN" w:bidi="ar"/>
        </w:rPr>
        <w:t>具体改造内容为</w:t>
      </w:r>
      <w:r>
        <w:rPr>
          <w:rFonts w:hint="eastAsia" w:ascii="仿宋" w:hAnsi="仿宋" w:eastAsia="仿宋" w:cs="仿宋"/>
          <w:kern w:val="0"/>
          <w:sz w:val="28"/>
          <w:szCs w:val="28"/>
          <w:lang w:val="en-US" w:eastAsia="zh-CN" w:bidi="ar"/>
        </w:rPr>
        <w:t>道路工程、养老托育、无障碍设施、排水</w:t>
      </w:r>
      <w:r>
        <w:rPr>
          <w:rFonts w:hint="eastAsia" w:ascii="仿宋" w:hAnsi="仿宋" w:eastAsia="仿宋" w:cs="仿宋"/>
          <w:b w:val="0"/>
          <w:bCs w:val="0"/>
          <w:kern w:val="0"/>
          <w:sz w:val="28"/>
          <w:szCs w:val="28"/>
          <w:lang w:val="en-US" w:eastAsia="zh-CN" w:bidi="ar"/>
        </w:rPr>
        <w:t>工程、照明设施及管线设施、屋顶修缮、其他附属设施和公共服务设施</w:t>
      </w:r>
      <w:r>
        <w:rPr>
          <w:rFonts w:hint="eastAsia" w:ascii="仿宋" w:hAnsi="仿宋" w:eastAsia="仿宋" w:cs="仿宋"/>
          <w:b w:val="0"/>
          <w:bCs w:val="0"/>
          <w:kern w:val="0"/>
          <w:sz w:val="28"/>
          <w:szCs w:val="28"/>
          <w:lang w:eastAsia="zh-CN" w:bidi="ar"/>
        </w:rPr>
        <w:t>。</w:t>
      </w:r>
      <w:r>
        <w:rPr>
          <w:rFonts w:hint="eastAsia" w:ascii="仿宋" w:hAnsi="仿宋" w:eastAsia="仿宋" w:cs="仿宋"/>
          <w:color w:val="000000"/>
          <w:kern w:val="0"/>
          <w:sz w:val="28"/>
          <w:szCs w:val="28"/>
          <w:lang w:eastAsia="zh-CN" w:bidi="ar"/>
        </w:rPr>
        <w:t>项目内容明确具体，与绩效目标匹配。</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highlight w:val="none"/>
          <w:lang w:eastAsia="zh-CN" w:bidi="ar"/>
        </w:rPr>
      </w:pPr>
      <w:r>
        <w:rPr>
          <w:rFonts w:hint="eastAsia" w:ascii="仿宋" w:hAnsi="仿宋" w:eastAsia="仿宋" w:cs="仿宋"/>
          <w:b/>
          <w:bCs/>
          <w:color w:val="000000"/>
          <w:kern w:val="0"/>
          <w:sz w:val="28"/>
          <w:szCs w:val="28"/>
          <w:highlight w:val="none"/>
          <w:lang w:eastAsia="zh-CN" w:bidi="ar"/>
        </w:rPr>
        <w:t>2.项目时效性</w:t>
      </w:r>
    </w:p>
    <w:p>
      <w:pPr>
        <w:keepNext w:val="0"/>
        <w:keepLines w:val="0"/>
        <w:pageBreakBefore w:val="0"/>
        <w:kinsoku/>
        <w:wordWrap/>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本项目</w:t>
      </w:r>
      <w:r>
        <w:rPr>
          <w:rFonts w:hint="eastAsia" w:ascii="仿宋" w:hAnsi="仿宋" w:eastAsia="仿宋" w:cs="仿宋"/>
          <w:color w:val="000000"/>
          <w:kern w:val="0"/>
          <w:sz w:val="28"/>
          <w:szCs w:val="28"/>
          <w:lang w:val="en-US" w:eastAsia="zh-CN" w:bidi="ar"/>
        </w:rPr>
        <w:t>实施方案设计合理可行，项目建设地点为北塔区内。北塔区交通便利；所需材料货源丰富；区域通讯条件较好；项目所需人员、水、电、气等基础保障条件均具备。针对识别出的可能存在的风险制定了风险管控方案和风险应急预案。</w:t>
      </w:r>
      <w:r>
        <w:rPr>
          <w:rFonts w:hint="eastAsia" w:ascii="仿宋" w:hAnsi="仿宋" w:eastAsia="仿宋" w:cs="仿宋"/>
          <w:color w:val="000000"/>
          <w:kern w:val="0"/>
          <w:sz w:val="28"/>
          <w:szCs w:val="28"/>
          <w:lang w:eastAsia="zh-CN" w:bidi="ar"/>
        </w:rPr>
        <w:t>但</w:t>
      </w:r>
      <w:r>
        <w:rPr>
          <w:rFonts w:hint="eastAsia" w:ascii="仿宋" w:hAnsi="仿宋" w:eastAsia="仿宋" w:cs="仿宋"/>
          <w:color w:val="000000"/>
          <w:kern w:val="0"/>
          <w:sz w:val="28"/>
          <w:szCs w:val="28"/>
          <w:lang w:val="en-US" w:eastAsia="zh-CN" w:bidi="ar"/>
        </w:rPr>
        <w:t>项目</w:t>
      </w:r>
      <w:r>
        <w:rPr>
          <w:rFonts w:hint="eastAsia" w:ascii="仿宋" w:hAnsi="仿宋" w:eastAsia="仿宋" w:cs="仿宋"/>
          <w:color w:val="000000"/>
          <w:kern w:val="0"/>
          <w:sz w:val="28"/>
          <w:szCs w:val="28"/>
          <w:lang w:eastAsia="zh-CN" w:bidi="ar"/>
        </w:rPr>
        <w:t>未</w:t>
      </w:r>
      <w:r>
        <w:rPr>
          <w:rFonts w:hint="eastAsia" w:ascii="仿宋" w:hAnsi="仿宋" w:eastAsia="仿宋" w:cs="仿宋"/>
          <w:color w:val="000000"/>
          <w:kern w:val="0"/>
          <w:sz w:val="28"/>
          <w:szCs w:val="28"/>
          <w:lang w:val="en-US" w:eastAsia="zh-CN" w:bidi="ar"/>
        </w:rPr>
        <w:t>建立有效的过程控制措施，项目设立、清理和退出无明确的时限和步骤。</w:t>
      </w:r>
    </w:p>
    <w:p>
      <w:pPr>
        <w:keepNext w:val="0"/>
        <w:keepLines w:val="0"/>
        <w:pageBreakBefore w:val="0"/>
        <w:numPr>
          <w:ilvl w:val="0"/>
          <w:numId w:val="0"/>
        </w:numPr>
        <w:kinsoku/>
        <w:wordWrap/>
        <w:topLinePunct w:val="0"/>
        <w:autoSpaceDE/>
        <w:autoSpaceDN/>
        <w:bidi w:val="0"/>
        <w:adjustRightInd/>
        <w:snapToGrid/>
        <w:spacing w:line="540" w:lineRule="exact"/>
        <w:ind w:left="0" w:leftChars="0" w:firstLine="562" w:firstLineChars="200"/>
        <w:textAlignment w:val="auto"/>
        <w:rPr>
          <w:rFonts w:hint="eastAsia" w:ascii="仿宋" w:hAnsi="仿宋" w:eastAsia="仿宋" w:cs="仿宋"/>
          <w:b/>
          <w:bCs/>
          <w:color w:val="000000"/>
          <w:kern w:val="0"/>
          <w:sz w:val="28"/>
          <w:szCs w:val="28"/>
          <w:lang w:eastAsia="zh-CN" w:bidi="ar"/>
        </w:rPr>
      </w:pPr>
      <w:r>
        <w:rPr>
          <w:rFonts w:hint="eastAsia" w:ascii="仿宋" w:hAnsi="仿宋" w:eastAsia="仿宋" w:cs="仿宋"/>
          <w:b/>
          <w:bCs/>
          <w:color w:val="000000"/>
          <w:kern w:val="0"/>
          <w:sz w:val="28"/>
          <w:szCs w:val="28"/>
          <w:lang w:eastAsia="zh-CN" w:bidi="ar"/>
        </w:rPr>
        <w:t>3.实施方案可行性、过程控制有效性</w:t>
      </w:r>
    </w:p>
    <w:p>
      <w:pPr>
        <w:keepNext w:val="0"/>
        <w:keepLines w:val="0"/>
        <w:pageBreakBefore w:val="0"/>
        <w:widowControl/>
        <w:suppressLineNumbers w:val="0"/>
        <w:wordWrap/>
        <w:topLinePunct w:val="0"/>
        <w:bidi w:val="0"/>
        <w:spacing w:line="540" w:lineRule="exact"/>
        <w:ind w:left="0" w:leftChars="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eastAsia="zh-CN" w:bidi="ar"/>
        </w:rPr>
        <w:t>北塔区2024年城镇老旧小区改造配套基础设施建设项目第四片区(</w:t>
      </w:r>
      <w:r>
        <w:rPr>
          <w:rFonts w:hint="eastAsia" w:ascii="仿宋" w:hAnsi="仿宋" w:eastAsia="仿宋" w:cs="仿宋"/>
          <w:kern w:val="2"/>
          <w:sz w:val="28"/>
          <w:szCs w:val="28"/>
          <w:lang w:val="en-US" w:eastAsia="zh-CN" w:bidi="ar"/>
        </w:rPr>
        <w:t>市工商局家属区、市物价局家属区、田江街道家属区、市国税局家属区</w:t>
      </w:r>
      <w:r>
        <w:rPr>
          <w:rFonts w:hint="eastAsia" w:ascii="仿宋" w:hAnsi="仿宋" w:eastAsia="仿宋" w:cs="仿宋"/>
          <w:color w:val="000000"/>
          <w:kern w:val="0"/>
          <w:sz w:val="28"/>
          <w:szCs w:val="28"/>
          <w:lang w:val="en-US" w:eastAsia="zh-CN" w:bidi="ar"/>
        </w:rPr>
        <w:t>)可行性研究报告</w:t>
      </w:r>
      <w:r>
        <w:rPr>
          <w:rFonts w:hint="eastAsia" w:ascii="仿宋" w:hAnsi="仿宋" w:eastAsia="仿宋" w:cs="仿宋"/>
          <w:color w:val="000000"/>
          <w:kern w:val="0"/>
          <w:sz w:val="28"/>
          <w:szCs w:val="28"/>
          <w:lang w:eastAsia="zh-CN" w:bidi="ar"/>
        </w:rPr>
        <w:t>以及总体的项目实施方案</w:t>
      </w:r>
      <w:r>
        <w:rPr>
          <w:rFonts w:hint="eastAsia" w:ascii="仿宋" w:hAnsi="仿宋" w:eastAsia="仿宋" w:cs="仿宋"/>
          <w:color w:val="000000"/>
          <w:kern w:val="0"/>
          <w:sz w:val="28"/>
          <w:szCs w:val="28"/>
          <w:lang w:val="en-US" w:eastAsia="zh-CN" w:bidi="ar"/>
        </w:rPr>
        <w:t>列出了项目实施包括报批及配套管理、设计管理及协调、招标管理等内容，制定</w:t>
      </w:r>
      <w:r>
        <w:rPr>
          <w:rFonts w:hint="eastAsia" w:ascii="仿宋" w:hAnsi="仿宋" w:eastAsia="仿宋" w:cs="仿宋"/>
          <w:color w:val="000000"/>
          <w:kern w:val="0"/>
          <w:sz w:val="28"/>
          <w:szCs w:val="28"/>
          <w:lang w:eastAsia="zh-CN" w:bidi="ar"/>
        </w:rPr>
        <w:t>了</w:t>
      </w:r>
      <w:r>
        <w:rPr>
          <w:rFonts w:hint="eastAsia" w:ascii="仿宋" w:hAnsi="仿宋" w:eastAsia="仿宋" w:cs="仿宋"/>
          <w:color w:val="000000"/>
          <w:kern w:val="0"/>
          <w:sz w:val="28"/>
          <w:szCs w:val="28"/>
          <w:lang w:val="en-US" w:eastAsia="zh-CN" w:bidi="ar"/>
        </w:rPr>
        <w:t>项目技术方案，</w:t>
      </w:r>
      <w:r>
        <w:rPr>
          <w:rFonts w:hint="eastAsia" w:ascii="仿宋" w:hAnsi="仿宋" w:eastAsia="仿宋" w:cs="仿宋"/>
          <w:color w:val="000000"/>
          <w:kern w:val="0"/>
          <w:sz w:val="28"/>
          <w:szCs w:val="28"/>
          <w:lang w:eastAsia="zh-CN" w:bidi="ar"/>
        </w:rPr>
        <w:t>为保证项目顺利实施，制定了相关的业务管理制度、项目管理制度等，</w:t>
      </w:r>
      <w:r>
        <w:rPr>
          <w:rFonts w:hint="eastAsia" w:ascii="仿宋" w:hAnsi="仿宋" w:eastAsia="仿宋" w:cs="仿宋"/>
          <w:color w:val="000000"/>
          <w:kern w:val="0"/>
          <w:sz w:val="28"/>
          <w:szCs w:val="28"/>
          <w:lang w:val="en-US" w:eastAsia="zh-CN" w:bidi="ar"/>
        </w:rPr>
        <w:t>明确</w:t>
      </w:r>
      <w:r>
        <w:rPr>
          <w:rFonts w:hint="eastAsia" w:ascii="仿宋" w:hAnsi="仿宋" w:eastAsia="仿宋" w:cs="仿宋"/>
          <w:color w:val="000000"/>
          <w:kern w:val="0"/>
          <w:sz w:val="28"/>
          <w:szCs w:val="28"/>
          <w:lang w:eastAsia="zh-CN" w:bidi="ar"/>
        </w:rPr>
        <w:t>了项目</w:t>
      </w:r>
      <w:r>
        <w:rPr>
          <w:rFonts w:hint="eastAsia" w:ascii="仿宋" w:hAnsi="仿宋" w:eastAsia="仿宋" w:cs="仿宋"/>
          <w:color w:val="000000"/>
          <w:kern w:val="0"/>
          <w:sz w:val="28"/>
          <w:szCs w:val="28"/>
          <w:lang w:val="en-US" w:eastAsia="zh-CN" w:bidi="ar"/>
        </w:rPr>
        <w:t>保障措施</w:t>
      </w:r>
      <w:r>
        <w:rPr>
          <w:rFonts w:hint="eastAsia" w:ascii="仿宋" w:hAnsi="仿宋" w:eastAsia="仿宋" w:cs="仿宋"/>
          <w:color w:val="000000"/>
          <w:kern w:val="0"/>
          <w:sz w:val="28"/>
          <w:szCs w:val="28"/>
          <w:lang w:eastAsia="zh-CN" w:bidi="ar"/>
        </w:rPr>
        <w:t>和管控措施，出具了</w:t>
      </w:r>
      <w:r>
        <w:rPr>
          <w:rFonts w:hint="eastAsia" w:ascii="仿宋" w:hAnsi="仿宋" w:eastAsia="仿宋" w:cs="仿宋"/>
          <w:color w:val="000000"/>
          <w:kern w:val="0"/>
          <w:sz w:val="28"/>
          <w:szCs w:val="28"/>
          <w:lang w:val="en-US" w:eastAsia="zh-CN" w:bidi="ar"/>
        </w:rPr>
        <w:t>各项工作环节的时间节点和具体工作内容</w:t>
      </w:r>
      <w:r>
        <w:rPr>
          <w:rFonts w:hint="eastAsia" w:ascii="仿宋" w:hAnsi="仿宋" w:eastAsia="仿宋" w:cs="仿宋"/>
          <w:color w:val="000000"/>
          <w:kern w:val="0"/>
          <w:sz w:val="28"/>
          <w:szCs w:val="28"/>
          <w:lang w:eastAsia="zh-CN" w:bidi="ar"/>
        </w:rPr>
        <w:t>安排</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但具体的工作安排时间缺乏合理性</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（五）筹资合规性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val="0"/>
        <w:autoSpaceDN w:val="0"/>
        <w:bidi w:val="0"/>
        <w:spacing w:before="0" w:beforeAutospacing="0" w:afterAutospacing="0" w:line="540" w:lineRule="exact"/>
        <w:ind w:left="0" w:leftChars="0" w:right="0"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kern w:val="0"/>
          <w:sz w:val="28"/>
          <w:szCs w:val="28"/>
          <w:lang w:val="en-US" w:eastAsia="zh-CN" w:bidi="ar"/>
        </w:rPr>
        <w:t>本项目拟作为项目建设单位2024年重点工作内容之一进行预算编制，申请纳入区本级2024年基本财力保障范围。区财政全力统筹全区资源及资金，优先保障民生资金需求。积极拓宽筹资渠道，以政府补助资金作为引导，不断吸引社会运营企业、居民、原产权单位等资金投入。增加财政服务保障能力，提升财政政策效能，有力支持全区经济与社会事业的健康发展</w:t>
      </w:r>
      <w:r>
        <w:rPr>
          <w:rFonts w:hint="eastAsia" w:ascii="仿宋" w:hAnsi="仿宋" w:eastAsia="仿宋" w:cs="仿宋"/>
          <w:kern w:val="0"/>
          <w:sz w:val="28"/>
          <w:szCs w:val="28"/>
          <w:lang w:eastAsia="zh-CN" w:bidi="ar"/>
        </w:rPr>
        <w:t>，</w:t>
      </w:r>
      <w:r>
        <w:rPr>
          <w:rFonts w:hint="eastAsia" w:ascii="仿宋" w:hAnsi="仿宋" w:eastAsia="仿宋" w:cs="仿宋"/>
          <w:color w:val="000000"/>
          <w:kern w:val="0"/>
          <w:sz w:val="28"/>
          <w:szCs w:val="28"/>
          <w:lang w:eastAsia="zh-CN" w:bidi="ar"/>
        </w:rPr>
        <w:t>建设资金在财政承受能力范围之内，</w:t>
      </w:r>
      <w:r>
        <w:rPr>
          <w:rFonts w:hint="eastAsia" w:ascii="仿宋" w:hAnsi="仿宋" w:eastAsia="仿宋" w:cs="仿宋"/>
          <w:color w:val="000000"/>
          <w:kern w:val="0"/>
          <w:sz w:val="28"/>
          <w:szCs w:val="28"/>
          <w:lang w:val="en-US" w:eastAsia="zh-CN" w:bidi="ar"/>
        </w:rPr>
        <w:t>总体风险合理。</w:t>
      </w:r>
    </w:p>
    <w:p>
      <w:pPr>
        <w:keepNext w:val="0"/>
        <w:keepLines w:val="0"/>
        <w:pageBreakBefore w:val="0"/>
        <w:widowControl/>
        <w:suppressLineNumbers w:val="0"/>
        <w:kinsoku/>
        <w:wordWrap/>
        <w:topLinePunct w:val="0"/>
        <w:autoSpaceDE/>
        <w:autoSpaceDN/>
        <w:bidi w:val="0"/>
        <w:adjustRightInd/>
        <w:snapToGrid/>
        <w:spacing w:line="540" w:lineRule="exact"/>
        <w:ind w:left="0" w:leftChars="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（六）总体结论</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绩效评估小组依据项目事前绩效评估指标体系，从立项必要性、投入经济性、绩效目标合理性、实施方案有效性以及筹资合规性五个维度，通过数据采集、非现场评估和问卷调查等方式，对北塔区2024年城镇老旧小区改造配套基础设施建设项目第四片区进行了综合评估，项目最终评分结果为87分，评价等级为“良好”。项目扣分情况分析具体如下：</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pacing w:val="0"/>
          <w:kern w:val="2"/>
          <w:sz w:val="28"/>
          <w:szCs w:val="28"/>
        </w:rPr>
      </w:pPr>
      <w:r>
        <w:rPr>
          <w:rFonts w:hint="eastAsia" w:ascii="仿宋" w:hAnsi="仿宋" w:eastAsia="仿宋" w:cs="仿宋"/>
          <w:spacing w:val="0"/>
          <w:kern w:val="2"/>
          <w:sz w:val="28"/>
          <w:szCs w:val="28"/>
          <w:lang w:val="en-US" w:eastAsia="zh-CN" w:bidi="ar"/>
        </w:rPr>
        <w:t>一是立项必要性方面: 决策指标总分值为20.00分，实得18.00分，扣2.00分，主要扣分原因为：</w:t>
      </w:r>
      <w:r>
        <w:rPr>
          <w:rFonts w:hint="eastAsia" w:ascii="仿宋" w:hAnsi="仿宋" w:eastAsia="仿宋" w:cs="仿宋"/>
          <w:color w:val="000000"/>
          <w:kern w:val="0"/>
          <w:sz w:val="28"/>
          <w:szCs w:val="28"/>
          <w:lang w:eastAsia="zh-CN" w:bidi="ar"/>
        </w:rPr>
        <w:t>本项目建设未见相关会议纪要</w:t>
      </w:r>
      <w:r>
        <w:rPr>
          <w:rFonts w:hint="eastAsia" w:ascii="仿宋" w:hAnsi="仿宋" w:eastAsia="仿宋" w:cs="仿宋"/>
          <w:spacing w:val="0"/>
          <w:kern w:val="2"/>
          <w:sz w:val="28"/>
          <w:szCs w:val="28"/>
          <w:lang w:val="en-US" w:eastAsia="zh-CN" w:bidi="ar"/>
        </w:rPr>
        <w:t>。</w:t>
      </w:r>
    </w:p>
    <w:p>
      <w:pPr>
        <w:pStyle w:val="4"/>
        <w:keepNext w:val="0"/>
        <w:keepLines w:val="0"/>
        <w:pageBreakBefore w:val="0"/>
        <w:widowControl w:val="0"/>
        <w:suppressLineNumbers w:val="0"/>
        <w:wordWrap/>
        <w:topLinePunct w:val="0"/>
        <w:autoSpaceDE w:val="0"/>
        <w:autoSpaceDN/>
        <w:bidi w:val="0"/>
        <w:spacing w:after="0"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二是投入经济性方面: 过程指标总分值为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12.0</w:t>
      </w:r>
      <w:r>
        <w:rPr>
          <w:rFonts w:hint="eastAsia" w:ascii="仿宋" w:hAnsi="仿宋" w:eastAsia="仿宋" w:cs="仿宋"/>
          <w:spacing w:val="0"/>
          <w:kern w:val="2"/>
          <w:sz w:val="28"/>
          <w:szCs w:val="28"/>
        </w:rPr>
        <w:t>0分，扣</w:t>
      </w:r>
      <w:r>
        <w:rPr>
          <w:rFonts w:hint="eastAsia" w:ascii="仿宋" w:hAnsi="仿宋" w:eastAsia="仿宋" w:cs="仿宋"/>
          <w:spacing w:val="0"/>
          <w:kern w:val="2"/>
          <w:sz w:val="28"/>
          <w:szCs w:val="28"/>
          <w:lang w:val="en-US" w:eastAsia="zh-CN"/>
        </w:rPr>
        <w:t>8.00</w:t>
      </w:r>
      <w:r>
        <w:rPr>
          <w:rFonts w:hint="eastAsia" w:ascii="仿宋" w:hAnsi="仿宋" w:eastAsia="仿宋" w:cs="仿宋"/>
          <w:spacing w:val="0"/>
          <w:kern w:val="2"/>
          <w:sz w:val="28"/>
          <w:szCs w:val="28"/>
        </w:rPr>
        <w:t>分，主要扣分原因为：项目投入资源及成本与预期产出及效果匹配程度</w:t>
      </w:r>
      <w:r>
        <w:rPr>
          <w:rFonts w:hint="eastAsia" w:ascii="仿宋" w:hAnsi="仿宋" w:eastAsia="仿宋" w:cs="仿宋"/>
          <w:spacing w:val="0"/>
          <w:kern w:val="2"/>
          <w:sz w:val="28"/>
          <w:szCs w:val="28"/>
          <w:lang w:val="en-US" w:eastAsia="zh-CN"/>
        </w:rPr>
        <w:t>不高且项目建设无相关成本控制措施</w:t>
      </w:r>
      <w:r>
        <w:rPr>
          <w:rFonts w:hint="eastAsia" w:ascii="仿宋" w:hAnsi="仿宋" w:eastAsia="仿宋" w:cs="仿宋"/>
          <w:spacing w:val="0"/>
          <w:kern w:val="2"/>
          <w:sz w:val="28"/>
          <w:szCs w:val="28"/>
        </w:rPr>
        <w:t>。</w:t>
      </w:r>
    </w:p>
    <w:p>
      <w:pPr>
        <w:pStyle w:val="4"/>
        <w:keepNext w:val="0"/>
        <w:keepLines w:val="0"/>
        <w:pageBreakBefore w:val="0"/>
        <w:widowControl w:val="0"/>
        <w:suppressLineNumbers w:val="0"/>
        <w:wordWrap/>
        <w:topLinePunct w:val="0"/>
        <w:autoSpaceDE w:val="0"/>
        <w:autoSpaceDN/>
        <w:bidi w:val="0"/>
        <w:spacing w:after="0" w:line="540" w:lineRule="exact"/>
        <w:ind w:left="0" w:leftChars="0" w:firstLine="560" w:firstLineChars="200"/>
        <w:rPr>
          <w:rFonts w:hint="eastAsia" w:ascii="仿宋" w:hAnsi="仿宋" w:eastAsia="仿宋" w:cs="仿宋"/>
          <w:spacing w:val="0"/>
          <w:kern w:val="2"/>
          <w:sz w:val="28"/>
          <w:szCs w:val="28"/>
        </w:rPr>
      </w:pPr>
      <w:r>
        <w:rPr>
          <w:rFonts w:hint="eastAsia" w:ascii="仿宋" w:hAnsi="仿宋" w:eastAsia="仿宋" w:cs="仿宋"/>
          <w:spacing w:val="0"/>
          <w:kern w:val="2"/>
          <w:sz w:val="28"/>
          <w:szCs w:val="28"/>
        </w:rPr>
        <w:t>三是绩效目标合理性方面: 项目产出总分值为</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.00分，实得</w:t>
      </w:r>
      <w:r>
        <w:rPr>
          <w:rFonts w:hint="eastAsia" w:ascii="仿宋" w:hAnsi="仿宋" w:eastAsia="仿宋" w:cs="仿宋"/>
          <w:spacing w:val="0"/>
          <w:kern w:val="2"/>
          <w:sz w:val="28"/>
          <w:szCs w:val="28"/>
          <w:lang w:val="en-US" w:eastAsia="zh-CN"/>
        </w:rPr>
        <w:t>20</w:t>
      </w:r>
      <w:r>
        <w:rPr>
          <w:rFonts w:hint="eastAsia" w:ascii="仿宋" w:hAnsi="仿宋" w:eastAsia="仿宋" w:cs="仿宋"/>
          <w:spacing w:val="0"/>
          <w:kern w:val="2"/>
          <w:sz w:val="28"/>
          <w:szCs w:val="28"/>
        </w:rPr>
        <w:t>.00分，扣</w:t>
      </w:r>
      <w:r>
        <w:rPr>
          <w:rFonts w:hint="eastAsia" w:ascii="仿宋" w:hAnsi="仿宋" w:eastAsia="仿宋" w:cs="仿宋"/>
          <w:spacing w:val="0"/>
          <w:kern w:val="2"/>
          <w:sz w:val="28"/>
          <w:szCs w:val="28"/>
          <w:lang w:val="en-US" w:eastAsia="zh-CN"/>
        </w:rPr>
        <w:t>0</w:t>
      </w:r>
      <w:r>
        <w:rPr>
          <w:rFonts w:hint="eastAsia" w:ascii="仿宋" w:hAnsi="仿宋" w:eastAsia="仿宋" w:cs="仿宋"/>
          <w:spacing w:val="0"/>
          <w:kern w:val="2"/>
          <w:sz w:val="28"/>
          <w:szCs w:val="28"/>
        </w:rPr>
        <w:t>.00分。</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kern w:val="2"/>
          <w:sz w:val="28"/>
          <w:szCs w:val="28"/>
        </w:rPr>
      </w:pPr>
      <w:r>
        <w:rPr>
          <w:rFonts w:hint="eastAsia" w:ascii="仿宋" w:hAnsi="仿宋" w:eastAsia="仿宋" w:cs="仿宋"/>
          <w:spacing w:val="0"/>
          <w:kern w:val="2"/>
          <w:sz w:val="28"/>
          <w:szCs w:val="28"/>
          <w:lang w:val="en-US" w:eastAsia="zh-CN" w:bidi="ar"/>
        </w:rPr>
        <w:t>四是实施方案有效性方面 :项目效益总分值为20.00分，实得17.00分，扣3.00分，主要扣分原因为：该项目未建立项目调整机制且项目进度安排不够合理。</w:t>
      </w:r>
    </w:p>
    <w:p>
      <w:pPr>
        <w:keepNext w:val="0"/>
        <w:keepLines w:val="0"/>
        <w:pageBreakBefore w:val="0"/>
        <w:widowControl w:val="0"/>
        <w:suppressLineNumbers w:val="0"/>
        <w:wordWrap/>
        <w:topLinePunct w:val="0"/>
        <w:autoSpaceDE w:val="0"/>
        <w:autoSpaceDN/>
        <w:bidi w:val="0"/>
        <w:spacing w:before="0" w:beforeAutospacing="0" w:afterAutospacing="0" w:line="540" w:lineRule="exact"/>
        <w:ind w:left="0" w:leftChars="0" w:right="0" w:firstLine="560" w:firstLineChars="200"/>
        <w:jc w:val="both"/>
        <w:rPr>
          <w:rFonts w:hint="eastAsia" w:ascii="仿宋" w:hAnsi="仿宋" w:eastAsia="仿宋" w:cs="仿宋"/>
          <w:sz w:val="28"/>
          <w:szCs w:val="28"/>
        </w:rPr>
      </w:pPr>
      <w:r>
        <w:rPr>
          <w:rFonts w:hint="eastAsia" w:ascii="仿宋" w:hAnsi="仿宋" w:eastAsia="仿宋" w:cs="仿宋"/>
          <w:spacing w:val="0"/>
          <w:kern w:val="2"/>
          <w:sz w:val="28"/>
          <w:szCs w:val="28"/>
          <w:lang w:val="en-US" w:eastAsia="zh-CN" w:bidi="ar"/>
        </w:rPr>
        <w:t>五是筹资合规性方面 :项目效益总分值为20.00分，实得20.00分，扣0.00分。</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四、评估的相关建议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wordWrap/>
        <w:topLinePunct w:val="0"/>
        <w:bidi w:val="0"/>
        <w:spacing w:before="0" w:beforeAutospacing="0" w:afterAutospacing="0" w:line="540" w:lineRule="exact"/>
        <w:ind w:left="0" w:leftChars="0" w:right="0" w:rightChars="0" w:firstLine="562" w:firstLineChars="200"/>
        <w:jc w:val="left"/>
        <w:rPr>
          <w:rFonts w:hint="eastAsia" w:ascii="仿宋" w:hAnsi="仿宋" w:eastAsia="仿宋" w:cs="仿宋"/>
          <w:b/>
          <w:bCs/>
          <w:sz w:val="28"/>
          <w:szCs w:val="28"/>
        </w:rPr>
      </w:pPr>
      <w:bookmarkStart w:id="0" w:name="_Hlk53502312"/>
      <w:r>
        <w:rPr>
          <w:rFonts w:hint="eastAsia" w:ascii="仿宋" w:hAnsi="仿宋" w:eastAsia="仿宋" w:cs="仿宋"/>
          <w:b/>
          <w:bCs/>
          <w:sz w:val="28"/>
          <w:szCs w:val="28"/>
        </w:rPr>
        <w:t>1、补充完善成本控制措施</w:t>
      </w:r>
    </w:p>
    <w:p>
      <w:pPr>
        <w:keepNext w:val="0"/>
        <w:keepLines w:val="0"/>
        <w:pageBreakBefore w:val="0"/>
        <w:wordWrap/>
        <w:overflowPunct w:val="0"/>
        <w:topLinePunct w:val="0"/>
        <w:bidi w:val="0"/>
        <w:spacing w:line="540" w:lineRule="exact"/>
        <w:ind w:left="0" w:leftChars="0" w:firstLine="560" w:firstLineChars="200"/>
        <w:rPr>
          <w:rFonts w:hint="eastAsia" w:ascii="仿宋" w:hAnsi="仿宋" w:eastAsia="仿宋" w:cs="仿宋"/>
          <w:spacing w:val="0"/>
          <w:kern w:val="2"/>
          <w:sz w:val="28"/>
          <w:szCs w:val="28"/>
          <w:lang w:eastAsia="zh-CN" w:bidi="ar"/>
        </w:rPr>
      </w:pPr>
      <w:r>
        <w:rPr>
          <w:rFonts w:hint="eastAsia" w:ascii="仿宋" w:hAnsi="仿宋" w:eastAsia="仿宋" w:cs="仿宋"/>
          <w:spacing w:val="0"/>
          <w:kern w:val="2"/>
          <w:sz w:val="28"/>
          <w:szCs w:val="28"/>
          <w:lang w:val="en-US" w:eastAsia="zh-CN" w:bidi="ar"/>
        </w:rPr>
        <w:t>建议项目单位依据</w:t>
      </w:r>
      <w:r>
        <w:rPr>
          <w:rFonts w:hint="eastAsia" w:ascii="仿宋" w:hAnsi="仿宋" w:eastAsia="仿宋" w:cs="仿宋"/>
          <w:spacing w:val="0"/>
          <w:kern w:val="2"/>
          <w:sz w:val="28"/>
          <w:szCs w:val="28"/>
          <w:lang w:eastAsia="zh-CN" w:bidi="ar"/>
        </w:rPr>
        <w:t>项目</w:t>
      </w:r>
      <w:r>
        <w:rPr>
          <w:rFonts w:hint="eastAsia" w:ascii="仿宋" w:hAnsi="仿宋" w:eastAsia="仿宋" w:cs="仿宋"/>
          <w:spacing w:val="0"/>
          <w:kern w:val="2"/>
          <w:sz w:val="28"/>
          <w:szCs w:val="28"/>
          <w:lang w:val="en-US" w:eastAsia="zh-CN" w:bidi="ar"/>
        </w:rPr>
        <w:t>实际需求情况，完善工程方案设计，加快完善工程设计说明、施工图纸及工程量表，开展进一步的市场工作询价后，细化成本测算，明确取费标准，科学、合理地编制项目投资估算表，提高财政资金使用效益</w:t>
      </w:r>
      <w:r>
        <w:rPr>
          <w:rFonts w:hint="eastAsia" w:ascii="仿宋" w:hAnsi="仿宋" w:eastAsia="仿宋" w:cs="仿宋"/>
          <w:spacing w:val="0"/>
          <w:kern w:val="2"/>
          <w:sz w:val="28"/>
          <w:szCs w:val="28"/>
          <w:lang w:eastAsia="zh-CN" w:bidi="ar"/>
        </w:rPr>
        <w:t>；并且</w:t>
      </w:r>
      <w:r>
        <w:rPr>
          <w:rFonts w:hint="eastAsia" w:ascii="仿宋" w:hAnsi="仿宋" w:eastAsia="仿宋" w:cs="仿宋"/>
          <w:spacing w:val="0"/>
          <w:kern w:val="2"/>
          <w:sz w:val="28"/>
          <w:szCs w:val="28"/>
          <w:lang w:val="en-US" w:eastAsia="zh-CN" w:bidi="ar"/>
        </w:rPr>
        <w:t>要优化采购管理，</w:t>
      </w:r>
      <w:r>
        <w:rPr>
          <w:rFonts w:hint="eastAsia" w:ascii="仿宋" w:hAnsi="仿宋" w:eastAsia="仿宋" w:cs="仿宋"/>
          <w:spacing w:val="0"/>
          <w:kern w:val="2"/>
          <w:sz w:val="28"/>
          <w:szCs w:val="28"/>
          <w:lang w:eastAsia="zh-CN" w:bidi="ar"/>
        </w:rPr>
        <w:t>完善成本控制措施，</w:t>
      </w:r>
      <w:r>
        <w:rPr>
          <w:rFonts w:hint="eastAsia" w:ascii="仿宋" w:hAnsi="仿宋" w:eastAsia="仿宋" w:cs="仿宋"/>
          <w:spacing w:val="0"/>
          <w:kern w:val="2"/>
          <w:sz w:val="28"/>
          <w:szCs w:val="28"/>
          <w:lang w:val="en-US" w:eastAsia="zh-CN" w:bidi="ar"/>
        </w:rPr>
        <w:t>确保采购质量和成本控制</w:t>
      </w:r>
      <w:r>
        <w:rPr>
          <w:rFonts w:hint="eastAsia" w:ascii="仿宋" w:hAnsi="仿宋" w:eastAsia="仿宋" w:cs="仿宋"/>
          <w:spacing w:val="0"/>
          <w:kern w:val="2"/>
          <w:sz w:val="28"/>
          <w:szCs w:val="28"/>
          <w:lang w:eastAsia="zh-CN" w:bidi="ar"/>
        </w:rPr>
        <w:t>，使得项目投入资源与预期产出效果匹配程度更高。</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2、加强项目全过程管理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立项目调整机制在项目管理中起到至关重要的作用。在项目开展过程中，由于各种原因可能发生变化，建立一个有效的项目调整机制可以帮助项目单位及时应对变化，合理调整项目计划和资源分配，确保项目的顺利实施。通过对项目的各方面、各阶段的工作情况和工作效果了解项目整体情况，包括项目进展情况、成本控制情况、质量控制情况、风险管理情况等，能够及时发现项目存在的问题和隐患，进行调整和优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各具体实施项目的设立、清理和退出管理上，要有明确的时限和步骤，以确定有关子项目是否符合总创建工作全生命周期管理的要求。同时，完善项目的成本控制措施，以确保项目投入的经济性不会随着项目实施而失控。</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3、进一步细化完善实施方案，提高方案的深度和可操作</w:t>
      </w:r>
      <w:r>
        <w:rPr>
          <w:rFonts w:hint="eastAsia" w:ascii="仿宋" w:hAnsi="仿宋" w:eastAsia="仿宋" w:cs="仿宋"/>
          <w:b/>
          <w:bCs/>
          <w:sz w:val="28"/>
          <w:szCs w:val="28"/>
          <w:lang w:eastAsia="zh-CN"/>
        </w:rPr>
        <w:t>性</w:t>
      </w:r>
    </w:p>
    <w:p>
      <w:pPr>
        <w:keepNext w:val="0"/>
        <w:keepLines w:val="0"/>
        <w:pageBreakBefore w:val="0"/>
        <w:numPr>
          <w:ilvl w:val="0"/>
          <w:numId w:val="0"/>
        </w:numPr>
        <w:wordWrap/>
        <w:overflowPunct w:val="0"/>
        <w:topLinePunct w:val="0"/>
        <w:bidi w:val="0"/>
        <w:spacing w:line="540" w:lineRule="exact"/>
        <w:ind w:left="0" w:leftChars="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建议项目单位在现有实施方案基础上，细化完善实施方案</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在实施方案的项目背景中明确项目设计审查、招投标、施工、验收、竣工结算备案等环节的时间节点和工作内容规划，制定先进、可行、完整的技术路线，以及针对各环节委托方的监管制度及过程管控的具体措施，体现项目实施的组织管理、技术条件等保障措施，保证</w:t>
      </w:r>
      <w:r>
        <w:rPr>
          <w:rFonts w:hint="eastAsia" w:ascii="仿宋" w:hAnsi="仿宋" w:eastAsia="仿宋" w:cs="仿宋"/>
          <w:color w:val="000000"/>
          <w:kern w:val="0"/>
          <w:sz w:val="28"/>
          <w:szCs w:val="28"/>
          <w:lang w:eastAsia="zh-CN" w:bidi="ar"/>
        </w:rPr>
        <w:t>项目顺利实施</w:t>
      </w:r>
      <w:r>
        <w:rPr>
          <w:rFonts w:hint="eastAsia" w:ascii="仿宋" w:hAnsi="仿宋" w:eastAsia="仿宋" w:cs="仿宋"/>
          <w:color w:val="000000"/>
          <w:kern w:val="0"/>
          <w:sz w:val="28"/>
          <w:szCs w:val="28"/>
          <w:lang w:val="en-US" w:eastAsia="zh-CN" w:bidi="ar"/>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五、其他需要说明的问题</w:t>
      </w:r>
    </w:p>
    <w:p>
      <w:pPr>
        <w:keepNext w:val="0"/>
        <w:keepLines w:val="0"/>
        <w:pageBreakBefore w:val="0"/>
        <w:wordWrap/>
        <w:overflowPunct w:val="0"/>
        <w:topLinePunct w:val="0"/>
        <w:bidi w:val="0"/>
        <w:spacing w:line="540" w:lineRule="exact"/>
        <w:ind w:left="0" w:leftChars="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本报告是评估机构根据对项目单位所提供及其他经委托方认可的材料进行全面分析与评估，在与委托方沟通的基础上综合形成的</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报告重点针对</w:t>
      </w:r>
      <w:r>
        <w:rPr>
          <w:rFonts w:hint="eastAsia" w:ascii="仿宋" w:hAnsi="仿宋" w:eastAsia="仿宋" w:cs="仿宋"/>
          <w:color w:val="000000"/>
          <w:kern w:val="0"/>
          <w:sz w:val="28"/>
          <w:szCs w:val="28"/>
          <w:lang w:eastAsia="zh-CN" w:bidi="ar"/>
        </w:rPr>
        <w:t>茶元头中学篮球场改造</w:t>
      </w:r>
      <w:r>
        <w:rPr>
          <w:rFonts w:hint="eastAsia" w:ascii="仿宋" w:hAnsi="仿宋" w:eastAsia="仿宋" w:cs="仿宋"/>
          <w:color w:val="000000"/>
          <w:kern w:val="0"/>
          <w:sz w:val="28"/>
          <w:szCs w:val="28"/>
          <w:lang w:val="en-US" w:eastAsia="zh-CN" w:bidi="ar"/>
        </w:rPr>
        <w:t>项目的预算申报进行评估，本报告的结论与意见是参考性的，仅供财政部门审核预算时参考使用，不做其他用途</w:t>
      </w:r>
      <w:r>
        <w:rPr>
          <w:rFonts w:hint="eastAsia" w:ascii="仿宋" w:hAnsi="仿宋" w:eastAsia="仿宋" w:cs="仿宋"/>
          <w:color w:val="000000"/>
          <w:kern w:val="0"/>
          <w:sz w:val="28"/>
          <w:szCs w:val="28"/>
          <w:lang w:eastAsia="zh-CN" w:bidi="ar"/>
        </w:rPr>
        <w:t>。</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仿宋" w:hAnsi="仿宋" w:eastAsia="仿宋" w:cs="仿宋"/>
          <w:b/>
          <w:bCs/>
          <w:sz w:val="28"/>
          <w:szCs w:val="28"/>
        </w:rPr>
        <w:t>六、</w:t>
      </w:r>
      <w:r>
        <w:rPr>
          <w:rFonts w:hint="eastAsia" w:ascii="宋体" w:hAnsi="宋体" w:eastAsia="宋体" w:cs="宋体"/>
          <w:b/>
          <w:bCs/>
          <w:sz w:val="28"/>
          <w:szCs w:val="28"/>
        </w:rPr>
        <w:t>附件材料</w:t>
      </w:r>
    </w:p>
    <w:p>
      <w:pPr>
        <w:keepNext w:val="0"/>
        <w:keepLines w:val="0"/>
        <w:pageBreakBefore w:val="0"/>
        <w:wordWrap/>
        <w:overflowPunct w:val="0"/>
        <w:topLinePunct w:val="0"/>
        <w:bidi w:val="0"/>
        <w:spacing w:line="540" w:lineRule="exact"/>
        <w:ind w:left="0" w:leftChars="0" w:firstLine="560" w:firstLineChars="200"/>
        <w:rPr>
          <w:rFonts w:hint="eastAsia" w:ascii="仿宋" w:hAnsi="仿宋" w:eastAsia="仿宋" w:cs="仿宋"/>
          <w:color w:val="000000"/>
          <w:kern w:val="0"/>
          <w:sz w:val="28"/>
          <w:szCs w:val="28"/>
          <w:lang w:eastAsia="zh-CN" w:bidi="ar"/>
        </w:rPr>
      </w:pPr>
      <w:r>
        <w:rPr>
          <w:rFonts w:hint="eastAsia" w:ascii="仿宋" w:hAnsi="仿宋" w:eastAsia="仿宋" w:cs="仿宋"/>
          <w:color w:val="000000"/>
          <w:kern w:val="0"/>
          <w:sz w:val="28"/>
          <w:szCs w:val="28"/>
          <w:lang w:eastAsia="zh-CN" w:bidi="ar"/>
        </w:rPr>
        <w:t>附件一：</w:t>
      </w:r>
      <w:r>
        <w:rPr>
          <w:rFonts w:hint="eastAsia" w:ascii="仿宋" w:hAnsi="仿宋" w:eastAsia="仿宋" w:cs="仿宋"/>
          <w:kern w:val="0"/>
          <w:sz w:val="28"/>
          <w:szCs w:val="28"/>
          <w:lang w:val="en-US" w:eastAsia="zh-CN" w:bidi="ar"/>
        </w:rPr>
        <w:t>北塔区2024年城镇老旧小区改造配套基础设施建设项目第</w:t>
      </w:r>
      <w:r>
        <w:rPr>
          <w:rFonts w:hint="eastAsia" w:ascii="仿宋" w:hAnsi="仿宋" w:eastAsia="仿宋" w:cs="仿宋"/>
          <w:kern w:val="0"/>
          <w:sz w:val="28"/>
          <w:szCs w:val="28"/>
          <w:lang w:eastAsia="zh-CN" w:bidi="ar"/>
        </w:rPr>
        <w:t>四</w:t>
      </w:r>
      <w:r>
        <w:rPr>
          <w:rFonts w:hint="eastAsia" w:ascii="仿宋" w:hAnsi="仿宋" w:eastAsia="仿宋" w:cs="仿宋"/>
          <w:kern w:val="0"/>
          <w:sz w:val="28"/>
          <w:szCs w:val="28"/>
          <w:lang w:val="en-US" w:eastAsia="zh-CN" w:bidi="ar"/>
        </w:rPr>
        <w:t>片区</w:t>
      </w:r>
      <w:r>
        <w:rPr>
          <w:rFonts w:hint="eastAsia" w:ascii="仿宋" w:hAnsi="仿宋" w:eastAsia="仿宋" w:cs="仿宋"/>
          <w:color w:val="000000"/>
          <w:kern w:val="0"/>
          <w:sz w:val="28"/>
          <w:szCs w:val="28"/>
          <w:lang w:eastAsia="zh-CN" w:bidi="ar"/>
        </w:rPr>
        <w:t>事前绩效评估指标表</w:t>
      </w:r>
    </w:p>
    <w:p>
      <w:pPr>
        <w:shd w:val="clear" w:color="auto" w:fill="auto"/>
        <w:spacing w:line="560" w:lineRule="exact"/>
        <w:jc w:val="right"/>
        <w:rPr>
          <w:rFonts w:hint="eastAsia" w:ascii="仿宋" w:hAnsi="仿宋" w:eastAsia="仿宋" w:cs="仿宋"/>
          <w:b/>
          <w:bCs/>
          <w:sz w:val="28"/>
          <w:szCs w:val="28"/>
          <w:lang w:eastAsia="zh-CN"/>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eastAsia"/>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w:t>
      </w:r>
      <w:r>
        <w:rPr>
          <w:rFonts w:hint="eastAsia" w:ascii="仿宋" w:hAnsi="仿宋" w:eastAsia="仿宋" w:cs="仿宋"/>
          <w:b/>
          <w:bCs/>
          <w:color w:val="000000"/>
          <w:sz w:val="28"/>
          <w:szCs w:val="28"/>
          <w:lang w:val="en-US" w:eastAsia="zh-CN"/>
        </w:rPr>
        <w:t>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widowControl/>
        <w:spacing w:line="520" w:lineRule="exact"/>
        <w:jc w:val="center"/>
        <w:rPr>
          <w:rFonts w:hint="eastAsia" w:ascii="黑体" w:hAnsi="黑体" w:eastAsia="黑体" w:cs="仿宋"/>
          <w:spacing w:val="-10"/>
          <w:sz w:val="30"/>
          <w:szCs w:val="32"/>
          <w:lang w:val="en-US" w:eastAsia="zh-CN"/>
        </w:rPr>
      </w:pPr>
      <w:bookmarkStart w:id="1" w:name="_GoBack"/>
      <w:bookmarkEnd w:id="1"/>
      <w:r>
        <w:rPr>
          <w:rFonts w:hint="eastAsia" w:ascii="黑体" w:hAnsi="黑体" w:eastAsia="黑体" w:cs="仿宋"/>
          <w:spacing w:val="-10"/>
          <w:sz w:val="30"/>
          <w:szCs w:val="32"/>
          <w:lang w:val="en-US" w:eastAsia="zh-CN"/>
        </w:rPr>
        <w:t>北塔区2024年城镇老旧小区改造配套基础设施建设项目第四片区事前绩效评估指标表</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2242"/>
        <w:gridCol w:w="873"/>
        <w:gridCol w:w="3801"/>
        <w:gridCol w:w="4402"/>
        <w:gridCol w:w="873"/>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一级指标</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二级</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分值</w:t>
            </w:r>
          </w:p>
        </w:tc>
        <w:tc>
          <w:tcPr>
            <w:tcW w:w="1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评估要点</w:t>
            </w:r>
          </w:p>
        </w:tc>
        <w:tc>
          <w:tcPr>
            <w:tcW w:w="1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评分依据</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扣分</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指标</w:t>
            </w: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1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立项必要性（20）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政策相关性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是否与国家、湖南省相关行业宏观政策相关。</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《关于全面推进城镇老旧小区改造工作的指导意见》（国办发〔2020〕23 号）；湖南省住建厅、发改委、财政厅印发《关于推进全省城镇老旧小区改造工作的通知》（湘建城〔2020〕50 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7"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职能相关性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是否与主管部门职能、规划及当年重点工作相关。</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邵阳市北塔区住房和城乡建设局主要负责全区住房制度政策规定、改革方案的拟定和实施，全区住房保障规划的制度和落实，经济适用房和廉租住房的建设和管理，职能相关，无相关会议纪要</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2</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1"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需求相关性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①是否具有现实需求，需求是否迫切；②是否有可替代性；③是否有确定的服务对象或受益对象。</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项目覆盖地点主要道路存在路面破损，主要为线裂、网裂、龟裂、坑槽、泛油等病害问题；项目的实施将为区域内的居民营造良好的生活环境</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财政投入相关性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是否具有公共性，是否属于公共财政支持范围。</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该项目是一项推动城市更新、提升城市形象的系统工程，具有公共性，属于公共财政支持范围</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投入经济性（20）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投入合理性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①项目投入资源及成本是否与预期产出及效果相匹配；②投入成本是否合理，成本测算依据是否充分；③其他渠道是否有充分投入。</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项目投入资源及成本与预期产出及效果匹配程度较高</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成本控制措施有效性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项目是否采取相关成本控制措施，成本控制措施是否有效。</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无相关成本控制措施</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绩效目标合理性（20）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目标明确性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①绩效目标设定是否明确；②与部门长期规划目标、年度工作目标是否一致；③项目受益群体定位是否准确；④绩效目标和指标设置是否与项目高度相关。</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绩效目标设定明确；与部门长期规划目标、年度工作目标一致；项目受益群体是否准确；绩效目标和指标设置与项目高度相关</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目标合理性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①绩效目标与项目预计解决的问题是否匹配；②绩效目标与现实需求是否匹配；③绩效目标是否具有一定的前瞻性和挑战性；④绩效指标是否细化、量化，指标值是否合理。</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绩效目标与项目预计解决的问题相匹配；绩效目标与现实需求相匹配；绩效目标具有一定的前瞻性和挑战性；绩效指标进行了细化、量化，指标值设置合理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实施方案有效性（20分）</w:t>
            </w:r>
          </w:p>
        </w:tc>
        <w:tc>
          <w:tcPr>
            <w:tcW w:w="7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实施内容明确性</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项目内容是否明确、具体，与绩效目标是否匹配。</w:t>
            </w:r>
          </w:p>
        </w:tc>
        <w:tc>
          <w:tcPr>
            <w:tcW w:w="155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项目内容明确、具体，与绩效目标相匹配</w:t>
            </w: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5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项目时效性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项目是否明确设立、退出时限；项目清理、退出、调整机制是否健全。</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未建立项目调整机制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实施方案可行性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①项目技术路线是否完整、先进、可行、合理，与项目内容及绩效目标是否匹配；②项目组织、进度安排是否合理；③与项目有关的基础设施条件是否能够得以有效保障。</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项目进度安排不够合理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过程控制有效性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关于《北塔区2024年城镇老旧小区改造配套基础设施建设项目第四片区 (市工商局家属区、市物价局家属区、田江街道家属区、市国税局家属区)可行性研究报告》的批复</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筹资合规性（20）</w:t>
            </w: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筹资合规性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①资金来源渠道是否符合相关规定；②资金筹措程序是否科学规范，是否经过相关论证，论证资料是否齐全；③资金筹措是否体现权责对等，财权和事权是否匹配。</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由上级中央资金及地方财政配套资金共同解决</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财政投入能力</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①各级财政资金配套方式和承受能力是否科学合理；②各级财政部门和其他部门是否有类似项目资金重复投入；③财政资金支持方式是否科学合理。</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该项目拟作为邵阳市北塔区住房和建设局2024年重点工作内容之一进行预算编制，申请纳入区本级2024年基本财力保障范围；项目建设资金在财政承受能力范围之内</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筹资风险可控性</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5</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①对筹资风险认识是否全面；②是否针对预期风险设定应对措施；③应对措施是否可行、有效。</w:t>
            </w: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对筹资风险认识较全面；针对预期风险设定了有效的应对措施</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7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lang w:val="en-US" w:eastAsia="zh-CN"/>
              </w:rPr>
              <w:t>100</w:t>
            </w:r>
          </w:p>
        </w:tc>
        <w:tc>
          <w:tcPr>
            <w:tcW w:w="1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1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val="0"/>
                <w:bCs w:val="0"/>
                <w:color w:val="000000"/>
                <w:kern w:val="0"/>
                <w:sz w:val="21"/>
                <w:szCs w:val="21"/>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13</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87</w:t>
            </w:r>
          </w:p>
        </w:tc>
      </w:tr>
    </w:tbl>
    <w:p>
      <w:pPr>
        <w:pStyle w:val="2"/>
        <w:rPr>
          <w:rFonts w:hint="eastAsia" w:ascii="宋体" w:hAnsi="宋体" w:eastAsia="宋体" w:cs="宋体"/>
          <w:b/>
          <w:bCs/>
          <w:color w:val="000000"/>
          <w:kern w:val="0"/>
          <w:sz w:val="21"/>
          <w:szCs w:val="21"/>
          <w:lang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24"/>
        <w:lang w:val="en-US" w:eastAsia="zh-CN" w:bidi="ar-SA"/>
      </w:rPr>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Times New Roman" w:hAnsi="Times New Roman" w:eastAsia="宋体" w:cs="Times New Roma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pPr>
                      <w:rPr>
                        <w:rFonts w:ascii="Times New Roman" w:hAnsi="Times New Roman" w:eastAsia="宋体"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50435A6B"/>
    <w:rsid w:val="09EE579E"/>
    <w:rsid w:val="0A8B2F51"/>
    <w:rsid w:val="0B136931"/>
    <w:rsid w:val="0D6B7290"/>
    <w:rsid w:val="0E981627"/>
    <w:rsid w:val="12A81BD9"/>
    <w:rsid w:val="23644A11"/>
    <w:rsid w:val="2AD0584D"/>
    <w:rsid w:val="2F5F6435"/>
    <w:rsid w:val="3BFBA16F"/>
    <w:rsid w:val="3BFFE87B"/>
    <w:rsid w:val="3DEF4FEE"/>
    <w:rsid w:val="3EF789F7"/>
    <w:rsid w:val="3F75AEC1"/>
    <w:rsid w:val="42EC6160"/>
    <w:rsid w:val="47BF6ED1"/>
    <w:rsid w:val="50435A6B"/>
    <w:rsid w:val="50FFD475"/>
    <w:rsid w:val="54130050"/>
    <w:rsid w:val="55171CCB"/>
    <w:rsid w:val="5CE7C66D"/>
    <w:rsid w:val="5D7D47EF"/>
    <w:rsid w:val="5EA2427D"/>
    <w:rsid w:val="5FF7B2BE"/>
    <w:rsid w:val="60CD10ED"/>
    <w:rsid w:val="62FC7518"/>
    <w:rsid w:val="6E779773"/>
    <w:rsid w:val="6E9FB41B"/>
    <w:rsid w:val="77F067AA"/>
    <w:rsid w:val="77FD0054"/>
    <w:rsid w:val="79FB31EC"/>
    <w:rsid w:val="7B7DAE17"/>
    <w:rsid w:val="7BBE531A"/>
    <w:rsid w:val="7BE424D4"/>
    <w:rsid w:val="7DBB9E62"/>
    <w:rsid w:val="7DFF3A43"/>
    <w:rsid w:val="7EC78A62"/>
    <w:rsid w:val="7FF34671"/>
    <w:rsid w:val="8FEF9102"/>
    <w:rsid w:val="9CDBB76C"/>
    <w:rsid w:val="A9FFBFAB"/>
    <w:rsid w:val="BA9F39D8"/>
    <w:rsid w:val="BFFE366C"/>
    <w:rsid w:val="BFFF22EA"/>
    <w:rsid w:val="CDEF85F8"/>
    <w:rsid w:val="CF67122C"/>
    <w:rsid w:val="D9AFEA93"/>
    <w:rsid w:val="DBFFEAED"/>
    <w:rsid w:val="E2D7793B"/>
    <w:rsid w:val="E4FFFCBD"/>
    <w:rsid w:val="EF5F433C"/>
    <w:rsid w:val="F969DE40"/>
    <w:rsid w:val="F9FE2D69"/>
    <w:rsid w:val="FAFED326"/>
    <w:rsid w:val="FBEF885D"/>
    <w:rsid w:val="FDE828A0"/>
    <w:rsid w:val="FDFEBF86"/>
    <w:rsid w:val="FEA345D8"/>
    <w:rsid w:val="FF5FF325"/>
    <w:rsid w:val="FF9B3255"/>
    <w:rsid w:val="FFA78C54"/>
    <w:rsid w:val="FFBB37ED"/>
    <w:rsid w:val="FFCDAF72"/>
    <w:rsid w:val="FFEB3331"/>
    <w:rsid w:val="FFFE96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12" w:lineRule="auto"/>
      <w:jc w:val="center"/>
      <w:outlineLvl w:val="1"/>
    </w:pPr>
    <w:rPr>
      <w:rFonts w:ascii="Cambria" w:hAnsi="Cambria" w:cs="宋体"/>
      <w:b/>
      <w:bCs/>
      <w:sz w:val="36"/>
      <w:szCs w:val="32"/>
    </w:rPr>
  </w:style>
  <w:style w:type="character" w:default="1" w:styleId="11">
    <w:name w:val="Default Paragraph Font"/>
    <w:autoRedefine/>
    <w:semiHidden/>
    <w:qFormat/>
    <w:uiPriority w:val="0"/>
  </w:style>
  <w:style w:type="table" w:default="1" w:styleId="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4">
    <w:name w:val="Normal Indent"/>
    <w:basedOn w:val="1"/>
    <w:autoRedefine/>
    <w:qFormat/>
    <w:uiPriority w:val="0"/>
    <w:pPr>
      <w:keepNext w:val="0"/>
      <w:keepLines w:val="0"/>
      <w:widowControl w:val="0"/>
      <w:suppressLineNumbers w:val="0"/>
      <w:adjustRightInd w:val="0"/>
      <w:spacing w:before="0" w:beforeAutospacing="0" w:after="0" w:afterAutospacing="0" w:line="312" w:lineRule="atLeast"/>
      <w:ind w:left="0" w:right="0" w:firstLine="420" w:firstLineChars="0"/>
      <w:jc w:val="both"/>
      <w:textAlignment w:val="baseline"/>
    </w:pPr>
    <w:rPr>
      <w:rFonts w:hint="default" w:ascii="Times New Roman" w:hAnsi="Times New Roman" w:eastAsia="宋体" w:cs="Times New Roman"/>
      <w:kern w:val="0"/>
      <w:sz w:val="21"/>
      <w:szCs w:val="21"/>
      <w:lang w:val="en-US" w:eastAsia="zh-CN" w:bidi="ar"/>
    </w:rPr>
  </w:style>
  <w:style w:type="paragraph" w:styleId="5">
    <w:name w:val="Body Text"/>
    <w:basedOn w:val="1"/>
    <w:autoRedefine/>
    <w:qFormat/>
    <w:uiPriority w:val="0"/>
    <w:pPr>
      <w:keepNext w:val="0"/>
      <w:keepLines w:val="0"/>
      <w:widowControl w:val="0"/>
      <w:suppressLineNumbers w:val="0"/>
      <w:autoSpaceDE w:val="0"/>
      <w:autoSpaceDN w:val="0"/>
      <w:spacing w:before="0" w:beforeAutospacing="0" w:after="0" w:afterAutospacing="0"/>
      <w:ind w:left="760" w:right="0"/>
      <w:jc w:val="left"/>
    </w:pPr>
    <w:rPr>
      <w:rFonts w:hint="eastAsia" w:ascii="宋体" w:hAnsi="宋体" w:eastAsia="宋体" w:cs="宋体"/>
      <w:kern w:val="0"/>
      <w:sz w:val="32"/>
      <w:szCs w:val="32"/>
      <w:lang w:val="en-US" w:eastAsia="zh-CN" w:bidi="ar"/>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table" w:styleId="10">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间隔1"/>
    <w:autoRedefine/>
    <w:qFormat/>
    <w:uiPriority w:val="0"/>
    <w:pPr>
      <w:widowControl w:val="0"/>
      <w:spacing w:beforeLines="50"/>
      <w:jc w:val="center"/>
    </w:pPr>
    <w:rPr>
      <w:rFonts w:ascii="Times New Roman" w:hAnsi="Times New Roman" w:eastAsia="仿宋_GB2312" w:cs="Times New Roman"/>
      <w:kern w:val="2"/>
      <w:sz w:val="24"/>
      <w:szCs w:val="22"/>
      <w:lang w:val="en-US" w:eastAsia="zh-CN" w:bidi="ar-SA"/>
    </w:rPr>
  </w:style>
  <w:style w:type="character" w:customStyle="1" w:styleId="13">
    <w:name w:val="font11"/>
    <w:basedOn w:val="11"/>
    <w:autoRedefine/>
    <w:qFormat/>
    <w:uiPriority w:val="0"/>
    <w:rPr>
      <w:rFonts w:hint="eastAsia" w:ascii="宋体" w:hAnsi="宋体" w:eastAsia="宋体" w:cs="宋体"/>
      <w:b/>
      <w:bCs/>
      <w:color w:val="000000"/>
      <w:sz w:val="20"/>
      <w:szCs w:val="20"/>
      <w:u w:val="none"/>
    </w:rPr>
  </w:style>
  <w:style w:type="character" w:customStyle="1" w:styleId="14">
    <w:name w:val="font21"/>
    <w:basedOn w:val="11"/>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2023-11-22T07:22:00Z</dcterms:created>
  <dc:creator>lxy</dc:creator>
  <cp:lastModifiedBy>小鲸怡</cp:lastModifiedBy>
  <dcterms:modified xsi:type="dcterms:W3CDTF">2023-12-18T07:34:13Z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8DF47F424B6A44CEBAAA72BEDD4B831F_13</vt:lpwstr>
  </property>
</Properties>
</file>