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beforeAutospacing="0" w:afterAutospacing="0" w:line="540" w:lineRule="exact"/>
        <w:ind w:left="0" w:leftChars="0" w:right="0" w:rightChars="0" w:firstLine="562" w:firstLineChars="200"/>
        <w:jc w:val="center"/>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1044" w:firstLineChars="200"/>
        <w:jc w:val="center"/>
        <w:textAlignment w:val="auto"/>
        <w:rPr>
          <w:rFonts w:eastAsia="方正小标宋简体"/>
          <w:sz w:val="52"/>
          <w:szCs w:val="52"/>
        </w:rPr>
      </w:pPr>
      <w:r>
        <w:rPr>
          <w:rFonts w:hint="eastAsia" w:eastAsia="方正小标宋简体" w:cs="方正小标宋简体"/>
          <w:b/>
          <w:bCs/>
          <w:sz w:val="52"/>
          <w:szCs w:val="52"/>
        </w:rPr>
        <w:t>绩效评价报告</w:t>
      </w:r>
    </w:p>
    <w:p>
      <w:pPr>
        <w:keepNext w:val="0"/>
        <w:keepLines w:val="0"/>
        <w:pageBreakBefore w:val="0"/>
        <w:kinsoku/>
        <w:wordWrap/>
        <w:overflowPunct/>
        <w:topLinePunct w:val="0"/>
        <w:bidi w:val="0"/>
        <w:ind w:firstLine="640" w:firstLineChars="200"/>
        <w:jc w:val="center"/>
        <w:rPr>
          <w:rFonts w:eastAsia="楷体_GB2312"/>
          <w:sz w:val="32"/>
          <w:szCs w:val="32"/>
        </w:rPr>
      </w:pPr>
    </w:p>
    <w:p>
      <w:pPr>
        <w:keepNext w:val="0"/>
        <w:keepLines w:val="0"/>
        <w:pageBreakBefore w:val="0"/>
        <w:kinsoku/>
        <w:wordWrap/>
        <w:overflowPunct/>
        <w:topLinePunct w:val="0"/>
        <w:bidi w:val="0"/>
        <w:ind w:firstLine="640" w:firstLineChars="200"/>
        <w:jc w:val="center"/>
        <w:rPr>
          <w:rFonts w:eastAsia="楷体_GB2312"/>
          <w:sz w:val="32"/>
          <w:szCs w:val="32"/>
        </w:rPr>
      </w:pPr>
    </w:p>
    <w:p>
      <w:pPr>
        <w:keepNext w:val="0"/>
        <w:keepLines w:val="0"/>
        <w:pageBreakBefore w:val="0"/>
        <w:kinsoku/>
        <w:wordWrap/>
        <w:overflowPunct/>
        <w:topLinePunct w:val="0"/>
        <w:bidi w:val="0"/>
        <w:ind w:firstLine="640" w:firstLineChars="200"/>
        <w:jc w:val="center"/>
        <w:rPr>
          <w:rFonts w:eastAsia="楷体_GB2312"/>
          <w:sz w:val="32"/>
          <w:szCs w:val="32"/>
        </w:rPr>
      </w:pPr>
    </w:p>
    <w:p>
      <w:pPr>
        <w:keepNext w:val="0"/>
        <w:keepLines w:val="0"/>
        <w:pageBreakBefore w:val="0"/>
        <w:kinsoku/>
        <w:wordWrap/>
        <w:overflowPunct/>
        <w:topLinePunct w:val="0"/>
        <w:bidi w:val="0"/>
        <w:ind w:firstLine="640" w:firstLineChars="200"/>
        <w:jc w:val="center"/>
        <w:rPr>
          <w:rFonts w:eastAsia="楷体_GB2312"/>
          <w:sz w:val="32"/>
          <w:szCs w:val="32"/>
        </w:rPr>
      </w:pPr>
    </w:p>
    <w:p>
      <w:pPr>
        <w:keepNext w:val="0"/>
        <w:keepLines w:val="0"/>
        <w:pageBreakBefore w:val="0"/>
        <w:kinsoku/>
        <w:wordWrap/>
        <w:overflowPunct/>
        <w:topLinePunct w:val="0"/>
        <w:bidi w:val="0"/>
        <w:ind w:firstLine="640" w:firstLineChars="200"/>
        <w:jc w:val="center"/>
        <w:rPr>
          <w:rFonts w:eastAsia="楷体_GB2312"/>
          <w:sz w:val="32"/>
          <w:szCs w:val="32"/>
        </w:rPr>
      </w:pPr>
    </w:p>
    <w:p>
      <w:pPr>
        <w:keepNext w:val="0"/>
        <w:keepLines w:val="0"/>
        <w:pageBreakBefore w:val="0"/>
        <w:kinsoku/>
        <w:wordWrap/>
        <w:overflowPunct/>
        <w:topLinePunct w:val="0"/>
        <w:bidi w:val="0"/>
        <w:ind w:firstLine="640" w:firstLineChars="200"/>
        <w:jc w:val="center"/>
        <w:rPr>
          <w:rFonts w:eastAsia="楷体_GB2312"/>
          <w:sz w:val="32"/>
          <w:szCs w:val="32"/>
        </w:rPr>
      </w:pPr>
    </w:p>
    <w:p>
      <w:pPr>
        <w:keepNext w:val="0"/>
        <w:keepLines w:val="0"/>
        <w:pageBreakBefore w:val="0"/>
        <w:kinsoku/>
        <w:wordWrap/>
        <w:overflowPunct/>
        <w:topLinePunct w:val="0"/>
        <w:bidi w:val="0"/>
        <w:ind w:firstLine="640" w:firstLineChars="200"/>
        <w:rPr>
          <w:rFonts w:eastAsia="仿宋_GB2312"/>
          <w:sz w:val="32"/>
          <w:szCs w:val="32"/>
          <w:u w:val="single"/>
        </w:rPr>
      </w:pPr>
    </w:p>
    <w:tbl>
      <w:tblPr>
        <w:tblStyle w:val="11"/>
        <w:tblpPr w:leftFromText="180" w:rightFromText="180" w:vertAnchor="text" w:horzAnchor="page" w:tblpX="2196" w:tblpY="497"/>
        <w:tblOverlap w:val="never"/>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6866" w:type="dxa"/>
            <w:tcBorders>
              <w:top w:val="nil"/>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邵阳市北塔区2022年城镇老旧小区改造项目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项目单位</w:t>
            </w:r>
            <w:r>
              <w:rPr>
                <w:rFonts w:hint="eastAsia" w:ascii="仿宋" w:hAnsi="仿宋" w:eastAsia="仿宋" w:cs="仿宋"/>
                <w:b/>
                <w:bCs/>
                <w:sz w:val="32"/>
                <w:szCs w:val="32"/>
                <w:u w:val="none"/>
                <w:lang w:eastAsia="zh-CN"/>
              </w:rPr>
              <w:t>：</w:t>
            </w:r>
          </w:p>
        </w:tc>
        <w:tc>
          <w:tcPr>
            <w:tcW w:w="6866"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邵阳市北塔区住房和城乡建设局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委托单位</w:t>
            </w:r>
            <w:r>
              <w:rPr>
                <w:rFonts w:hint="eastAsia" w:ascii="仿宋" w:hAnsi="仿宋" w:eastAsia="仿宋" w:cs="仿宋"/>
                <w:b/>
                <w:bCs/>
                <w:sz w:val="32"/>
                <w:szCs w:val="32"/>
                <w:u w:val="none"/>
                <w:lang w:eastAsia="zh-CN"/>
              </w:rPr>
              <w:t>：</w:t>
            </w:r>
          </w:p>
        </w:tc>
        <w:tc>
          <w:tcPr>
            <w:tcW w:w="6866"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6866"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湖南骏新联合会计师事务所（普通合伙）</w:t>
            </w:r>
          </w:p>
        </w:tc>
      </w:tr>
    </w:tbl>
    <w:p>
      <w:pPr>
        <w:keepNext w:val="0"/>
        <w:keepLines w:val="0"/>
        <w:pageBreakBefore w:val="0"/>
        <w:kinsoku/>
        <w:wordWrap/>
        <w:overflowPunct/>
        <w:topLinePunct w:val="0"/>
        <w:bidi w:val="0"/>
        <w:ind w:firstLine="640" w:firstLineChars="200"/>
        <w:jc w:val="center"/>
        <w:rPr>
          <w:rFonts w:eastAsia="仿宋_GB2312"/>
          <w:sz w:val="32"/>
          <w:szCs w:val="32"/>
          <w:u w:val="single"/>
        </w:rPr>
      </w:pPr>
    </w:p>
    <w:p>
      <w:pPr>
        <w:keepNext w:val="0"/>
        <w:keepLines w:val="0"/>
        <w:pageBreakBefore w:val="0"/>
        <w:kinsoku/>
        <w:wordWrap/>
        <w:overflowPunct/>
        <w:topLinePunct w:val="0"/>
        <w:bidi w:val="0"/>
        <w:ind w:firstLine="640" w:firstLineChars="200"/>
        <w:jc w:val="center"/>
        <w:rPr>
          <w:rFonts w:eastAsia="仿宋_GB2312"/>
          <w:sz w:val="32"/>
          <w:szCs w:val="32"/>
          <w:u w:val="single"/>
        </w:rPr>
      </w:pPr>
    </w:p>
    <w:p>
      <w:pPr>
        <w:keepNext w:val="0"/>
        <w:keepLines w:val="0"/>
        <w:pageBreakBefore w:val="0"/>
        <w:kinsoku/>
        <w:wordWrap/>
        <w:overflowPunct/>
        <w:topLinePunct w:val="0"/>
        <w:bidi w:val="0"/>
        <w:ind w:firstLine="643" w:firstLineChars="200"/>
        <w:jc w:val="center"/>
        <w:rPr>
          <w:rFonts w:hint="eastAsia" w:ascii="仿宋" w:hAnsi="仿宋" w:eastAsia="仿宋" w:cs="仿宋"/>
          <w:b/>
          <w:bCs/>
          <w:sz w:val="32"/>
          <w:szCs w:val="32"/>
        </w:rPr>
      </w:pPr>
    </w:p>
    <w:p>
      <w:pPr>
        <w:keepNext w:val="0"/>
        <w:keepLines w:val="0"/>
        <w:pageBreakBefore w:val="0"/>
        <w:kinsoku/>
        <w:wordWrap/>
        <w:overflowPunct/>
        <w:topLinePunct w:val="0"/>
        <w:bidi w:val="0"/>
        <w:ind w:firstLine="643" w:firstLineChars="200"/>
        <w:jc w:val="center"/>
      </w:pPr>
      <w:r>
        <w:rPr>
          <w:rFonts w:hint="eastAsia" w:ascii="仿宋" w:hAnsi="仿宋" w:eastAsia="仿宋" w:cs="仿宋"/>
          <w:b/>
          <w:bCs/>
          <w:sz w:val="32"/>
          <w:szCs w:val="32"/>
        </w:rPr>
        <w:t>二○二</w:t>
      </w:r>
      <w:r>
        <w:rPr>
          <w:rFonts w:hint="eastAsia" w:cs="仿宋"/>
          <w:b/>
          <w:bCs/>
          <w:sz w:val="32"/>
          <w:szCs w:val="32"/>
          <w:lang w:val="en-US" w:eastAsia="zh-CN"/>
        </w:rPr>
        <w:t>三</w:t>
      </w:r>
      <w:r>
        <w:rPr>
          <w:rFonts w:hint="eastAsia" w:ascii="仿宋" w:hAnsi="仿宋" w:eastAsia="仿宋" w:cs="仿宋"/>
          <w:b/>
          <w:bCs/>
          <w:sz w:val="32"/>
          <w:szCs w:val="32"/>
        </w:rPr>
        <w:t>年</w:t>
      </w:r>
      <w:r>
        <w:rPr>
          <w:rFonts w:hint="eastAsia" w:cs="仿宋"/>
          <w:b/>
          <w:bCs/>
          <w:color w:val="000000"/>
          <w:sz w:val="32"/>
          <w:szCs w:val="32"/>
          <w:lang w:val="en-US" w:eastAsia="zh-CN"/>
        </w:rPr>
        <w:t>十一</w:t>
      </w:r>
      <w:r>
        <w:rPr>
          <w:rFonts w:hint="eastAsia" w:ascii="仿宋" w:hAnsi="仿宋" w:eastAsia="仿宋" w:cs="仿宋"/>
          <w:b/>
          <w:bCs/>
          <w:color w:val="000000"/>
          <w:sz w:val="32"/>
          <w:szCs w:val="32"/>
        </w:rPr>
        <w:t>月</w:t>
      </w:r>
      <w:r>
        <w:rPr>
          <w:rFonts w:hint="eastAsia" w:cs="仿宋"/>
          <w:b/>
          <w:bCs/>
          <w:color w:val="000000"/>
          <w:sz w:val="32"/>
          <w:szCs w:val="32"/>
          <w:lang w:val="en-US" w:eastAsia="zh-CN"/>
        </w:rPr>
        <w:t>二十六</w:t>
      </w:r>
      <w:r>
        <w:rPr>
          <w:rFonts w:hint="eastAsia" w:ascii="仿宋" w:hAnsi="仿宋" w:eastAsia="仿宋" w:cs="仿宋"/>
          <w:b/>
          <w:bCs/>
          <w:color w:val="000000"/>
          <w:sz w:val="32"/>
          <w:szCs w:val="32"/>
        </w:rPr>
        <w:t>日</w:t>
      </w:r>
    </w:p>
    <w:p>
      <w:pPr>
        <w:keepNext w:val="0"/>
        <w:keepLines w:val="0"/>
        <w:pageBreakBefore w:val="0"/>
        <w:kinsoku/>
        <w:wordWrap/>
        <w:overflowPunct/>
        <w:topLinePunct w:val="0"/>
        <w:bidi w:val="0"/>
        <w:ind w:firstLine="643" w:firstLineChars="200"/>
        <w:jc w:val="center"/>
        <w:rPr>
          <w:rFonts w:ascii="宋体"/>
          <w:b/>
          <w:bCs/>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keepNext w:val="0"/>
        <w:keepLines w:val="0"/>
        <w:pageBreakBefore w:val="0"/>
        <w:kinsoku/>
        <w:wordWrap/>
        <w:overflowPunct/>
        <w:topLinePunct w:val="0"/>
        <w:bidi w:val="0"/>
        <w:spacing w:line="520" w:lineRule="exact"/>
        <w:ind w:firstLine="560" w:firstLineChars="200"/>
        <w:jc w:val="center"/>
        <w:rPr>
          <w:rFonts w:ascii="仿宋" w:hAnsi="仿宋" w:eastAsia="仿宋" w:cs="仿宋"/>
          <w:sz w:val="28"/>
          <w:szCs w:val="28"/>
        </w:rPr>
      </w:pPr>
    </w:p>
    <w:p>
      <w:pPr>
        <w:keepNext w:val="0"/>
        <w:keepLines w:val="0"/>
        <w:pageBreakBefore w:val="0"/>
        <w:kinsoku/>
        <w:wordWrap/>
        <w:overflowPunct/>
        <w:topLinePunct w:val="0"/>
        <w:bidi w:val="0"/>
        <w:spacing w:line="520" w:lineRule="exact"/>
        <w:ind w:firstLine="643" w:firstLineChars="200"/>
        <w:jc w:val="center"/>
        <w:rPr>
          <w:rFonts w:ascii="宋体"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900" w:lineRule="exact"/>
        <w:ind w:firstLine="560" w:firstLineChars="200"/>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900" w:lineRule="exact"/>
        <w:ind w:firstLine="560" w:firstLineChars="200"/>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840" w:lineRule="exact"/>
        <w:ind w:firstLine="560" w:firstLineChars="200"/>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ind w:firstLine="560" w:firstLineChars="200"/>
        <w:jc w:val="center"/>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eastAsia="zh-CN"/>
        </w:rPr>
        <w:t>202</w:t>
      </w:r>
      <w:r>
        <w:rPr>
          <w:rFonts w:hint="eastAsia" w:ascii="仿宋" w:hAnsi="仿宋" w:eastAsia="仿宋" w:cs="仿宋"/>
          <w:color w:val="000000"/>
          <w:sz w:val="28"/>
          <w:szCs w:val="28"/>
          <w:shd w:val="clear" w:color="auto" w:fill="FFFFFF"/>
          <w:lang w:val="en-US" w:eastAsia="zh-CN"/>
        </w:rPr>
        <w:t>3</w:t>
      </w:r>
      <w:r>
        <w:rPr>
          <w:rFonts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rPr>
        <w:t>第</w:t>
      </w:r>
      <w:r>
        <w:rPr>
          <w:rFonts w:hint="eastAsia" w:ascii="仿宋" w:hAnsi="仿宋" w:eastAsia="仿宋" w:cs="仿宋"/>
          <w:color w:val="FF0000"/>
          <w:sz w:val="28"/>
          <w:szCs w:val="28"/>
          <w:shd w:val="clear" w:color="auto" w:fill="FFFFFF"/>
          <w:lang w:val="en-US" w:eastAsia="zh-CN"/>
        </w:rPr>
        <w:t xml:space="preserve"> 037</w:t>
      </w:r>
      <w:r>
        <w:rPr>
          <w:rFonts w:hint="eastAsia" w:ascii="仿宋" w:hAnsi="仿宋" w:eastAsia="仿宋" w:cs="仿宋"/>
          <w:color w:val="000000"/>
          <w:sz w:val="28"/>
          <w:szCs w:val="28"/>
          <w:shd w:val="clear" w:color="auto" w:fill="FFFFFF"/>
        </w:rPr>
        <w:t>号</w:t>
      </w:r>
    </w:p>
    <w:p>
      <w:pPr>
        <w:pStyle w:val="2"/>
        <w:keepNext w:val="0"/>
        <w:keepLines w:val="0"/>
        <w:pageBreakBefore w:val="0"/>
        <w:kinsoku/>
        <w:wordWrap/>
        <w:overflowPunct/>
        <w:topLinePunct w:val="0"/>
        <w:bidi w:val="0"/>
        <w:ind w:firstLine="480" w:firstLineChars="200"/>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center"/>
        <w:textAlignment w:val="auto"/>
        <w:rPr>
          <w:rFonts w:hint="eastAsia" w:ascii="宋体" w:hAnsi="宋体" w:eastAsia="宋体" w:cs="Times New Roman"/>
          <w:b/>
          <w:bCs/>
          <w:sz w:val="36"/>
          <w:szCs w:val="36"/>
          <w:lang w:val="en-US" w:eastAsia="zh-CN"/>
        </w:rPr>
      </w:pPr>
      <w:r>
        <w:rPr>
          <w:rFonts w:hint="eastAsia" w:ascii="宋体" w:hAnsi="宋体" w:eastAsia="宋体" w:cs="Times New Roman"/>
          <w:b/>
          <w:bCs/>
          <w:sz w:val="36"/>
          <w:szCs w:val="36"/>
          <w:lang w:val="en-US" w:eastAsia="zh-CN"/>
        </w:rPr>
        <w:t>邵阳市北塔区2022年城镇老旧小区改造项目</w:t>
      </w:r>
    </w:p>
    <w:p>
      <w:pPr>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绩效评价报告</w:t>
      </w:r>
    </w:p>
    <w:p>
      <w:pPr>
        <w:pStyle w:val="2"/>
        <w:keepNext w:val="0"/>
        <w:keepLines w:val="0"/>
        <w:pageBreakBefore w:val="0"/>
        <w:kinsoku/>
        <w:wordWrap/>
        <w:overflowPunct/>
        <w:topLinePunct w:val="0"/>
        <w:bidi w:val="0"/>
        <w:ind w:firstLine="723" w:firstLineChars="200"/>
        <w:rPr>
          <w:rFonts w:hint="eastAsia" w:ascii="宋体" w:hAnsi="宋体" w:eastAsia="宋体" w:cs="Times New Roman"/>
          <w:b/>
          <w:bCs/>
          <w:sz w:val="36"/>
          <w:szCs w:val="36"/>
          <w:lang w:val="en-US" w:eastAsia="zh-CN"/>
        </w:rPr>
      </w:pPr>
    </w:p>
    <w:p>
      <w:pPr>
        <w:pStyle w:val="2"/>
        <w:keepNext w:val="0"/>
        <w:keepLines w:val="0"/>
        <w:pageBreakBefore w:val="0"/>
        <w:kinsoku/>
        <w:wordWrap/>
        <w:overflowPunct/>
        <w:topLinePunct w:val="0"/>
        <w:bidi w:val="0"/>
        <w:ind w:firstLine="723" w:firstLineChars="200"/>
        <w:rPr>
          <w:rFonts w:hint="eastAsia" w:ascii="宋体" w:hAnsi="宋体" w:eastAsia="宋体" w:cs="Times New Roman"/>
          <w:b/>
          <w:bCs/>
          <w:sz w:val="36"/>
          <w:szCs w:val="36"/>
          <w:lang w:val="en-US" w:eastAsia="zh-CN"/>
        </w:rPr>
      </w:pPr>
    </w:p>
    <w:p>
      <w:pPr>
        <w:keepNext w:val="0"/>
        <w:keepLines w:val="0"/>
        <w:pageBreakBefore w:val="0"/>
        <w:widowControl w:val="0"/>
        <w:tabs>
          <w:tab w:val="left" w:pos="3856"/>
        </w:tabs>
        <w:kinsoku/>
        <w:wordWrap/>
        <w:overflowPunct/>
        <w:topLinePunct w:val="0"/>
        <w:autoSpaceDE/>
        <w:autoSpaceDN/>
        <w:bidi w:val="0"/>
        <w:adjustRightInd/>
        <w:snapToGrid/>
        <w:spacing w:beforeAutospacing="0" w:afterAutospacing="0" w:line="540" w:lineRule="exact"/>
        <w:ind w:left="0" w:leftChars="0" w:right="0" w:rightChars="0" w:firstLine="560" w:firstLineChars="200"/>
        <w:textAlignment w:val="auto"/>
        <w:rPr>
          <w:rFonts w:hint="eastAsia" w:ascii="仿宋" w:hAnsi="仿宋" w:eastAsia="仿宋" w:cs="仿宋"/>
          <w:spacing w:val="0"/>
          <w:sz w:val="28"/>
          <w:szCs w:val="28"/>
        </w:rPr>
      </w:pPr>
      <w:r>
        <w:rPr>
          <w:rFonts w:hint="eastAsia" w:ascii="仿宋" w:hAnsi="仿宋" w:eastAsia="仿宋" w:cs="仿宋"/>
          <w:spacing w:val="0"/>
          <w:sz w:val="28"/>
          <w:szCs w:val="28"/>
        </w:rPr>
        <w:t>为加强财政支出管理，优化财政支出结构，提高财政资金使用效益，根据《中共中央国务院关于全面实施预算绩效管理的意见》（中发〔2018〕34号）、《中共湖南省委办公厅湖南省人民政府办公厅关于全面实施预算绩效管理的实施意见》（湘办发〔2019〕10号）、《湖南省财政厅关于印发湖南省预算支出绩效评价管理办法的通知》（湘财绩〔2020〕7号）等文件要求，</w:t>
      </w:r>
      <w:r>
        <w:rPr>
          <w:rFonts w:hint="eastAsia" w:ascii="仿宋" w:hAnsi="仿宋" w:eastAsia="仿宋" w:cs="仿宋"/>
          <w:spacing w:val="0"/>
          <w:sz w:val="28"/>
          <w:szCs w:val="28"/>
          <w:lang w:val="en-US" w:eastAsia="zh-CN"/>
        </w:rPr>
        <w:t>邵阳市北塔区</w:t>
      </w:r>
      <w:r>
        <w:rPr>
          <w:rFonts w:hint="eastAsia" w:ascii="仿宋" w:hAnsi="仿宋" w:eastAsia="仿宋" w:cs="仿宋"/>
          <w:spacing w:val="0"/>
          <w:sz w:val="28"/>
          <w:szCs w:val="28"/>
        </w:rPr>
        <w:t>财政局委托湖南</w:t>
      </w:r>
      <w:r>
        <w:rPr>
          <w:rFonts w:hint="eastAsia" w:ascii="仿宋" w:hAnsi="仿宋" w:eastAsia="仿宋" w:cs="仿宋"/>
          <w:spacing w:val="0"/>
          <w:sz w:val="28"/>
          <w:szCs w:val="28"/>
          <w:lang w:val="en-US" w:eastAsia="zh-CN"/>
        </w:rPr>
        <w:t>骏新联合</w:t>
      </w:r>
      <w:r>
        <w:rPr>
          <w:rFonts w:hint="eastAsia" w:ascii="仿宋" w:hAnsi="仿宋" w:eastAsia="仿宋" w:cs="仿宋"/>
          <w:spacing w:val="0"/>
          <w:sz w:val="28"/>
          <w:szCs w:val="28"/>
        </w:rPr>
        <w:t>会计师事务所（普通合伙）对</w:t>
      </w:r>
      <w:r>
        <w:rPr>
          <w:rFonts w:hint="eastAsia" w:ascii="仿宋" w:hAnsi="仿宋" w:eastAsia="仿宋" w:cs="仿宋"/>
          <w:spacing w:val="0"/>
          <w:sz w:val="28"/>
          <w:szCs w:val="28"/>
          <w:lang w:val="en-US" w:eastAsia="zh-CN"/>
        </w:rPr>
        <w:t>邵阳市北塔区2022年城镇老旧小区改造项目</w:t>
      </w:r>
      <w:r>
        <w:rPr>
          <w:rFonts w:hint="eastAsia" w:ascii="仿宋" w:hAnsi="仿宋" w:eastAsia="仿宋" w:cs="仿宋"/>
          <w:spacing w:val="0"/>
          <w:sz w:val="28"/>
          <w:szCs w:val="28"/>
        </w:rPr>
        <w:t>（以下简称项目）实施绩效评价。评价采用定量分析和定性分析相结合的方法，从项目决策、项目过程、项目绩效完成等方面对项目进行了综合评价。现将绩效评价情况汇报如下：</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一、项目资金概况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（一）项目基本情况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0" w:firstLineChars="200"/>
        <w:textAlignment w:val="auto"/>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本改造项目位于北塔区状元洲街道、新滩镇街道，项目涉及小区 15 个、房屋 109 栋、居民 2998 户，改造内容包含房屋公共区域修缮、道路、雨污分流、水、电等基础设施改造工程、服务设施完善和提升工程，其中:1、基础类：雨污分流改造 19769m,供气改造、置换和新增 3391m，供水，路灯安装 1400 盏等。2、完善类：局部破损道路修缮 15676㎡，安防监控设施 180套，充电桩 80 个，停车位改造 160 个，停车雨棚改造 4640㎡等。3、提升类: 配套服务用房改造 6000㎡。由邵阳市北塔区住房和城乡建设局负责实施。</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rPr>
        <w:t>（二）项目资金基本情况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0" w:firstLineChars="200"/>
        <w:textAlignment w:val="auto"/>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项目资金来源全部为北塔区财政资金及申请政府专项债券。项目总投资18487.93万元，其中：用于项目支出的资本金为10487.93万元，拟申请发行政府专项债卷资金8000.00万元。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0" w:firstLineChars="200"/>
        <w:textAlignment w:val="auto"/>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政府专项债发行情况，截止2022年12月31日已发行8000.00万元，具体如下：金额（万元）</w:t>
      </w:r>
    </w:p>
    <w:tbl>
      <w:tblPr>
        <w:tblStyle w:val="10"/>
        <w:tblW w:w="0" w:type="auto"/>
        <w:tblInd w:w="0" w:type="dxa"/>
        <w:shd w:val="clear" w:color="auto" w:fill="FFFFFF"/>
        <w:tblLayout w:type="fixed"/>
        <w:tblCellMar>
          <w:top w:w="15" w:type="dxa"/>
          <w:left w:w="15" w:type="dxa"/>
          <w:bottom w:w="15" w:type="dxa"/>
          <w:right w:w="15" w:type="dxa"/>
        </w:tblCellMar>
      </w:tblPr>
      <w:tblGrid>
        <w:gridCol w:w="2363"/>
        <w:gridCol w:w="1909"/>
        <w:gridCol w:w="1327"/>
        <w:gridCol w:w="1336"/>
        <w:gridCol w:w="1419"/>
      </w:tblGrid>
      <w:tr>
        <w:tblPrEx>
          <w:shd w:val="clear" w:color="auto" w:fill="FFFFFF"/>
          <w:tblCellMar>
            <w:top w:w="15" w:type="dxa"/>
            <w:left w:w="15" w:type="dxa"/>
            <w:bottom w:w="15" w:type="dxa"/>
            <w:right w:w="15" w:type="dxa"/>
          </w:tblCellMar>
        </w:tblPrEx>
        <w:trPr>
          <w:trHeight w:val="540" w:hRule="atLeast"/>
        </w:trPr>
        <w:tc>
          <w:tcPr>
            <w:tcW w:w="2363"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债券名称</w:t>
            </w:r>
          </w:p>
        </w:tc>
        <w:tc>
          <w:tcPr>
            <w:tcW w:w="1909"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债券项目名称</w:t>
            </w:r>
          </w:p>
        </w:tc>
        <w:tc>
          <w:tcPr>
            <w:tcW w:w="1327"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金额</w:t>
            </w:r>
          </w:p>
        </w:tc>
        <w:tc>
          <w:tcPr>
            <w:tcW w:w="1336"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期限（年）</w:t>
            </w:r>
          </w:p>
        </w:tc>
        <w:tc>
          <w:tcPr>
            <w:tcW w:w="1419"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利率%</w:t>
            </w:r>
          </w:p>
        </w:tc>
      </w:tr>
      <w:tr>
        <w:tblPrEx>
          <w:shd w:val="clear" w:color="auto" w:fill="FFFFFF"/>
          <w:tblCellMar>
            <w:top w:w="15" w:type="dxa"/>
            <w:left w:w="15" w:type="dxa"/>
            <w:bottom w:w="15" w:type="dxa"/>
            <w:right w:w="15" w:type="dxa"/>
          </w:tblCellMar>
        </w:tblPrEx>
        <w:trPr>
          <w:trHeight w:val="470" w:hRule="atLeast"/>
        </w:trPr>
        <w:tc>
          <w:tcPr>
            <w:tcW w:w="236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 2022年湖南省保障性安居工程专项</w:t>
            </w:r>
            <w:r>
              <w:rPr>
                <w:rFonts w:hint="eastAsia" w:ascii="宋体" w:hAnsi="宋体" w:cs="宋体"/>
                <w:kern w:val="0"/>
                <w:sz w:val="21"/>
                <w:szCs w:val="21"/>
                <w:lang w:val="en-US" w:eastAsia="zh-CN" w:bidi="ar"/>
              </w:rPr>
              <w:t>债券</w:t>
            </w:r>
            <w:r>
              <w:rPr>
                <w:rFonts w:hint="eastAsia" w:ascii="宋体" w:hAnsi="宋体" w:eastAsia="宋体" w:cs="宋体"/>
                <w:kern w:val="0"/>
                <w:sz w:val="21"/>
                <w:szCs w:val="21"/>
                <w:lang w:val="en-US" w:eastAsia="zh-CN" w:bidi="ar"/>
              </w:rPr>
              <w:t>（七期）-2022年湖南省政府专项</w:t>
            </w:r>
            <w:r>
              <w:rPr>
                <w:rFonts w:hint="eastAsia" w:ascii="宋体" w:hAnsi="宋体" w:cs="宋体"/>
                <w:kern w:val="0"/>
                <w:sz w:val="21"/>
                <w:szCs w:val="21"/>
                <w:lang w:val="en-US" w:eastAsia="zh-CN" w:bidi="ar"/>
              </w:rPr>
              <w:t>债券</w:t>
            </w:r>
            <w:r>
              <w:rPr>
                <w:rFonts w:hint="eastAsia" w:ascii="宋体" w:hAnsi="宋体" w:eastAsia="宋体" w:cs="宋体"/>
                <w:kern w:val="0"/>
                <w:sz w:val="21"/>
                <w:szCs w:val="21"/>
                <w:lang w:val="en-US" w:eastAsia="zh-CN" w:bidi="ar"/>
              </w:rPr>
              <w:t>（四十七期）</w:t>
            </w:r>
          </w:p>
        </w:tc>
        <w:tc>
          <w:tcPr>
            <w:tcW w:w="1909"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邵阳市北塔区2022年城镇老旧小区改造项目</w:t>
            </w:r>
          </w:p>
        </w:tc>
        <w:tc>
          <w:tcPr>
            <w:tcW w:w="132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4200.00</w:t>
            </w:r>
          </w:p>
        </w:tc>
        <w:tc>
          <w:tcPr>
            <w:tcW w:w="133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15年</w:t>
            </w:r>
          </w:p>
        </w:tc>
        <w:tc>
          <w:tcPr>
            <w:tcW w:w="1419"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3.73</w:t>
            </w:r>
          </w:p>
        </w:tc>
      </w:tr>
      <w:tr>
        <w:tblPrEx>
          <w:shd w:val="clear" w:color="auto" w:fill="FFFFFF"/>
          <w:tblCellMar>
            <w:top w:w="15" w:type="dxa"/>
            <w:left w:w="15" w:type="dxa"/>
            <w:bottom w:w="15" w:type="dxa"/>
            <w:right w:w="15" w:type="dxa"/>
          </w:tblCellMar>
        </w:tblPrEx>
        <w:trPr>
          <w:trHeight w:val="1391" w:hRule="atLeast"/>
        </w:trPr>
        <w:tc>
          <w:tcPr>
            <w:tcW w:w="236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2022年湖南省保障性安居工程专项</w:t>
            </w:r>
            <w:r>
              <w:rPr>
                <w:rFonts w:hint="eastAsia" w:ascii="宋体" w:hAnsi="宋体" w:cs="宋体"/>
                <w:kern w:val="0"/>
                <w:sz w:val="21"/>
                <w:szCs w:val="21"/>
                <w:lang w:val="en-US" w:eastAsia="zh-CN" w:bidi="ar"/>
              </w:rPr>
              <w:t>债券</w:t>
            </w:r>
            <w:r>
              <w:rPr>
                <w:rFonts w:hint="eastAsia" w:ascii="宋体" w:hAnsi="宋体" w:eastAsia="宋体" w:cs="宋体"/>
                <w:kern w:val="0"/>
                <w:sz w:val="21"/>
                <w:szCs w:val="21"/>
                <w:lang w:val="en-US" w:eastAsia="zh-CN" w:bidi="ar"/>
              </w:rPr>
              <w:t>（十三期）-2022年湖南省政府专项</w:t>
            </w:r>
            <w:r>
              <w:rPr>
                <w:rFonts w:hint="eastAsia" w:ascii="宋体" w:hAnsi="宋体" w:cs="宋体"/>
                <w:kern w:val="0"/>
                <w:sz w:val="21"/>
                <w:szCs w:val="21"/>
                <w:lang w:val="en-US" w:eastAsia="zh-CN" w:bidi="ar"/>
              </w:rPr>
              <w:t>债券</w:t>
            </w:r>
            <w:r>
              <w:rPr>
                <w:rFonts w:hint="eastAsia" w:ascii="宋体" w:hAnsi="宋体" w:eastAsia="宋体" w:cs="宋体"/>
                <w:kern w:val="0"/>
                <w:sz w:val="21"/>
                <w:szCs w:val="21"/>
                <w:lang w:val="en-US" w:eastAsia="zh-CN" w:bidi="ar"/>
              </w:rPr>
              <w:t>（六十九期）</w:t>
            </w:r>
          </w:p>
        </w:tc>
        <w:tc>
          <w:tcPr>
            <w:tcW w:w="1909"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邵阳市北塔区2022年城镇老旧小区改造项目</w:t>
            </w:r>
          </w:p>
        </w:tc>
        <w:tc>
          <w:tcPr>
            <w:tcW w:w="132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3800.00</w:t>
            </w:r>
          </w:p>
        </w:tc>
        <w:tc>
          <w:tcPr>
            <w:tcW w:w="1336"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15年</w:t>
            </w:r>
          </w:p>
        </w:tc>
        <w:tc>
          <w:tcPr>
            <w:tcW w:w="1419"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eastAsia="zh-CN" w:bidi="ar"/>
              </w:rPr>
              <w:t>3.73</w:t>
            </w:r>
          </w:p>
        </w:tc>
      </w:tr>
      <w:tr>
        <w:tblPrEx>
          <w:shd w:val="clear" w:color="auto" w:fill="FFFFFF"/>
          <w:tblCellMar>
            <w:top w:w="15" w:type="dxa"/>
            <w:left w:w="15" w:type="dxa"/>
            <w:bottom w:w="15" w:type="dxa"/>
            <w:right w:w="15" w:type="dxa"/>
          </w:tblCellMar>
        </w:tblPrEx>
        <w:trPr>
          <w:trHeight w:val="285" w:hRule="atLeast"/>
        </w:trPr>
        <w:tc>
          <w:tcPr>
            <w:tcW w:w="236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合计</w:t>
            </w:r>
          </w:p>
        </w:tc>
        <w:tc>
          <w:tcPr>
            <w:tcW w:w="1909"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327"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8000.00</w:t>
            </w:r>
          </w:p>
        </w:tc>
        <w:tc>
          <w:tcPr>
            <w:tcW w:w="1336"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419"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0" w:firstLineChars="200"/>
        <w:textAlignment w:val="auto"/>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项目支出预计18487.93万元，明细具体如下：金额（万元）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0" w:firstLineChars="200"/>
        <w:jc w:val="center"/>
        <w:textAlignment w:val="auto"/>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项目投资估算表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1494"/>
        <w:gridCol w:w="1501"/>
        <w:gridCol w:w="1165"/>
        <w:gridCol w:w="152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项目名称</w:t>
            </w:r>
          </w:p>
        </w:tc>
        <w:tc>
          <w:tcPr>
            <w:tcW w:w="149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工程费用</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其他费用</w:t>
            </w:r>
          </w:p>
        </w:tc>
        <w:tc>
          <w:tcPr>
            <w:tcW w:w="6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预备费</w:t>
            </w:r>
          </w:p>
        </w:tc>
        <w:tc>
          <w:tcPr>
            <w:tcW w:w="8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建设期利息</w:t>
            </w:r>
          </w:p>
        </w:tc>
        <w:tc>
          <w:tcPr>
            <w:tcW w:w="789" w:type="pct"/>
            <w:tcBorders>
              <w:top w:val="single" w:color="auto" w:sz="4" w:space="0"/>
              <w:left w:val="single" w:color="auto" w:sz="4" w:space="0"/>
              <w:bottom w:val="single" w:color="auto" w:sz="4" w:space="0"/>
              <w:right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邵阳市北塔区2022年城镇老旧小区改造项目</w:t>
            </w:r>
          </w:p>
        </w:tc>
        <w:tc>
          <w:tcPr>
            <w:tcW w:w="149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14459.64</w:t>
            </w:r>
          </w:p>
        </w:tc>
        <w:tc>
          <w:tcPr>
            <w:tcW w:w="88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2901.91</w:t>
            </w:r>
          </w:p>
        </w:tc>
        <w:tc>
          <w:tcPr>
            <w:tcW w:w="6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868.08</w:t>
            </w:r>
          </w:p>
        </w:tc>
        <w:tc>
          <w:tcPr>
            <w:tcW w:w="89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258.3</w:t>
            </w:r>
          </w:p>
        </w:tc>
        <w:tc>
          <w:tcPr>
            <w:tcW w:w="789" w:type="pct"/>
            <w:tcBorders>
              <w:top w:val="single" w:color="auto" w:sz="4" w:space="0"/>
              <w:left w:val="single" w:color="auto" w:sz="4" w:space="0"/>
              <w:bottom w:val="single" w:color="auto" w:sz="4" w:space="0"/>
              <w:right w:val="nil"/>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18487.93</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（三）项目预期收益、偿债资金来源。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0" w:firstLineChars="200"/>
        <w:textAlignment w:val="auto"/>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根据《邵阳市本级2022年保障性安居工程专项债卷邵阳市北塔区2022年城镇老旧小区改造项目预期收益与融资平衡方案》，债券存续期内，项目预期总收入25303.41元，预期运营成本、相关税费合计为7286.99万元，项目净收益即可用于融资平衡的资金为18016.42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rPr>
      </w:pPr>
      <w:r>
        <w:rPr>
          <w:rFonts w:hint="eastAsia" w:ascii="仿宋" w:hAnsi="仿宋" w:eastAsia="仿宋" w:cs="仿宋"/>
          <w:b/>
          <w:bCs/>
          <w:spacing w:val="0"/>
          <w:sz w:val="28"/>
          <w:szCs w:val="28"/>
          <w:lang w:eastAsia="zh-CN"/>
        </w:rPr>
        <w:t>（</w:t>
      </w:r>
      <w:r>
        <w:rPr>
          <w:rFonts w:hint="eastAsia" w:ascii="仿宋" w:hAnsi="仿宋" w:eastAsia="仿宋" w:cs="仿宋"/>
          <w:b/>
          <w:bCs/>
          <w:spacing w:val="0"/>
          <w:sz w:val="28"/>
          <w:szCs w:val="28"/>
          <w:lang w:val="en-US" w:eastAsia="zh-CN"/>
        </w:rPr>
        <w:t>四</w:t>
      </w:r>
      <w:r>
        <w:rPr>
          <w:rFonts w:hint="eastAsia" w:ascii="仿宋" w:hAnsi="仿宋" w:eastAsia="仿宋" w:cs="仿宋"/>
          <w:b/>
          <w:bCs/>
          <w:spacing w:val="0"/>
          <w:sz w:val="28"/>
          <w:szCs w:val="28"/>
          <w:lang w:eastAsia="zh-CN"/>
        </w:rPr>
        <w:t>）</w:t>
      </w:r>
      <w:r>
        <w:rPr>
          <w:rFonts w:hint="eastAsia" w:ascii="仿宋" w:hAnsi="仿宋" w:eastAsia="仿宋" w:cs="仿宋"/>
          <w:b/>
          <w:bCs/>
          <w:spacing w:val="0"/>
          <w:sz w:val="28"/>
          <w:szCs w:val="28"/>
        </w:rPr>
        <w:t>项目资金绩效目标。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560" w:firstLineChars="200"/>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2022年度15个老旧小区改造项目需在2022年内完工。项目涉及户数2998户、小区栋数109栋、总建筑面积34.51万平方米，概算总投资18487.93万元。</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二、项目资金使用及管理情况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spacing w:val="0"/>
          <w:sz w:val="28"/>
          <w:szCs w:val="28"/>
          <w:lang w:val="en-US" w:eastAsia="zh-CN"/>
        </w:rPr>
      </w:pPr>
      <w:r>
        <w:rPr>
          <w:rFonts w:hint="eastAsia" w:ascii="仿宋" w:hAnsi="仿宋" w:eastAsia="仿宋" w:cs="仿宋"/>
          <w:b/>
          <w:bCs/>
          <w:spacing w:val="0"/>
          <w:sz w:val="28"/>
          <w:szCs w:val="28"/>
          <w:lang w:val="en-US" w:eastAsia="zh-CN"/>
        </w:rPr>
        <w:t>（一）资金应到位及实际到位情况。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560" w:firstLineChars="200"/>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根据《</w:t>
      </w:r>
      <w:r>
        <w:rPr>
          <w:rFonts w:hint="eastAsia" w:ascii="仿宋" w:hAnsi="仿宋" w:eastAsia="仿宋" w:cs="仿宋"/>
          <w:spacing w:val="0"/>
          <w:kern w:val="2"/>
          <w:sz w:val="28"/>
          <w:szCs w:val="28"/>
          <w:lang w:val="en-US" w:eastAsia="zh-CN" w:bidi="ar-SA"/>
        </w:rPr>
        <w:t>邵阳市本级2022年保障性安居工程专项债卷邵阳市北塔区2022年城镇老旧小区改造项目预期收益与融资平衡方案</w:t>
      </w:r>
      <w:r>
        <w:rPr>
          <w:rFonts w:hint="eastAsia" w:ascii="仿宋" w:hAnsi="仿宋" w:eastAsia="仿宋" w:cs="仿宋"/>
          <w:spacing w:val="0"/>
          <w:sz w:val="28"/>
          <w:szCs w:val="28"/>
          <w:lang w:val="en-US" w:eastAsia="zh-CN"/>
        </w:rPr>
        <w:t>》中项目投资分年计划表，2022年应到位资金12000万元，其中政府专项债券8000万元，财政统筹</w:t>
      </w:r>
      <w:r>
        <w:rPr>
          <w:rFonts w:hint="eastAsia" w:ascii="仿宋" w:hAnsi="仿宋" w:eastAsia="仿宋" w:cs="仿宋"/>
          <w:spacing w:val="0"/>
          <w:sz w:val="28"/>
          <w:szCs w:val="28"/>
          <w:highlight w:val="none"/>
          <w:lang w:val="en-US" w:eastAsia="zh-CN"/>
        </w:rPr>
        <w:t>3089</w:t>
      </w:r>
      <w:r>
        <w:rPr>
          <w:rFonts w:hint="eastAsia" w:ascii="仿宋" w:hAnsi="仿宋" w:eastAsia="仿宋" w:cs="仿宋"/>
          <w:spacing w:val="0"/>
          <w:sz w:val="28"/>
          <w:szCs w:val="28"/>
          <w:lang w:val="en-US" w:eastAsia="zh-CN"/>
        </w:rPr>
        <w:t>万元。2022年政府专项债实际发行8000万元，实际到位8000万元。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（二）资金实际使用情况。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left="0" w:leftChars="0" w:right="0" w:rightChars="0" w:firstLine="560" w:firstLineChars="200"/>
        <w:textAlignment w:val="auto"/>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2022年项目使用政府专项债资金6830.2446万元。具体使用如下：金额（万元）</w:t>
      </w:r>
    </w:p>
    <w:p>
      <w:pPr>
        <w:keepNext w:val="0"/>
        <w:keepLines w:val="0"/>
        <w:pageBreakBefore w:val="0"/>
        <w:kinsoku/>
        <w:wordWrap/>
        <w:overflowPunct/>
        <w:topLinePunct w:val="0"/>
        <w:bidi w:val="0"/>
        <w:spacing w:beforeAutospacing="0" w:afterAutospacing="0" w:line="540" w:lineRule="exact"/>
        <w:ind w:left="0" w:leftChars="0" w:right="0" w:rightChars="0" w:firstLine="468" w:firstLineChars="200"/>
        <w:jc w:val="center"/>
        <w:rPr>
          <w:rFonts w:hint="eastAsia" w:ascii="仿宋" w:hAnsi="仿宋" w:eastAsia="仿宋" w:cs="仿宋"/>
          <w:spacing w:val="-23"/>
          <w:sz w:val="28"/>
          <w:szCs w:val="28"/>
        </w:rPr>
      </w:pPr>
      <w:r>
        <w:rPr>
          <w:rFonts w:hint="eastAsia" w:ascii="仿宋" w:hAnsi="仿宋" w:eastAsia="仿宋" w:cs="仿宋"/>
          <w:spacing w:val="-23"/>
          <w:sz w:val="28"/>
          <w:szCs w:val="28"/>
        </w:rPr>
        <w:t>202</w:t>
      </w:r>
      <w:r>
        <w:rPr>
          <w:rFonts w:hint="eastAsia" w:ascii="仿宋" w:hAnsi="仿宋" w:eastAsia="仿宋" w:cs="仿宋"/>
          <w:spacing w:val="-23"/>
          <w:sz w:val="28"/>
          <w:szCs w:val="28"/>
          <w:lang w:val="en-US" w:eastAsia="zh-CN"/>
        </w:rPr>
        <w:t>2</w:t>
      </w:r>
      <w:r>
        <w:rPr>
          <w:rFonts w:hint="eastAsia" w:ascii="仿宋" w:hAnsi="仿宋" w:eastAsia="仿宋" w:cs="仿宋"/>
          <w:spacing w:val="-23"/>
          <w:sz w:val="28"/>
          <w:szCs w:val="28"/>
        </w:rPr>
        <w:t>年项目专项债使用情况表</w:t>
      </w:r>
    </w:p>
    <w:tbl>
      <w:tblPr>
        <w:tblStyle w:val="10"/>
        <w:tblW w:w="8725" w:type="dxa"/>
        <w:jc w:val="center"/>
        <w:shd w:val="clear" w:color="auto" w:fill="FFFFFF"/>
        <w:tblLayout w:type="autofit"/>
        <w:tblCellMar>
          <w:top w:w="15" w:type="dxa"/>
          <w:left w:w="15" w:type="dxa"/>
          <w:bottom w:w="15" w:type="dxa"/>
          <w:right w:w="15" w:type="dxa"/>
        </w:tblCellMar>
      </w:tblPr>
      <w:tblGrid>
        <w:gridCol w:w="1962"/>
        <w:gridCol w:w="1494"/>
        <w:gridCol w:w="5269"/>
      </w:tblGrid>
      <w:tr>
        <w:tblPrEx>
          <w:shd w:val="clear" w:color="auto" w:fill="FFFFFF"/>
          <w:tblCellMar>
            <w:top w:w="15" w:type="dxa"/>
            <w:left w:w="15" w:type="dxa"/>
            <w:bottom w:w="15" w:type="dxa"/>
            <w:right w:w="15" w:type="dxa"/>
          </w:tblCellMar>
        </w:tblPrEx>
        <w:trPr>
          <w:trHeight w:val="540" w:hRule="atLeast"/>
          <w:jc w:val="center"/>
        </w:trPr>
        <w:tc>
          <w:tcPr>
            <w:tcW w:w="1962"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494"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金额</w:t>
            </w:r>
          </w:p>
        </w:tc>
        <w:tc>
          <w:tcPr>
            <w:tcW w:w="5269" w:type="dxa"/>
            <w:tcBorders>
              <w:top w:val="single" w:color="000000" w:sz="6" w:space="0"/>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rPr>
            </w:pPr>
            <w:r>
              <w:rPr>
                <w:rFonts w:hint="eastAsia" w:ascii="宋体" w:hAnsi="宋体" w:eastAsia="宋体" w:cs="宋体"/>
                <w:b/>
                <w:bCs/>
                <w:sz w:val="21"/>
                <w:szCs w:val="21"/>
              </w:rPr>
              <w:t>支付内容</w:t>
            </w:r>
          </w:p>
        </w:tc>
      </w:tr>
      <w:tr>
        <w:tblPrEx>
          <w:shd w:val="clear" w:color="auto" w:fill="FFFFFF"/>
          <w:tblCellMar>
            <w:top w:w="15" w:type="dxa"/>
            <w:left w:w="15" w:type="dxa"/>
            <w:bottom w:w="15" w:type="dxa"/>
            <w:right w:w="15" w:type="dxa"/>
          </w:tblCellMar>
        </w:tblPrEx>
        <w:trPr>
          <w:trHeight w:val="698" w:hRule="atLeast"/>
          <w:jc w:val="center"/>
        </w:trPr>
        <w:tc>
          <w:tcPr>
            <w:tcW w:w="1962"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支付工程进度款</w:t>
            </w:r>
          </w:p>
        </w:tc>
        <w:tc>
          <w:tcPr>
            <w:tcW w:w="1494"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6830.2446</w:t>
            </w:r>
          </w:p>
        </w:tc>
        <w:tc>
          <w:tcPr>
            <w:tcW w:w="5269" w:type="dxa"/>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sz w:val="21"/>
                <w:szCs w:val="21"/>
              </w:rPr>
              <w:t>工程进度款</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（三）资金管理情况</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为进一步规范和加强城镇老旧居住小区整治改造专项资金管理，保障城镇老旧居住小区整治改造专项资金管理，保障城镇老旧居住小区整治改造项目的顺利实施，根据有关法律、法规和文件，邵阳市北塔区住房和城乡建设局制定《关于城镇老旧小区改造专项资金的管理办法》。一是能够严格按照上级要求提供报送申请中央资金材料，数据报送及时，真实准确。二是资金分配区财政能做到中央资金专款专用，及时将资金拔付到项目建设单位。三是资金使用，严格按照财经纪律，根据项目建设进度，依规依程序拔付。四是资金管理。建立了预算执行.绩效监控机制，做好地方配套资金预算，根据项目进度及时拔付到位。</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三、项目管理情况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（一）建设期项目施工组织管理</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区委、区政府为推进老旧小区改造工作，专门成立了项目建设领导小组，按照市、区既定的时间节点狠抓工作落实，上半年我区组织相关办事处、社区对全区的老旧小区进行摸排，建立全区老旧小区改造项目库，老旧小区改造各项工作按计划圆满完成相关工作任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（二）项目管理措施</w:t>
      </w:r>
    </w:p>
    <w:p>
      <w:pPr>
        <w:pStyle w:val="5"/>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在项目建设管理中，严格执行国家建设资金管理、工程招投标制和工程监理制等规定，并接受国家、地方有关部门的监督、审计、稽查。该项目属于区重点建设项目，项目实施严格按照《北塔区重点项目管理办法（试行）》执行。保证项目工作规范化、正规化，顺利完成项目建设任务。</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四、债务信息报送与公开情况</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本年度发行政府专项债券8000.00万元未严格按照国务院《地方政府债务信息公开办法》相关规定，在</w:t>
      </w:r>
      <w:r>
        <w:rPr>
          <w:rFonts w:hint="eastAsia" w:ascii="仿宋" w:hAnsi="仿宋" w:eastAsia="仿宋" w:cs="仿宋"/>
          <w:spacing w:val="0"/>
          <w:kern w:val="2"/>
          <w:sz w:val="28"/>
          <w:szCs w:val="28"/>
          <w:highlight w:val="none"/>
          <w:lang w:val="en-US" w:eastAsia="zh-CN" w:bidi="ar-SA"/>
        </w:rPr>
        <w:t>专项债券信息网上</w:t>
      </w:r>
      <w:r>
        <w:rPr>
          <w:rFonts w:hint="eastAsia" w:ascii="仿宋" w:hAnsi="仿宋" w:eastAsia="仿宋" w:cs="仿宋"/>
          <w:spacing w:val="0"/>
          <w:kern w:val="2"/>
          <w:sz w:val="28"/>
          <w:szCs w:val="28"/>
          <w:lang w:val="en-US" w:eastAsia="zh-CN" w:bidi="ar-SA"/>
        </w:rPr>
        <w:t>公开。</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五、债务风险控制情况</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1、本项目严格按照项目建设内容和项目总投资要求进行施工设计，严格控制项目成本，确保不产生项目资金筹措计划以外的项目债务。</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2、本项目按照《地方政府专项债券资金管理办法》对项目资金现金流进行动态监控，确保项目收入及时足额的缴入国库，纳入政府性基金预算管理。</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3、为确保按时还本付息，本项目根据《地方政府专项债务预算管理办法》的规定，专项债务收支按照对应的政府性基金收入，专项收入实现收支平衡。本项目偿债资金来源为运营收入，预计用于融资平衡的相关收益为18016.42万元，项目收益与融资能实现自求平衡，不能还本付息的风险较小。</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六、项目资金绩效情况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（一）项目决策情况</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加快地方政府专项债券发行使用有关工作的通知》（财预〔2020〕94号）中提到，专项债券资金重点用于国务院常务会议确定的交通基础设施、能源项目、农林水利、生态环保项目、民生服务、冷链物流设施、市政和产业园区基础设施等七大领域。本项目属于民生服务项目，属于专项债券支持的领域。</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邵阳市北塔区2022年城镇老旧小区改造项目已经通过邵阳市北塔区发展和改革局可研性研究报告的批复（邵北发改字[2022]7号），项目属于民生服务项目，符合专项债券支持领域和方向情况，不属于专项债券项目负面清单的范围。已取得湖南金州律师事务所编制的《关于邵阳市2022年保障性安居工程专项债卷邵阳市北塔区2022年城镇老旧小区改造项目之法律意见书》、湖南和瑞会计师事务所(普通合伙)编制的《邵阳市北塔区2022年城镇老旧小区改造项目预期收益与融资平衡专项评价报告》、编制了预期收益与融资平衡方案，并设置了项目绩效目标，专项债券额度申请与实际需要匹配。</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（二）项目过程情况</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项目实施单位已制定北塔区住房城乡建设局关于城镇老旧小区改造专项资金的管理办法；项目管理制度参照邵阳市北塔区人民政府办公室关于印发《北塔区政府投资项目管理办法》的通知执行。资金做到了专款专用；项目建设手续完备；一案两书、可行性研究报告、建设工程规划许可证、建筑工程施工许可证、施工图审查合格书等资料齐全并；工程开工以来未发生重大质量及安全事故。</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（三）项目产出情况</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改造项目建设设定目标为2022年内完工，截止2022年12月，15个老旧小区已完成验收，目</w:t>
      </w:r>
      <w:r>
        <w:rPr>
          <w:rFonts w:hint="eastAsia" w:ascii="仿宋" w:hAnsi="仿宋" w:eastAsia="仿宋" w:cs="仿宋"/>
          <w:spacing w:val="0"/>
          <w:kern w:val="2"/>
          <w:sz w:val="28"/>
          <w:szCs w:val="28"/>
          <w:highlight w:val="none"/>
          <w:lang w:val="en-US" w:eastAsia="zh-CN" w:bidi="ar-SA"/>
        </w:rPr>
        <w:t>前还未结算</w:t>
      </w:r>
      <w:r>
        <w:rPr>
          <w:rFonts w:hint="eastAsia" w:ascii="仿宋" w:hAnsi="仿宋" w:eastAsia="仿宋" w:cs="仿宋"/>
          <w:spacing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（四）项目效益情况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1、社会效益</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老旧小区改造的核心目的有两个，一是可实现稳投资， 二是解决供给侧有效需求尚未得到满足的问题、拉动消费。老旧小区改造有助于拉动投资，改造内容既包含房地产发投资，也包含市政基建投资，另外相关原材料和设备类的需求增加也将带动制造业需求提升。目前当地仍有大量的居民需求没有得到充分满足，包括停车场、健身用房和供热、供电、 照明设施等，实施老旧小区改造之后，通过完善设施可以增加这些服务的供给，因此进行老旧小区改造，对供给侧结构性改革有积极的促进作用。</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老旧小区改造，在增加GDP的同时，提升了社会存量的质量，增加了社会财富存量。与老旧小区拆迁不同，对老旧小区的拆迁虽然通过拆和建增加当期的GDP，但是，不仅拆迁过程形成巨大的社会资源浪费，而且减少社会财富的存量。 历年积累的社会总财富随着经济增长而递减。而老旧小区改造不需要大拆大建，不仅以节约社会资源的方式提升了老旧小区的质量和价值，改善了居民的生活质量，让曾经风光无限的老旧小区多层住宅重新焕发生机，而且老旧小区的改造在增加当期GDP的同时，增加了社会财富的存量，解决了经济增长重增量轻存量的现象，使得历年积累的社会财富随着经济增长而递增。项目的实施也有助于缓解经济下行压力， 形成新的经济增长点，实地区经济稳定增长。</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项目的建设上下关联度高，带动力强，是拉动内需的重要力量。可促进行业（如钢材、水泥、电梯设备等）的发展。 通过相关行业的发展，可极大提高行业工作人员的收入水平， 对地方经济的发展也将起到很好的拉动作用。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2、经济效益</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老旧小区的“脏乱差”面貌与当前新建小区的干净、整洁的环境相比存在着较大的差距，严重影响着居民的生活。同样作为这个城市的建设者和城市的一份子，生活环境的差异势必会造成心态的不平等。以城市建设的力量，通过改造老旧小区，达到美化和提高居民的生活环境质量的目的，通过小区风貌整治，改变了环境中的脏、乱、差等现象，而且还通过查漏补缺的手段，完善对城市居民生活产生影响的一些设施。这些更换内容有力地提高了城市居民的生活质量。项目有利于増强群众获得感、幸福感和安全感，推进和谐社会建设社会效益显著。</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项目建成后，能极大改善该片区的居住环境，提高当地居民的生活水平和生活质量，促进和谐社会建设。同时，在项目建成以后，当地经营环境将得到显著改善，将吸引新的投资，提供更多的创业机会和就业机会，促进当地的就业与再就业，为当地居民提供更多的收入来源，增加当地居民的收入，有效提升居民生活质量。</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七、存在的问题及原因分析</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（一）部分合同签订不严谨</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部分合同签订不严谨。经查看北塔区住建局提供的资料，发现有少许施工合同中未明确开工日期、交工日期以及合同签订时间。</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（二）施工工期超过合同约定总工期</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施工工期超过合同约定总工期。经绩效评价小组现场查看资料，发现北塔区住建局与湖南勤业建筑工程有限公司签订的《第五片区（灯饰小区、新华书店小区、农商银行江北家属区）改造配套基础设施建设项目施工合同》中约定本工程工期为85日历天，自2022年6月29日起，至2022年9月22日止。但根据竣工验收证书上开工日期为2022年7月1日，交工日期为2022年12月1日，总历天153日。因此施工总工期超过约定总工期68日。</w:t>
      </w:r>
      <w:r>
        <w:rPr>
          <w:rFonts w:hint="eastAsia" w:ascii="仿宋" w:hAnsi="仿宋" w:eastAsia="仿宋" w:cs="仿宋"/>
          <w:spacing w:val="0"/>
          <w:kern w:val="2"/>
          <w:sz w:val="28"/>
          <w:szCs w:val="28"/>
          <w:lang w:val="en-US" w:eastAsia="zh-CN" w:bidi="ar-SA"/>
        </w:rPr>
        <w:br w:type="textWrapping"/>
      </w:r>
      <w:r>
        <w:rPr>
          <w:rFonts w:hint="eastAsia" w:ascii="仿宋" w:hAnsi="仿宋" w:eastAsia="仿宋" w:cs="仿宋"/>
          <w:spacing w:val="0"/>
          <w:kern w:val="2"/>
          <w:sz w:val="28"/>
          <w:szCs w:val="28"/>
          <w:lang w:val="en-US" w:eastAsia="zh-CN" w:bidi="ar-SA"/>
        </w:rPr>
        <w:t xml:space="preserve">   北塔区住建局与湖南运腾建筑工程有限公司签订的《第三片区（丝绸厂小区、老毛纺厂小区）改造配套基础设施建设项目施工合同》中约定本工程工期为85日历天，自2022年7月15日起，至2022年10月10日止。但根据竣工验收证书上开工日期为2022年7月16日，交工日期为2022年12月1日，总历天140日。因此施工总工期超过约定总工期55日。后经了解当时因当地居民之间存在矛盾，导致扫尾工作一直被延迟，实际主体工程交工日期在合同日期内。</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（三）项目长时间未结算</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项目长时间未结算。经现场查看住建局提供的资料发现，北塔区2022年城镇老旧小区改造项目均在2023年1月20日前完成竣工验收，但截至评价日均还未进行结算。后经了解施工方一直未送资料至住建局，导致项目未能及时结算。</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（四）资金支付审批过程不够严谨</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资金支付审批过程不够严谨。经评价小组现场查看资料，发现少许工程款进度审批表中未注明申请时间、付款方式、付款类型以及付款依据。</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（五）未按文件要求在专项债卷信息网上公开</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未按文件要求在专项债卷信息网上公开，2022年度发行政府专项债卷8000万元未完全按照国务院《地方政府债务信息公开办法》相关规定，在专项债卷信息网上公开。</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（六）绩效自评工作有待加强</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经现场评价发现，单位基本按照要求对邵阳市北塔区2022年城镇老旧小区改造项目开展了绩效自评工作，但绩效自评报告质量不高，项目概况以及项目组织实施情况绩效情况描述不具体。绩效目标欠细化、量化，指标设计不具体且评分未体现指标评价情况及得分依据。</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cs="宋体"/>
          <w:b/>
          <w:bCs/>
          <w:sz w:val="28"/>
          <w:szCs w:val="28"/>
          <w:lang w:val="en-US" w:eastAsia="zh-CN"/>
        </w:rPr>
        <w:t>八、</w:t>
      </w:r>
      <w:r>
        <w:rPr>
          <w:rFonts w:hint="eastAsia" w:ascii="宋体" w:hAnsi="宋体" w:eastAsia="宋体" w:cs="宋体"/>
          <w:b/>
          <w:bCs/>
          <w:sz w:val="28"/>
          <w:szCs w:val="28"/>
        </w:rPr>
        <w:t>有关建议</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（一）加强项目合同管理</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建议项目单位建立健全合同管理制度，严格按照制定的合同管理制度进行合同管理。合同签订前对签约方的主体资格、资信情况及履约能力进行了调查，合同文本拟定时要完善合同各项要素，关注主要条款是否齐备，如合同中标的、合同金额、履职期限、订立日期、违约责任、解决争议的办法等事项。合同拟好后建议提交给具有资质的律师审核后出具专业意见，再进行单位内部审批流程。保证合同完整、合法，预防合同纠纷，提高依法经营管理水平，防范风险，保障项目单位合法权益。</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（二）加强审批审核流程管理</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严格按照项目管理制度的相关要求，规范审批手续的流程，按要求签字盖章并填写准确的日期时间，所涉及到的附件都一一整理好，明确应该支付或扣款的每笔资金情况，做好内部审批的工作，确保资金的收付流向的完整、准确、及时。</w:t>
      </w:r>
    </w:p>
    <w:p>
      <w:pPr>
        <w:pStyle w:val="4"/>
        <w:keepNext w:val="0"/>
        <w:keepLines w:val="0"/>
        <w:pageBreakBefore w:val="0"/>
        <w:numPr>
          <w:ilvl w:val="0"/>
          <w:numId w:val="0"/>
        </w:numPr>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（三）加强项目实施过程的管理</w:t>
      </w:r>
    </w:p>
    <w:p>
      <w:pPr>
        <w:pStyle w:val="4"/>
        <w:keepNext w:val="0"/>
        <w:keepLines w:val="0"/>
        <w:pageBreakBefore w:val="0"/>
        <w:numPr>
          <w:ilvl w:val="0"/>
          <w:numId w:val="0"/>
        </w:numPr>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 xml:space="preserve">  建议单位应加强对工程进度、工程质量、拨付款手续、项目资料完善的监管，对拖延工期，影响进度的原因进行分析，加强对工程的巡查，发现问题及时整改，及时上报，按制定的批复计划和相关文件要求在规定时间内高效完成工程项目。</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2" w:firstLineChars="200"/>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（四）加强绩效自评工作，完善绩效目标</w:t>
      </w:r>
    </w:p>
    <w:p>
      <w:pPr>
        <w:pStyle w:val="4"/>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加强绩效自评工作，落实单位绩效评价主体责任，认真开展本单位绩效自评工作。根据资金管理使用情况与项目组织实施情况，对照项目 绩效目标，分析存在的问题，提出合理的整改建议，认真组织开展整改，确保绩效自评报告格式规范，数据全面、真实、准确、问题全面、意见具体、可行。进一步完善绩效目标，将项目绩效目标细化分解为具体绩效指标，设置能清晰，可衡量的指标予以体现。</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九、其他需要说明的问题</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一、</w:t>
      </w:r>
      <w:r>
        <w:rPr>
          <w:rFonts w:hint="eastAsia" w:ascii="仿宋" w:hAnsi="仿宋" w:eastAsia="仿宋" w:cs="仿宋"/>
          <w:sz w:val="28"/>
          <w:szCs w:val="28"/>
          <w:lang w:eastAsia="zh-CN"/>
        </w:rPr>
        <w:t>老旧小区改造既是民生工程也是发展工程，对于稳投资具有重要作用，是多赢之举</w:t>
      </w:r>
      <w:r>
        <w:rPr>
          <w:rFonts w:hint="eastAsia" w:ascii="仿宋" w:hAnsi="仿宋" w:eastAsia="仿宋" w:cs="仿宋"/>
          <w:spacing w:val="0"/>
          <w:kern w:val="2"/>
          <w:sz w:val="28"/>
          <w:szCs w:val="28"/>
          <w:lang w:val="en-US" w:eastAsia="zh-CN" w:bidi="ar-SA"/>
        </w:rPr>
        <w:t>，因此在项目完工后做好项目完工验收结算的监管，保障项目的顺利实施。</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二、加强对项目实施情况的监控，并统筹协调相关部门做好项目完工后的运营情况，如期实现专项收入等后续工作。</w:t>
      </w:r>
    </w:p>
    <w:p>
      <w:pPr>
        <w:keepNext w:val="0"/>
        <w:keepLines w:val="0"/>
        <w:pageBreakBefore w:val="0"/>
        <w:widowControl w:val="0"/>
        <w:shd w:val="clear" w:color="auto" w:fill="auto"/>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rPr>
        <w:t>十、</w:t>
      </w:r>
      <w:r>
        <w:rPr>
          <w:rFonts w:hint="eastAsia" w:ascii="宋体" w:hAnsi="宋体" w:eastAsia="宋体" w:cs="宋体"/>
          <w:b/>
          <w:bCs/>
          <w:sz w:val="28"/>
          <w:szCs w:val="28"/>
          <w:lang w:val="en-US" w:eastAsia="zh-CN"/>
        </w:rPr>
        <w:t>评价结论和绩效分析</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1、评价结果</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通过数据采集、问卷调查及访谈，对邵阳市北塔区2022年城镇老旧小区改造项目进行客观评价，最终评分结果为91分，绩效评级为“优”。邵阳市北塔区2022年城镇老旧小区改造项目绩效评价指标体系分为共性指标和个性指标，共性指标包括决策和过程，设定分值为50分，其中决策指标设定15分，过程指标设定35分。个性指标设定分值为50分，其中产出指标20分，效益指标30分。具体评分情况如下：</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562" w:firstLineChars="200"/>
        <w:textAlignment w:val="auto"/>
        <w:rPr>
          <w:rFonts w:hint="eastAsia" w:ascii="仿宋" w:hAnsi="仿宋" w:eastAsia="仿宋" w:cs="仿宋"/>
          <w:b/>
          <w:bCs/>
          <w:spacing w:val="0"/>
          <w:sz w:val="28"/>
          <w:szCs w:val="28"/>
          <w:lang w:val="en-US" w:eastAsia="zh-CN"/>
        </w:rPr>
      </w:pPr>
      <w:r>
        <w:rPr>
          <w:rFonts w:hint="eastAsia" w:ascii="仿宋" w:hAnsi="仿宋" w:eastAsia="仿宋" w:cs="仿宋"/>
          <w:b/>
          <w:bCs/>
          <w:spacing w:val="0"/>
          <w:sz w:val="28"/>
          <w:szCs w:val="28"/>
          <w:lang w:val="en-US" w:eastAsia="zh-CN"/>
        </w:rPr>
        <w:t>1、共性指标-决策和过程评价</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共性指标50分，实际得分41分，扣9分，其中决策评价扣2分，过程评价扣7分，具体扣分情况如下：</w:t>
      </w:r>
    </w:p>
    <w:p>
      <w:pPr>
        <w:pStyle w:val="13"/>
        <w:keepNext w:val="0"/>
        <w:keepLines w:val="0"/>
        <w:pageBreakBefore w:val="0"/>
        <w:kinsoku/>
        <w:wordWrap/>
        <w:overflowPunct/>
        <w:topLinePunct w:val="0"/>
        <w:bidi w:val="0"/>
        <w:adjustRightInd w:val="0"/>
        <w:snapToGrid w:val="0"/>
        <w:spacing w:beforeAutospacing="0" w:afterAutospacing="0" w:line="540" w:lineRule="exact"/>
        <w:ind w:right="0" w:rightChars="0" w:firstLine="280" w:firstLineChars="100"/>
        <w:jc w:val="both"/>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 xml:space="preserve"> 项目决策总分15分，实际得分13分，扣2分。扣分明细为绩效指标不够细化、量化，扣2分。项目过程总分35分，实际得分28分，扣7分。扣分明细为：2022年政府专项债实际发行8000万元，实际到位8000万元，2022年项目使用政府专项债资金6830.2446万元。预算执行率85%以上，扣3分；未对债券资金发行、存续、重大事项、调整用途等进行信息披露，扣1分；未制定相应的业务管理制度，扣1分；部分合同签订不严谨。经查看北塔区住建局提供的资料，发现有少许施工合同中未明确开工日期、交工日期以及合同签订时间。扣1分；单位基本按照要求对邵阳市北塔区2022年城镇老旧小区改造项目开展了绩效自评工作，但绩效自评报告质量不高，项目概况以及项目组织实施情况绩效情况描述不具体。绩效目标欠细化、量化，指标设计不具体且评分未体现指标评价情况及得分依据，扣1分。</w:t>
      </w:r>
    </w:p>
    <w:p>
      <w:pPr>
        <w:pStyle w:val="13"/>
        <w:keepNext w:val="0"/>
        <w:keepLines w:val="0"/>
        <w:pageBreakBefore w:val="0"/>
        <w:kinsoku/>
        <w:wordWrap/>
        <w:overflowPunct/>
        <w:topLinePunct w:val="0"/>
        <w:bidi w:val="0"/>
        <w:adjustRightInd w:val="0"/>
        <w:snapToGrid w:val="0"/>
        <w:spacing w:beforeAutospacing="0" w:afterAutospacing="0" w:line="540" w:lineRule="exact"/>
        <w:ind w:left="0" w:leftChars="0" w:right="0" w:rightChars="0" w:firstLine="562" w:firstLineChars="200"/>
        <w:jc w:val="both"/>
        <w:rPr>
          <w:rFonts w:hint="eastAsia" w:ascii="仿宋" w:hAnsi="仿宋" w:eastAsia="仿宋" w:cs="仿宋"/>
          <w:b/>
          <w:bCs/>
          <w:spacing w:val="0"/>
          <w:kern w:val="2"/>
          <w:sz w:val="28"/>
          <w:szCs w:val="28"/>
          <w:lang w:val="en-US" w:eastAsia="zh-CN" w:bidi="ar-SA"/>
        </w:rPr>
      </w:pPr>
      <w:r>
        <w:rPr>
          <w:rFonts w:hint="eastAsia" w:ascii="仿宋" w:hAnsi="仿宋" w:eastAsia="仿宋" w:cs="仿宋"/>
          <w:b/>
          <w:bCs/>
          <w:spacing w:val="0"/>
          <w:kern w:val="2"/>
          <w:sz w:val="28"/>
          <w:szCs w:val="28"/>
          <w:lang w:val="en-US" w:eastAsia="zh-CN" w:bidi="ar-SA"/>
        </w:rPr>
        <w:t>2、个性指标-预算支出产出和效益评价</w:t>
      </w:r>
    </w:p>
    <w:p>
      <w:pPr>
        <w:pStyle w:val="13"/>
        <w:keepNext w:val="0"/>
        <w:keepLines w:val="0"/>
        <w:pageBreakBefore w:val="0"/>
        <w:kinsoku/>
        <w:wordWrap/>
        <w:overflowPunct/>
        <w:topLinePunct w:val="0"/>
        <w:bidi w:val="0"/>
        <w:adjustRightInd w:val="0"/>
        <w:snapToGrid w:val="0"/>
        <w:spacing w:beforeAutospacing="0" w:afterAutospacing="0" w:line="540" w:lineRule="exact"/>
        <w:ind w:left="0" w:leftChars="0" w:right="0" w:rightChars="0" w:firstLine="560" w:firstLineChars="200"/>
        <w:jc w:val="both"/>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个性指标设定分值为50分，其中产出指标20分，包括数量、质量、成本和时效指标；效益指标30分，包括社会效益、经济效益、可持续影响、生态效益及目标群体满意度。个性指标评分情况如下：</w:t>
      </w:r>
    </w:p>
    <w:p>
      <w:pPr>
        <w:pStyle w:val="9"/>
        <w:keepNext w:val="0"/>
        <w:keepLines w:val="0"/>
        <w:pageBreakBefore w:val="0"/>
        <w:numPr>
          <w:ilvl w:val="0"/>
          <w:numId w:val="0"/>
        </w:numPr>
        <w:kinsoku/>
        <w:wordWrap/>
        <w:overflowPunct/>
        <w:topLinePunct w:val="0"/>
        <w:bidi w:val="0"/>
        <w:spacing w:before="0" w:beforeAutospacing="0" w:after="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 xml:space="preserve"> 个性指标总分50分，实际得分50分，无扣分情况。</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pacing w:val="0"/>
          <w:kern w:val="2"/>
          <w:sz w:val="28"/>
          <w:szCs w:val="28"/>
          <w:lang w:val="en-US" w:eastAsia="zh-CN" w:bidi="ar-SA"/>
        </w:rPr>
      </w:pPr>
      <w:r>
        <w:rPr>
          <w:rFonts w:hint="eastAsia" w:ascii="仿宋" w:hAnsi="仿宋" w:eastAsia="仿宋" w:cs="仿宋"/>
          <w:spacing w:val="0"/>
          <w:kern w:val="2"/>
          <w:sz w:val="28"/>
          <w:szCs w:val="28"/>
          <w:lang w:val="en-US" w:eastAsia="zh-CN" w:bidi="ar-SA"/>
        </w:rPr>
        <w:t>附件：邵阳市北塔区2022年城镇老旧小区改造项目绩效评价指标评分表</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rPr>
          <w:rFonts w:hint="eastAsia" w:ascii="仿宋" w:hAnsi="仿宋" w:eastAsia="仿宋" w:cs="仿宋"/>
          <w:sz w:val="28"/>
          <w:szCs w:val="28"/>
        </w:rPr>
      </w:pPr>
    </w:p>
    <w:p>
      <w:pPr>
        <w:shd w:val="clear" w:color="auto" w:fill="auto"/>
        <w:spacing w:line="560" w:lineRule="exact"/>
        <w:jc w:val="right"/>
        <w:rPr>
          <w:rFonts w:hint="eastAsia" w:ascii="仿宋" w:hAnsi="仿宋" w:eastAsia="仿宋" w:cs="仿宋"/>
          <w:b/>
          <w:bCs/>
          <w:sz w:val="28"/>
          <w:szCs w:val="28"/>
        </w:rPr>
      </w:pPr>
      <w:r>
        <w:rPr>
          <w:rFonts w:hint="eastAsia" w:ascii="仿宋" w:hAnsi="仿宋" w:eastAsia="仿宋" w:cs="仿宋"/>
          <w:b/>
          <w:bCs/>
          <w:sz w:val="28"/>
          <w:szCs w:val="28"/>
          <w:lang w:eastAsia="zh-CN"/>
        </w:rPr>
        <w:t>湖南骏新联合会计师事务所</w:t>
      </w:r>
      <w:r>
        <w:rPr>
          <w:rFonts w:hint="eastAsia" w:ascii="仿宋" w:hAnsi="仿宋" w:eastAsia="仿宋" w:cs="仿宋"/>
          <w:b/>
          <w:bCs/>
          <w:sz w:val="28"/>
          <w:szCs w:val="28"/>
        </w:rPr>
        <w:t>（普通合伙）</w:t>
      </w:r>
    </w:p>
    <w:p>
      <w:pPr>
        <w:shd w:val="clear" w:color="auto" w:fill="auto"/>
        <w:spacing w:line="560" w:lineRule="exact"/>
        <w:rPr>
          <w:rFonts w:hint="default"/>
          <w:lang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color w:val="000000"/>
          <w:sz w:val="28"/>
          <w:szCs w:val="28"/>
        </w:rPr>
        <w:t xml:space="preserve">                                  </w:t>
      </w:r>
      <w:r>
        <w:rPr>
          <w:rFonts w:hint="eastAsia" w:ascii="仿宋" w:hAnsi="仿宋" w:eastAsia="仿宋" w:cs="仿宋"/>
          <w:b/>
          <w:bCs/>
          <w:color w:val="000000"/>
          <w:sz w:val="28"/>
          <w:szCs w:val="28"/>
        </w:rPr>
        <w:t>二〇</w:t>
      </w:r>
      <w:r>
        <w:rPr>
          <w:rFonts w:hint="eastAsia" w:ascii="仿宋" w:hAnsi="仿宋" w:eastAsia="仿宋" w:cs="仿宋"/>
          <w:b/>
          <w:bCs/>
          <w:color w:val="000000"/>
          <w:sz w:val="28"/>
          <w:szCs w:val="28"/>
          <w:lang w:val="en-US" w:eastAsia="zh-CN"/>
        </w:rPr>
        <w:t>二</w:t>
      </w:r>
      <w:r>
        <w:rPr>
          <w:rFonts w:hint="eastAsia" w:cs="仿宋"/>
          <w:b/>
          <w:bCs/>
          <w:color w:val="000000"/>
          <w:sz w:val="28"/>
          <w:szCs w:val="28"/>
          <w:lang w:eastAsia="zh-CN"/>
        </w:rPr>
        <w:t>三</w:t>
      </w:r>
      <w:r>
        <w:rPr>
          <w:rFonts w:hint="eastAsia" w:ascii="仿宋" w:hAnsi="仿宋" w:eastAsia="仿宋" w:cs="仿宋"/>
          <w:b/>
          <w:bCs/>
          <w:color w:val="000000"/>
          <w:sz w:val="28"/>
          <w:szCs w:val="28"/>
        </w:rPr>
        <w:t>年</w:t>
      </w:r>
      <w:r>
        <w:rPr>
          <w:rFonts w:hint="eastAsia" w:cs="仿宋"/>
          <w:b/>
          <w:bCs/>
          <w:color w:val="000000"/>
          <w:sz w:val="28"/>
          <w:szCs w:val="28"/>
          <w:lang w:val="en-US" w:eastAsia="zh-CN"/>
        </w:rPr>
        <w:t>十一</w:t>
      </w:r>
      <w:r>
        <w:rPr>
          <w:rFonts w:hint="eastAsia" w:ascii="仿宋" w:hAnsi="仿宋" w:eastAsia="仿宋" w:cs="仿宋"/>
          <w:b/>
          <w:bCs/>
          <w:color w:val="000000"/>
          <w:sz w:val="28"/>
          <w:szCs w:val="28"/>
        </w:rPr>
        <w:t>月</w:t>
      </w:r>
      <w:r>
        <w:rPr>
          <w:rFonts w:hint="eastAsia" w:ascii="仿宋" w:hAnsi="仿宋" w:eastAsia="仿宋" w:cs="仿宋"/>
          <w:b/>
          <w:bCs/>
          <w:color w:val="000000"/>
          <w:sz w:val="28"/>
          <w:szCs w:val="28"/>
          <w:lang w:eastAsia="zh-CN"/>
        </w:rPr>
        <w:t>二十</w:t>
      </w:r>
      <w:r>
        <w:rPr>
          <w:rFonts w:hint="eastAsia" w:ascii="仿宋" w:hAnsi="仿宋" w:eastAsia="仿宋" w:cs="仿宋"/>
          <w:b/>
          <w:bCs/>
          <w:color w:val="000000"/>
          <w:sz w:val="28"/>
          <w:szCs w:val="28"/>
          <w:lang w:val="en-US" w:eastAsia="zh-CN"/>
        </w:rPr>
        <w:t>六</w:t>
      </w:r>
      <w:r>
        <w:rPr>
          <w:rFonts w:hint="eastAsia" w:ascii="仿宋" w:hAnsi="仿宋" w:eastAsia="仿宋" w:cs="仿宋"/>
          <w:b/>
          <w:bCs/>
          <w:color w:val="000000"/>
          <w:sz w:val="28"/>
          <w:szCs w:val="28"/>
        </w:rPr>
        <w:t>日</w:t>
      </w:r>
    </w:p>
    <w:p>
      <w:pPr>
        <w:keepNext w:val="0"/>
        <w:keepLines w:val="0"/>
        <w:pageBreakBefore w:val="0"/>
        <w:kinsoku/>
        <w:wordWrap/>
        <w:overflowPunct/>
        <w:topLinePunct w:val="0"/>
        <w:bidi w:val="0"/>
        <w:spacing w:beforeAutospacing="0" w:afterAutospacing="0" w:line="540" w:lineRule="exact"/>
        <w:ind w:left="0" w:leftChars="0" w:right="0" w:rightChars="0" w:firstLine="560" w:firstLineChars="200"/>
        <w:jc w:val="left"/>
        <w:rPr>
          <w:rFonts w:hint="eastAsia" w:ascii="仿宋" w:hAnsi="仿宋" w:eastAsia="仿宋" w:cs="仿宋"/>
          <w:kern w:val="0"/>
          <w:sz w:val="28"/>
          <w:szCs w:val="28"/>
        </w:rPr>
      </w:pPr>
    </w:p>
    <w:p>
      <w:pPr>
        <w:widowControl/>
        <w:spacing w:line="520" w:lineRule="exact"/>
        <w:jc w:val="center"/>
        <w:rPr>
          <w:rFonts w:hint="eastAsia" w:ascii="黑体" w:hAnsi="黑体" w:eastAsia="黑体" w:cs="仿宋"/>
          <w:spacing w:val="-10"/>
          <w:sz w:val="30"/>
          <w:szCs w:val="32"/>
          <w:lang w:eastAsia="zh-CN"/>
        </w:rPr>
      </w:pPr>
      <w:r>
        <w:rPr>
          <w:rFonts w:hint="eastAsia" w:ascii="黑体" w:hAnsi="黑体" w:eastAsia="黑体" w:cs="仿宋"/>
          <w:spacing w:val="-10"/>
          <w:sz w:val="30"/>
          <w:szCs w:val="32"/>
          <w:lang w:val="en-US" w:eastAsia="zh-CN"/>
        </w:rPr>
        <w:t>邵阳市</w:t>
      </w:r>
      <w:r>
        <w:rPr>
          <w:rFonts w:hint="eastAsia" w:ascii="黑体" w:hAnsi="黑体" w:eastAsia="黑体" w:cs="仿宋"/>
          <w:spacing w:val="-10"/>
          <w:sz w:val="30"/>
          <w:szCs w:val="32"/>
          <w:lang w:eastAsia="zh-CN"/>
        </w:rPr>
        <w:t>北塔区2022年城镇老旧小区改造</w:t>
      </w:r>
      <w:r>
        <w:rPr>
          <w:rFonts w:hint="eastAsia" w:ascii="黑体" w:hAnsi="黑体" w:eastAsia="黑体" w:cs="仿宋"/>
          <w:spacing w:val="-10"/>
          <w:sz w:val="30"/>
          <w:szCs w:val="32"/>
          <w:lang w:val="en-US" w:eastAsia="zh-CN"/>
        </w:rPr>
        <w:t>项目</w:t>
      </w:r>
      <w:r>
        <w:rPr>
          <w:rFonts w:hint="eastAsia" w:ascii="黑体" w:hAnsi="黑体" w:eastAsia="黑体" w:cs="仿宋"/>
          <w:spacing w:val="-10"/>
          <w:sz w:val="30"/>
          <w:szCs w:val="32"/>
          <w:lang w:eastAsia="zh-CN"/>
        </w:rPr>
        <w:t>绩效评价指标表</w:t>
      </w:r>
    </w:p>
    <w:tbl>
      <w:tblPr>
        <w:tblStyle w:val="10"/>
        <w:tblW w:w="15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055"/>
        <w:gridCol w:w="1222"/>
        <w:gridCol w:w="3045"/>
        <w:gridCol w:w="678"/>
        <w:gridCol w:w="4055"/>
        <w:gridCol w:w="3611"/>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1163"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一级指标</w:t>
            </w:r>
          </w:p>
        </w:tc>
        <w:tc>
          <w:tcPr>
            <w:tcW w:w="1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二级指标</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三级指标</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指标解释</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分数</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评价标准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得分依据</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163"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决策</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（15分）</w:t>
            </w:r>
          </w:p>
        </w:tc>
        <w:tc>
          <w:tcPr>
            <w:tcW w:w="1055"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项目立项</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（6分）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项目立项充分性</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项目立项是否符合法律法规、相关政策、发展规划以及部门职责</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①立项符合国家相关法律法规、国民经济发展规划和相关政策，得1分，否则不得分；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②立项符合行业发展规划和政策要求，得1分，否则不得分；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③立项与部门职责范围相符，属于部门履职所需，得1分，否则不得分。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①立项符合国家相关法律法规、国民经济发展规划和相关政策；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②立项符合行业发展规划和政策要求；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③立项与部门职责范围相符，属于部门履职所需。</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立项程序规范性</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项目支出申请、设立过程是否符合相关要求</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①预算支出按照规定的程序申请设立，得1分，否则不得分；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②审批文件、材料符合相关要求，得1分，否则不得分；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③事前已经过必要的可行性研究、专家论证、风险评估、绩效评估、集体决策，得1分，否则不得分。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①预算支出按照规定的程序申请设立；</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②审批文件、材料符合相关要求；</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③事前已经过必要的可行性研究、专家论证、风险评估、绩效评估、集体决策。</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绩效目标</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（7分）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绩效目标合理性</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项目支出所设定的绩效目标是否依据充分，是否符合客观实际</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①预算支出有绩效目标，得1.5分，否则不得分；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②预算支出绩效目标与实际工作内容具有相关性，得1.5分，否则不得分。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①预算支出有绩效目标。</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②预算支出绩效目标与实际工作内容具有相关性。</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绩效指标明确性</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依据绩效目标设定的绩效指标是否清晰、细化、可衡量等</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①将预算支出绩效目标细化分解为具体的绩效指标，得2分，否则不得分；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②通过清晰、可衡量的指标值体现，得2分，否则不得分。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绩效指标不够细化，量化。扣2分。</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资金投入</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（2分）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预算编制科学性</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预算编制是否经过科学论证、有明确标准，资金额度与年度目标是否相适应</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①预算编制是否经过科学论证，是得1分，否则不得分；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②预算额度测算依据是否充分，是否按照标准编制，是得1分，否则不得分；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①预算编制是经过科学论证。</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②预算额度测算依据是充分，是按照标准编制。</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63"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过程</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br w:type="page"/>
            </w:r>
            <w:r>
              <w:rPr>
                <w:rFonts w:hint="eastAsia" w:ascii="宋体" w:hAnsi="宋体" w:eastAsia="宋体" w:cs="宋体"/>
                <w:b/>
                <w:bCs/>
                <w:kern w:val="0"/>
                <w:sz w:val="21"/>
                <w:szCs w:val="21"/>
                <w:lang w:val="en-US" w:eastAsia="zh-CN" w:bidi="ar"/>
              </w:rPr>
              <w:t>(35分）</w:t>
            </w:r>
          </w:p>
        </w:tc>
        <w:tc>
          <w:tcPr>
            <w:tcW w:w="1055"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资金管理</w:t>
            </w:r>
            <w:r>
              <w:rPr>
                <w:rFonts w:hint="eastAsia" w:ascii="宋体" w:hAnsi="宋体" w:eastAsia="宋体" w:cs="宋体"/>
                <w:b/>
                <w:bCs/>
                <w:kern w:val="0"/>
                <w:sz w:val="21"/>
                <w:szCs w:val="21"/>
                <w:lang w:val="en-US" w:eastAsia="zh-CN" w:bidi="ar"/>
              </w:rPr>
              <w:br w:type="page"/>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（19分）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资金到位率</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用以反映和考核资金落实情况对预算支出实施的总体保障程度=（实际到位数/预算数）×100%</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资金到位率90%以上，得3分；资金到位率80%以上，得2分；资金到位率70%以上，得1分；低于70%不得分。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2022年政府专项债实际发行8000万元，实际到位8000万元。资金到位率100%。</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预算执行率</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用以反映项目预算执行的进度预算执行率=（实际支出数/预算数）×100%</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预算执行率100%，得6分；预算执行率90%以上，得4分；预算执行率85%以上，得3分；预算执行率80%以上，得2分；预算执行率75%以上，得1分，低于75%不得分。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2022年政府专项债实际发行8000万元，实际到位8000万元，2022年项目使用政府专项债资金6830.2446万元。预算执行率85%以上。</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还本付息</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①是否准确编制了项目还本付息计划和落实还本付息资金情况；</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②按照转贷协议约定,及时缴纳项目应当承担的利息情况；</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③专项债券期限与项目建设运营期限是否匹配；</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④是否存在使用其他项目对应的项目收益错项偿还到期债券本息情况。</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①准确编制了项目还本付息计划和落实还本付息资金情况得1分，否则不得分；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②按照转贷协议约定,及时缴纳项目应当承担的利息得1分，否则不得分；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③专项债券期限与项目建设运营期限匹配得1分，否则不得分；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④存在使用其他项目对应的项目收益款项偿还到期债券本息现象，本项4分全扣。</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财政代为付息</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资金使用合规性</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是否存在资金挤占、挪用情况，重复申报、虚报冒领的情况</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①未进行专项核算，扣2分；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②存在截留、挤占、挪用、虚列支出等情况，扣2分；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③存在重复申报、虚报冒领的情况，扣2分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①已进行专项核算；</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②未存在截留、挤占、挪用、虚列支出等情况；</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③未存在重复申报、虚报冒领的情况；</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风险控制</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（5分）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风控机制及措施</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①是否建立了债务风险动态监测机制；</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②对识别到的风险是否建立了应对的防范措施；</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③是否建立了债务风险应对预案和社会稳定风险应对预案。</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①建立了债务风险动态监测机制得1分，否则不得分；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②对识别到的风险建立了应对的防范措施得1分，否则不得分；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③是否建立了债务风险应对预案和社会稳定风险应对预案得1分，否则不得分。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④发生过重大风险事件（重大债务违约事件、重大安全事故、重大违法违规事件等）、因债务引起的重大群体性事件等情况3分全扣不得分。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①建立了债务风险动态监测机制；</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②对识别到的风险建立了应对的防范措施；</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③是建立了债务风险应对预案和社会稳定风险应对预案。</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④未发生过重大风险事件（重大债务违约事件、重大安全事故、重大违法违规事件等）、因债务引起的重大群体性事件等情况。</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信息公开</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是否对债券资金发行、存续、重大事项、调整用途等进行信息披露</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对债券资金发行、存续、重大事项、调整用途等进行信息披露得1分，否则不得分。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未对债券资金发行、存续、重大事项、调整用途等进行信息披露，不得分。</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组织实施</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（11分）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管理制度健全性</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实施单位的财务和业务管理制度是否健全</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①制定相应的财务管理制度，得1分；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②制定相应的业务管理制度，得1分；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③制定的管理制度得到有效执行，得1分。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①未制定相应的业务管理制度，扣1分；</w:t>
            </w:r>
            <w:r>
              <w:rPr>
                <w:rFonts w:hint="eastAsia" w:ascii="宋体" w:hAnsi="宋体" w:eastAsia="宋体" w:cs="宋体"/>
                <w:kern w:val="0"/>
                <w:sz w:val="21"/>
                <w:szCs w:val="21"/>
                <w:lang w:val="en-US" w:eastAsia="zh-CN" w:bidi="ar"/>
              </w:rPr>
              <w:br w:type="textWrapping"/>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制度执行有效性</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预算支出实施是否符合相关业务管理规定</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①项目支出等资料齐全并及时归档，得1分；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②项目实施所需相关条件等落实到位，得0.5分；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③项目实施内容与申报一致，得0.5分。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①项目支出等资料齐全并及时归档；</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②项目实施所需相关条件等落实到位；</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③项目实施内容与申报一致。</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招标及</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政府采购管理</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①项目招标和政府采购的程序及手续是否合法合规；</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②合同签订及执行是否规范；</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③工程、设备、原材料等采购需求与项目实际需求是否吻合,是否存在重复或浪费现象。</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①项目招标和政府采购的程序及手续合法合规得1分，否则不得分；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②合同签订及执行规范得1分，否则不得分；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③工程、设备、原材料等采购需求与项目实际需求吻合得1分，存在重复或浪费现象不得分。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部分合同签订不严谨。经查看北塔区住建局提供的资料，发现有少许施工合同中未明确开工日期、交工日期以及合同签订时间。扣1分。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绩效自评情况</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实施单位是否按绩效管理的要求开展项目绩效自评</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①按要求开展绩效自评工作，得0.5分，否则不得分；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②绩效自评报告报送及时，得0.5分，否则不得分；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③绩效自评报告的综合评审等级，优得1分，良得0.5分，中得0.3分，差不得分；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④绩效自评报告是否完整，数据是否全面、真实、准确，绩效指标是否细化量化和科学合理，绩效自评反映的问题是否具体，意见是否可行，是得1分，否则不得分。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单位基本按照要求对邵阳市北塔区2022年城镇老旧小区改造项目开展了绩效自评工作，但绩效自评报告质量不高，项目概况以及项目组织实施情况绩效情况描述不具体。绩效目标欠细化、量化，指标设计不具体且评分未体现指标评价情况及得分依据。</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br w:type="textWrapping"/>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163"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产出</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（20分）</w:t>
            </w:r>
          </w:p>
        </w:tc>
        <w:tc>
          <w:tcPr>
            <w:tcW w:w="1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产出数量</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（6分）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绩效目标</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实际完成率</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项目实施的实际产出数量与计划产出数量的比率，用以反映和考核项目产出数量目标的实现程度</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实际完成率=（实际产出数量/计划产出数量）×100%。</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实际产出数量：一定时期（本年度或项目期）内项目实际产出的产品或提供的服务数量。</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计划产出数量：项目绩效目标确定的在一定时期（本年度或项目期）内计划产出的产品或提供的服务数量。</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实际完成率*权重分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实际完成率100%。</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产出质量</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（5分）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质量达标率</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项目完成的质量达标产出数与实际产出数的比率，用以反映和考核项目产出的质量状况</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质量达标率=（质量达标产出数量/计划完成产出数量）×100%。质量达标产出数：一定时期（本年度或项目期）内实际达到既定质量标准的产品或服务数量。</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既定质量标准是指项目实施单位设立绩效目标时依据计划标准、行业标准、历史标准或其他标准而设定的绩效指标值。</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质量达标率*权重分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质量达标率100%。</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产出时效</w:t>
            </w:r>
            <w:r>
              <w:rPr>
                <w:rFonts w:hint="eastAsia" w:ascii="宋体" w:hAnsi="宋体" w:eastAsia="宋体" w:cs="宋体"/>
                <w:b/>
                <w:bCs/>
                <w:kern w:val="0"/>
                <w:sz w:val="21"/>
                <w:szCs w:val="21"/>
                <w:lang w:val="en-US" w:eastAsia="zh-CN" w:bidi="ar"/>
              </w:rPr>
              <w:br w:type="textWrapping"/>
            </w:r>
            <w:r>
              <w:rPr>
                <w:rFonts w:hint="eastAsia" w:ascii="宋体" w:hAnsi="宋体" w:eastAsia="宋体" w:cs="宋体"/>
                <w:b/>
                <w:bCs/>
                <w:kern w:val="0"/>
                <w:sz w:val="21"/>
                <w:szCs w:val="21"/>
                <w:lang w:val="en-US" w:eastAsia="zh-CN" w:bidi="ar"/>
              </w:rPr>
              <w:t>（4分）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完成及时率</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按计划时限完成的项目个数与项目总数的比率，用以反映项目完成的及时程度</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完成及时率=计划时限内实际完成的项目数量/计划时限内应完成的项目数量×100%。</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完成及时率*权重分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完成及时率100%。</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产出成本</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（5分）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成本节约率</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完成预算支出计划工作目标的实际节约成本与计划成本的比率，用以反映和考核预算支出的成本节约程度。</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成本节约率（A）=[（计划成本-实际成本）/计划成本]×100%。（项目完成前提下，A大于等于0得满分，小于-5%的扣1分，小于-10%的扣2分，小于-15%的扣3分，小于-20%的扣4分，小于-20%以上或项目未完成得0分）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实际成本：预算支出实施单位如期、保质、保量完成既定工作目标实际所耗费的支出。</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计划成本：预算支出实施单位为完成工作</w:t>
            </w:r>
            <w:bookmarkStart w:id="0" w:name="_GoBack"/>
            <w:bookmarkEnd w:id="0"/>
            <w:r>
              <w:rPr>
                <w:rFonts w:hint="eastAsia" w:ascii="宋体" w:hAnsi="宋体" w:eastAsia="宋体" w:cs="宋体"/>
                <w:kern w:val="0"/>
                <w:sz w:val="21"/>
                <w:szCs w:val="21"/>
                <w:lang w:val="en-US" w:eastAsia="zh-CN" w:bidi="ar"/>
              </w:rPr>
              <w:t>目标计划安排的支出，一般以预算支出预算为参考。</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63"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效益</w:t>
            </w:r>
            <w:r>
              <w:rPr>
                <w:rFonts w:hint="eastAsia" w:ascii="宋体" w:hAnsi="宋体" w:eastAsia="宋体" w:cs="宋体"/>
                <w:b/>
                <w:bCs/>
                <w:kern w:val="0"/>
                <w:sz w:val="21"/>
                <w:szCs w:val="21"/>
                <w:lang w:val="en-US" w:eastAsia="zh-CN" w:bidi="ar"/>
              </w:rPr>
              <w:br w:type="page"/>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（30分）</w:t>
            </w:r>
          </w:p>
        </w:tc>
        <w:tc>
          <w:tcPr>
            <w:tcW w:w="1055" w:type="dxa"/>
            <w:vMerge w:val="restart"/>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实施效益</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（20分）</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社会效益</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项目实施对社会发展所带来的影响。</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对社会发展的影响，影响明显计5-4分，较明显计3-2分，有影响不明显计酌情给分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老旧小区群众居住水平得到改善。</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经济效益</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项目实施所带来的经济影响。</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对经济发展的影响，影响明显计5-4分，较明显计3-2分，有影响不明显计酌情给分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在项目建成以后，当地经营环境将得到显著改善，将吸引新的投资，提供更多的创业机会和就业机会。</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可持续影响</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项目实施所带来的可持续影响。</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项目具有可持续性影响，影响明显计5-4分，较明显计3-2分，有影响不明显计酌情给分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项目建成后，能极大改善该片区的居住环境，提高当地居民的生活水平和生活质量，促进和谐社会的建设。</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生态效益</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项目实施所带来的生态效益。</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产生的生态效益，影响明显计5-4分，较明显计3-2分，有影响不明显计酌情给分</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通过小区风貌整治，改变了环境中的脏、乱、差等现象，而且还通过查漏补缺的手段，完善对城市居民生活产生影响的一些设施。这些更换内容有力地提高了城市居民的生活质量。</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3" w:type="dxa"/>
            <w:vMerge w:val="continue"/>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目标群体</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满意度</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（10分）</w:t>
            </w: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实施政策</w:t>
            </w:r>
          </w:p>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满意程度</w:t>
            </w: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项目资源有效利用，社会公众或服务对象对项目实施效果的满意程度</w:t>
            </w: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10</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①满意度95%及以上，计10分；每下降一个百分点，扣一分，扣完为止</w:t>
            </w: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满意度达到95%以上。</w:t>
            </w: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63"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r>
              <w:rPr>
                <w:rFonts w:hint="eastAsia" w:ascii="宋体" w:hAnsi="宋体" w:eastAsia="宋体" w:cs="宋体"/>
                <w:b/>
                <w:bCs/>
                <w:kern w:val="0"/>
                <w:sz w:val="21"/>
                <w:szCs w:val="21"/>
                <w:lang w:val="en-US" w:eastAsia="zh-CN" w:bidi="ar"/>
              </w:rPr>
              <w:t>总计</w:t>
            </w:r>
          </w:p>
        </w:tc>
        <w:tc>
          <w:tcPr>
            <w:tcW w:w="1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1222"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b/>
                <w:bCs/>
                <w:kern w:val="0"/>
                <w:sz w:val="21"/>
                <w:szCs w:val="21"/>
                <w:lang w:val="en-US" w:eastAsia="zh-CN" w:bidi="ar"/>
              </w:rPr>
            </w:pPr>
          </w:p>
        </w:tc>
        <w:tc>
          <w:tcPr>
            <w:tcW w:w="304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tc>
        <w:tc>
          <w:tcPr>
            <w:tcW w:w="678"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100</w:t>
            </w:r>
          </w:p>
        </w:tc>
        <w:tc>
          <w:tcPr>
            <w:tcW w:w="405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tc>
        <w:tc>
          <w:tcPr>
            <w:tcW w:w="3611"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tc>
        <w:tc>
          <w:tcPr>
            <w:tcW w:w="685" w:type="dxa"/>
            <w:shd w:val="clear" w:color="auto" w:fill="auto"/>
            <w:vAlign w:val="center"/>
          </w:tcPr>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91</w:t>
            </w:r>
          </w:p>
        </w:tc>
      </w:tr>
    </w:tbl>
    <w:p>
      <w:pPr>
        <w:keepNext w:val="0"/>
        <w:keepLines w:val="0"/>
        <w:widowControl/>
        <w:suppressLineNumbers w:val="0"/>
        <w:autoSpaceDE w:val="0"/>
        <w:autoSpaceDN w:val="0"/>
        <w:spacing w:before="0" w:beforeAutospacing="0" w:after="0" w:afterAutospacing="0" w:line="360" w:lineRule="auto"/>
        <w:ind w:left="0" w:right="0"/>
        <w:jc w:val="center"/>
        <w:rPr>
          <w:rFonts w:hint="eastAsia" w:ascii="宋体" w:hAnsi="宋体" w:eastAsia="宋体" w:cs="宋体"/>
          <w:kern w:val="0"/>
          <w:sz w:val="21"/>
          <w:szCs w:val="21"/>
          <w:lang w:val="en-US" w:eastAsia="zh-CN" w:bidi="ar"/>
        </w:rPr>
      </w:pP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610B6DCC"/>
    <w:rsid w:val="00097F13"/>
    <w:rsid w:val="000C377F"/>
    <w:rsid w:val="01535C67"/>
    <w:rsid w:val="01E83402"/>
    <w:rsid w:val="0293417D"/>
    <w:rsid w:val="030E50F9"/>
    <w:rsid w:val="0482662A"/>
    <w:rsid w:val="050B2FD3"/>
    <w:rsid w:val="06EF3F0E"/>
    <w:rsid w:val="075B506C"/>
    <w:rsid w:val="07E15C2D"/>
    <w:rsid w:val="08796342"/>
    <w:rsid w:val="08AB105B"/>
    <w:rsid w:val="091363FD"/>
    <w:rsid w:val="0B35386F"/>
    <w:rsid w:val="0CCC270F"/>
    <w:rsid w:val="0D6F2B98"/>
    <w:rsid w:val="0DC719A9"/>
    <w:rsid w:val="0DFD2082"/>
    <w:rsid w:val="0EB67D00"/>
    <w:rsid w:val="0F654149"/>
    <w:rsid w:val="0F85474A"/>
    <w:rsid w:val="0FE41602"/>
    <w:rsid w:val="100454F9"/>
    <w:rsid w:val="108F0B64"/>
    <w:rsid w:val="11AA2732"/>
    <w:rsid w:val="11E360D3"/>
    <w:rsid w:val="14597781"/>
    <w:rsid w:val="14665D24"/>
    <w:rsid w:val="15EE2711"/>
    <w:rsid w:val="16375AAD"/>
    <w:rsid w:val="17147818"/>
    <w:rsid w:val="17892A31"/>
    <w:rsid w:val="178B0B76"/>
    <w:rsid w:val="18FE41D9"/>
    <w:rsid w:val="1BBE20D2"/>
    <w:rsid w:val="1BC83BA2"/>
    <w:rsid w:val="1CCC4B92"/>
    <w:rsid w:val="1CD714E1"/>
    <w:rsid w:val="20F44F9B"/>
    <w:rsid w:val="21751346"/>
    <w:rsid w:val="21E83F34"/>
    <w:rsid w:val="222A2658"/>
    <w:rsid w:val="2323790C"/>
    <w:rsid w:val="23BB50DA"/>
    <w:rsid w:val="28640516"/>
    <w:rsid w:val="2C130120"/>
    <w:rsid w:val="2CCD397D"/>
    <w:rsid w:val="2E3314CB"/>
    <w:rsid w:val="3061660D"/>
    <w:rsid w:val="32FC46DE"/>
    <w:rsid w:val="336F5E32"/>
    <w:rsid w:val="3521374C"/>
    <w:rsid w:val="360A4A2E"/>
    <w:rsid w:val="37091BF4"/>
    <w:rsid w:val="373813E5"/>
    <w:rsid w:val="37BF2675"/>
    <w:rsid w:val="37EF693C"/>
    <w:rsid w:val="3A214A7E"/>
    <w:rsid w:val="3B561D9F"/>
    <w:rsid w:val="3DD35999"/>
    <w:rsid w:val="3DE25E98"/>
    <w:rsid w:val="3E257370"/>
    <w:rsid w:val="3F31130E"/>
    <w:rsid w:val="3F3B0655"/>
    <w:rsid w:val="3FDC58F8"/>
    <w:rsid w:val="409F3FC1"/>
    <w:rsid w:val="42D06E00"/>
    <w:rsid w:val="4378475E"/>
    <w:rsid w:val="445742E0"/>
    <w:rsid w:val="445B0426"/>
    <w:rsid w:val="458C1D21"/>
    <w:rsid w:val="45F87E2E"/>
    <w:rsid w:val="47504CD8"/>
    <w:rsid w:val="47796FF3"/>
    <w:rsid w:val="48DE7B30"/>
    <w:rsid w:val="4922204C"/>
    <w:rsid w:val="49504E38"/>
    <w:rsid w:val="4B9828AB"/>
    <w:rsid w:val="4B984F82"/>
    <w:rsid w:val="4BFE3C67"/>
    <w:rsid w:val="4CE30D1F"/>
    <w:rsid w:val="4D3A32CE"/>
    <w:rsid w:val="50CD4459"/>
    <w:rsid w:val="51E563CE"/>
    <w:rsid w:val="52155CDC"/>
    <w:rsid w:val="53F13E45"/>
    <w:rsid w:val="54D95F29"/>
    <w:rsid w:val="571477E0"/>
    <w:rsid w:val="57B0726C"/>
    <w:rsid w:val="5848584A"/>
    <w:rsid w:val="59357F8C"/>
    <w:rsid w:val="597D4C6F"/>
    <w:rsid w:val="5AC47BAD"/>
    <w:rsid w:val="5BBD2A4D"/>
    <w:rsid w:val="5C8C20F5"/>
    <w:rsid w:val="5D9C70E0"/>
    <w:rsid w:val="5DF163AA"/>
    <w:rsid w:val="5FB962D5"/>
    <w:rsid w:val="5FC66BDB"/>
    <w:rsid w:val="60480F65"/>
    <w:rsid w:val="60D64C5E"/>
    <w:rsid w:val="60E33D00"/>
    <w:rsid w:val="610B6DCC"/>
    <w:rsid w:val="61CD60E7"/>
    <w:rsid w:val="62345CE4"/>
    <w:rsid w:val="62D4712F"/>
    <w:rsid w:val="63B15515"/>
    <w:rsid w:val="64D81691"/>
    <w:rsid w:val="65791E18"/>
    <w:rsid w:val="6692162D"/>
    <w:rsid w:val="67E55188"/>
    <w:rsid w:val="688F2E37"/>
    <w:rsid w:val="69CB17E3"/>
    <w:rsid w:val="69CC04A1"/>
    <w:rsid w:val="6A3663E0"/>
    <w:rsid w:val="6C633303"/>
    <w:rsid w:val="6D066A37"/>
    <w:rsid w:val="6F1B72B7"/>
    <w:rsid w:val="6F264402"/>
    <w:rsid w:val="700D2386"/>
    <w:rsid w:val="702E48B0"/>
    <w:rsid w:val="727428A6"/>
    <w:rsid w:val="74C34686"/>
    <w:rsid w:val="76B37ACA"/>
    <w:rsid w:val="77435747"/>
    <w:rsid w:val="777C18D7"/>
    <w:rsid w:val="77FC5BB2"/>
    <w:rsid w:val="792B58B8"/>
    <w:rsid w:val="7B2B0E61"/>
    <w:rsid w:val="7D31799A"/>
    <w:rsid w:val="7E44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4"/>
    <w:autoRedefine/>
    <w:qFormat/>
    <w:uiPriority w:val="9"/>
    <w:pPr>
      <w:keepNext/>
      <w:keepLines/>
      <w:spacing w:before="280" w:after="290" w:line="376" w:lineRule="auto"/>
      <w:outlineLvl w:val="3"/>
    </w:pPr>
    <w:rPr>
      <w:rFonts w:ascii="Cambria" w:hAnsi="Cambria"/>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customStyle="1" w:styleId="2">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styleId="4">
    <w:name w:val="Normal Indent"/>
    <w:basedOn w:val="1"/>
    <w:autoRedefine/>
    <w:unhideWhenUsed/>
    <w:qFormat/>
    <w:uiPriority w:val="0"/>
    <w:pPr>
      <w:adjustRightInd w:val="0"/>
      <w:spacing w:line="312" w:lineRule="atLeast"/>
      <w:ind w:firstLine="420" w:firstLineChars="0"/>
      <w:textAlignment w:val="baseline"/>
    </w:pPr>
    <w:rPr>
      <w:kern w:val="0"/>
      <w:sz w:val="21"/>
    </w:rPr>
  </w:style>
  <w:style w:type="paragraph" w:styleId="5">
    <w:name w:val="toa heading"/>
    <w:basedOn w:val="1"/>
    <w:next w:val="1"/>
    <w:autoRedefine/>
    <w:qFormat/>
    <w:uiPriority w:val="0"/>
    <w:rPr>
      <w:rFonts w:ascii="Arial" w:hAnsi="Arial" w:eastAsia="宋体" w:cs="Times New Roman"/>
      <w:sz w:val="24"/>
    </w:rPr>
  </w:style>
  <w:style w:type="paragraph" w:styleId="6">
    <w:name w:val="Body Text"/>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autoRedefine/>
    <w:qFormat/>
    <w:uiPriority w:val="0"/>
    <w:pPr>
      <w:ind w:firstLine="664"/>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autoRedefine/>
    <w:qFormat/>
    <w:uiPriority w:val="0"/>
    <w:pPr>
      <w:widowControl/>
    </w:pPr>
    <w:rPr>
      <w:rFonts w:hint="default"/>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4503</Words>
  <Characters>4895</Characters>
  <Lines>0</Lines>
  <Paragraphs>0</Paragraphs>
  <TotalTime>0</TotalTime>
  <ScaleCrop>false</ScaleCrop>
  <LinksUpToDate>false</LinksUpToDate>
  <CharactersWithSpaces>5075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2023-11-15T01:43:00Z</dcterms:created>
  <dc:creator>lxy</dc:creator>
  <cp:lastModifiedBy>小鲸怡</cp:lastModifiedBy>
  <dcterms:modified xsi:type="dcterms:W3CDTF">2023-12-18T07:35:24Z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309FEDC4D8F44A9684F72095E45F4B0C_13</vt:lpwstr>
  </property>
</Properties>
</file>