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邵阳市北塔区住房和城乡建设局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pStyle w:val="8"/>
      </w:pPr>
    </w:p>
    <w:p>
      <w:pPr>
        <w:pStyle w:val="8"/>
      </w:pPr>
    </w:p>
    <w:p>
      <w:pPr>
        <w:pStyle w:val="23"/>
        <w:rPr>
          <w:rFonts w:ascii="宋体" w:hAnsi="宋体" w:eastAsia="宋体" w:cs="宋体"/>
          <w:spacing w:val="-8"/>
          <w:sz w:val="43"/>
          <w:szCs w:val="43"/>
          <w14:textOutline w14:w="7810" w14:cap="flat" w14:cmpd="sng">
            <w14:solidFill>
              <w14:srgbClr w14:val="000000"/>
            </w14:solidFill>
            <w14:prstDash w14:val="solid"/>
            <w14:miter w14:val="0"/>
          </w14:textOutline>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both"/>
        <w:rPr>
          <w:rFonts w:ascii="仿宋" w:hAnsi="仿宋" w:eastAsia="仿宋"/>
          <w:b/>
          <w:bCs/>
          <w:sz w:val="32"/>
          <w:szCs w:val="32"/>
        </w:rPr>
      </w:pPr>
    </w:p>
    <w:p>
      <w:pPr>
        <w:pStyle w:val="24"/>
        <w:ind w:left="0" w:leftChars="0" w:firstLine="0" w:firstLineChars="0"/>
        <w:rPr>
          <w:rFonts w:hint="eastAsia" w:ascii="仿宋" w:hAnsi="仿宋" w:eastAsia="仿宋"/>
          <w:b/>
          <w:bCs/>
          <w:sz w:val="30"/>
          <w:szCs w:val="30"/>
        </w:rPr>
      </w:pPr>
      <w:bookmarkStart w:id="29" w:name="_GoBack"/>
      <w:bookmarkEnd w:id="29"/>
    </w:p>
    <w:p>
      <w:pPr>
        <w:pStyle w:val="24"/>
        <w:ind w:left="0" w:leftChars="0" w:firstLine="0" w:firstLineChars="0"/>
        <w:rPr>
          <w:rFonts w:hint="eastAsia" w:ascii="仿宋" w:hAnsi="仿宋" w:eastAsia="仿宋"/>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湖南财正会计师事务所</w:t>
      </w:r>
      <w:r>
        <w:rPr>
          <w:rFonts w:hint="eastAsia" w:ascii="仿宋" w:hAnsi="仿宋" w:eastAsia="仿宋" w:cs="仿宋"/>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360" w:lineRule="auto"/>
        <w:ind w:left="-57" w:right="84" w:rightChars="40"/>
        <w:jc w:val="center"/>
        <w:textAlignment w:val="auto"/>
        <w:outlineLvl w:val="9"/>
        <w:rPr>
          <w:rFonts w:hint="eastAsia" w:ascii="仿宋" w:hAnsi="仿宋" w:eastAsia="仿宋" w:cs="仿宋"/>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p>
    <w:sdt>
      <w:sdtPr>
        <w:rPr>
          <w:rFonts w:ascii="Times New Roman Regular" w:hAnsi="Times New Roman Regular" w:eastAsia="宋体" w:cs="Times New Roman Regular"/>
          <w:kern w:val="2"/>
          <w:sz w:val="21"/>
          <w:szCs w:val="24"/>
          <w:lang w:val="en-US" w:eastAsia="zh-CN" w:bidi="ar-SA"/>
        </w:rPr>
        <w:id w:val="147451260"/>
        <w15:color w:val="DBDBDB"/>
        <w:docPartObj>
          <w:docPartGallery w:val="Table of Contents"/>
          <w:docPartUnique/>
        </w:docPartObj>
      </w:sdtPr>
      <w:sdtEndPr>
        <w:rPr>
          <w:rFonts w:hint="default" w:ascii="Times New Roman Regular" w:hAnsi="Times New Roman Regular" w:eastAsia="仿宋" w:cs="Times New Roman Regular"/>
          <w:b/>
          <w:kern w:val="2"/>
          <w:sz w:val="31"/>
          <w:szCs w:val="31"/>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kern w:val="2"/>
              <w:sz w:val="21"/>
              <w:szCs w:val="31"/>
              <w:lang w:val="en-US" w:eastAsia="zh-CN" w:bidi="ar-SA"/>
            </w:rPr>
          </w:pPr>
          <w:r>
            <w:rPr>
              <w:rFonts w:hint="eastAsia" w:ascii="方正小标宋_GBK" w:hAnsi="方正小标宋_GBK" w:eastAsia="方正小标宋_GBK" w:cs="方正小标宋_GBK"/>
              <w:b w:val="0"/>
              <w:bCs w:val="0"/>
              <w:sz w:val="45"/>
              <w:szCs w:val="45"/>
            </w:rPr>
            <w:t>目</w:t>
          </w:r>
          <w:r>
            <w:rPr>
              <w:rFonts w:hint="eastAsia" w:ascii="方正小标宋_GBK" w:hAnsi="方正小标宋_GBK" w:eastAsia="方正小标宋_GBK" w:cs="方正小标宋_GBK"/>
              <w:b w:val="0"/>
              <w:bCs w:val="0"/>
              <w:sz w:val="45"/>
              <w:szCs w:val="45"/>
              <w:lang w:val="en-US" w:eastAsia="zh-CN"/>
            </w:rPr>
            <w:t xml:space="preserve"> </w:t>
          </w:r>
          <w:r>
            <w:rPr>
              <w:rFonts w:hint="eastAsia" w:ascii="方正小标宋_GBK" w:hAnsi="方正小标宋_GBK" w:eastAsia="方正小标宋_GBK" w:cs="方正小标宋_GBK"/>
              <w:b w:val="0"/>
              <w:bCs w:val="0"/>
              <w:sz w:val="45"/>
              <w:szCs w:val="45"/>
            </w:rPr>
            <w:t>录</w:t>
          </w:r>
          <w:r>
            <w:rPr>
              <w:rFonts w:hint="default" w:ascii="Times New Roman Regular" w:hAnsi="Times New Roman Regular" w:eastAsia="仿宋" w:cs="Times New Roman Regular"/>
              <w:sz w:val="31"/>
              <w:szCs w:val="31"/>
            </w:rPr>
            <w:fldChar w:fldCharType="begin"/>
          </w:r>
          <w:r>
            <w:rPr>
              <w:rFonts w:hint="default" w:ascii="Times New Roman Regular" w:hAnsi="Times New Roman Regular" w:eastAsia="仿宋" w:cs="Times New Roman Regular"/>
              <w:sz w:val="31"/>
              <w:szCs w:val="31"/>
            </w:rPr>
            <w:instrText xml:space="preserve">TOC \o "1-2" \h \u </w:instrText>
          </w:r>
          <w:r>
            <w:rPr>
              <w:rFonts w:hint="default" w:ascii="Times New Roman Regular" w:hAnsi="Times New Roman Regular" w:eastAsia="仿宋" w:cs="Times New Roman Regular"/>
              <w:sz w:val="31"/>
              <w:szCs w:val="31"/>
            </w:rPr>
            <w:fldChar w:fldCharType="separate"/>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_Toc3556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一、</w:t>
          </w:r>
          <w:r>
            <w:rPr>
              <w:rFonts w:hint="default" w:ascii="Times New Roman" w:hAnsi="Times New Roman" w:eastAsia="仿宋" w:cs="Times New Roman"/>
              <w:bCs/>
              <w:sz w:val="28"/>
              <w:szCs w:val="28"/>
              <w:lang w:val="en-US" w:eastAsia="zh-CN"/>
            </w:rPr>
            <w:t>单位基本情况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_Toc3556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_Toc11543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（一）部门概况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_Toc11543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_Toc29704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（二）主要职责</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_Toc29704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_Toc22921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（三）人员情况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_Toc22921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_Toc16953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二、部门整体收支情况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_Toc16953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_Toc9216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（一）资金收入情况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_Toc9216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_Toc13526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（二）资金使用情况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_Toc13526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3</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_Toc704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（三）资金管理情况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_Toc704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_Toc28399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三、第三方重点绩效评价工作情况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_Toc28399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_Toc25357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（一）重点绩效评价目的</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_Toc25357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_Toc27998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（二）重点绩效评价工作过程</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_Toc27998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6</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_Toc10330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四、部门整体支出绩效情况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_Toc10330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_Toc32711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highlight w:val="none"/>
              <w:lang w:val="en-US" w:eastAsia="zh-CN"/>
            </w:rPr>
            <w:t>（一）部门整体实际产出效益情况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_Toc32711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_Toc24016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highlight w:val="none"/>
              <w:lang w:val="en-US" w:eastAsia="zh-CN"/>
            </w:rPr>
            <w:t>（二）部门整体满意度</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_Toc24016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_Toc24187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highlight w:val="none"/>
              <w:lang w:val="en-US" w:eastAsia="zh-CN" w:bidi="ar-SA"/>
            </w:rPr>
            <w:t>五、综合评价情况及评价结论</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_Toc24187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_Toc29976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highlight w:val="none"/>
              <w:lang w:val="en-US" w:eastAsia="zh-CN" w:bidi="ar-SA"/>
            </w:rPr>
            <w:t>六、存在的主要问题</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_Toc29976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_Toc27795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highlight w:val="none"/>
              <w:lang w:val="en-US" w:eastAsia="zh-CN"/>
            </w:rPr>
            <w:t>（一）政府采购方面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_Toc27795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_Toc1180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（二）资产管理方面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_Toc1180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_Toc28606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（三）绩效目标设置方面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_Toc28606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_Toc5009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八、相关建议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_Toc5009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_Toc1423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（一）加强政府采购管理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_Toc1423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_Toc31843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（二）规范资产管理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_Toc31843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10</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4"/>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_Toc8300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w:t>
          </w:r>
          <w:r>
            <w:rPr>
              <w:rFonts w:hint="default" w:ascii="Times New Roman" w:hAnsi="Times New Roman" w:eastAsia="仿宋" w:cs="Times New Roman"/>
              <w:bCs/>
              <w:spacing w:val="0"/>
              <w:kern w:val="2"/>
              <w:sz w:val="28"/>
              <w:szCs w:val="28"/>
              <w:lang w:val="en-US" w:eastAsia="zh-CN" w:bidi="ar-SA"/>
            </w:rPr>
            <w:t>强化</w:t>
          </w:r>
          <w:r>
            <w:rPr>
              <w:rFonts w:hint="default" w:ascii="Times New Roman" w:hAnsi="Times New Roman" w:eastAsia="仿宋" w:cs="Times New Roman"/>
              <w:bCs/>
              <w:spacing w:val="0"/>
              <w:kern w:val="2"/>
              <w:sz w:val="28"/>
              <w:szCs w:val="28"/>
              <w:highlight w:val="none"/>
              <w:lang w:val="en-US" w:eastAsia="zh-CN" w:bidi="ar-SA"/>
            </w:rPr>
            <w:t>绩效目标</w:t>
          </w:r>
          <w:r>
            <w:rPr>
              <w:rFonts w:hint="default" w:ascii="Times New Roman" w:hAnsi="Times New Roman" w:eastAsia="仿宋" w:cs="Times New Roman"/>
              <w:bCs/>
              <w:spacing w:val="0"/>
              <w:kern w:val="2"/>
              <w:sz w:val="28"/>
              <w:szCs w:val="28"/>
              <w:lang w:val="en-US" w:eastAsia="zh-CN" w:bidi="ar-SA"/>
            </w:rPr>
            <w:t>建设</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_Toc8300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2"/>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_Toc7888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九、报告使用情况说明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_Toc7888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sz w:val="31"/>
              <w:szCs w:val="31"/>
            </w:rPr>
          </w:pPr>
          <w:r>
            <w:rPr>
              <w:rFonts w:hint="default" w:ascii="Times New Roman Regular" w:hAnsi="Times New Roman Regular" w:eastAsia="仿宋" w:cs="Times New Roman Regular"/>
              <w:szCs w:val="31"/>
            </w:rP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540" w:lineRule="exact"/>
        <w:jc w:val="both"/>
        <w:rPr>
          <w:rFonts w:ascii="黑体" w:hAnsi="黑体" w:eastAsia="黑体" w:cs="黑体"/>
          <w:kern w:val="0"/>
          <w:sz w:val="44"/>
          <w:szCs w:val="44"/>
        </w:rPr>
      </w:pPr>
      <w:r>
        <w:rPr>
          <w:sz w:val="72"/>
        </w:rPr>
        <mc:AlternateContent>
          <mc:Choice Requires="wpg">
            <w:drawing>
              <wp:anchor distT="0" distB="0" distL="114300" distR="114300" simplePos="0" relativeHeight="251661312" behindDoc="0" locked="0" layoutInCell="1" allowOverlap="1">
                <wp:simplePos x="0" y="0"/>
                <wp:positionH relativeFrom="column">
                  <wp:posOffset>-531495</wp:posOffset>
                </wp:positionH>
                <wp:positionV relativeFrom="paragraph">
                  <wp:posOffset>64135</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41.85pt;margin-top:5.05pt;height:106.95pt;width:501.8pt;z-index:251661312;mso-width-relative:page;mso-height-relative:page;" coordorigin="1452,1627" coordsize="10036,2139" o:gfxdata="UEsDBAoAAAAAAIdO4kAAAAAAAAAAAAAAAAAEAAAAZHJzL1BLAwQUAAAACACHTuJAQbYO0dsAAAAK&#10;AQAADwAAAGRycy9kb3ducmV2LnhtbE2Py07DMBBF90j8gzVI7FrbKY8mxKlQBawqJFokxG6aTJOo&#10;8TiK3aT9e8wKlqN7dO+ZfHW2nRhp8K1jA3quQBCXrmq5NvC5e50tQfiAXGHnmAxcyMOquL7KMavc&#10;xB80bkMtYgn7DA00IfSZlL5syKKfu544Zgc3WAzxHGpZDTjFctvJRKkHabHluNBgT+uGyuP2ZA28&#10;TTg9L/TLuDke1pfv3f3710aTMbc3Wj2BCHQOfzD86kd1KKLT3p248qIzMFsuHiMaA6VBRCDVaQpi&#10;byBJ7hTIIpf/Xyh+AFBLAwQUAAAACACHTuJAt5tl5foCAABfCAAADgAAAGRycy9lMm9Eb2MueG1s&#10;7ZbNbhMxEMfvSLyD5TvdzW52066aVKJpekFQqfAAjtf7Ie3alu1kkzsCjpw4ISG4IfEGiMdp+xqM&#10;vbtJWooIIG7kkPhzPP+fZzw5PlnVFVoypUvBx3hw4GPEOBVpyfMxfvF89ugQI20IT0klOBvjNdP4&#10;ZPLwwXEjExaIQlQpUwiMcJ00cowLY2TieZoWrCb6QEjGYTITqiYGuir3UkUasF5XXuD7sdcIlUol&#10;KNMaRqftJO4sqn0MiiwrKZsKuqgZN61VxSpiQJIuSqnxxHmbZYyaZ1mmmUHVGINS477hEGjP7bc3&#10;OSZJrogsStq5QPZx4Y6mmpQcDt2YmhJD0EKVP5iqS6qEFpk5oKL2WiGOCKgY+HfYnCuxkE5LnjS5&#10;3ECHi7pD/Y/N0qfLC4XKdIyHGHFSw4XffH159fYNGlo2jcwTWHKu5KW8UN1A3vas3FWmavsLQtDK&#10;UV1vqLKVQRQG43AUHMYAnMLcIIwOgzhqudMCLsfuGwyjACM7HQejfu6s2z/w/TBudweD8MhOe/3J&#10;nnVw408jIST1lpP+O06XBZHM4dcWQscp6jldv3t9/f7L9cdXyMmxh8MqywmZ1WNhZVlf7biGwXtw&#10;3SO7h7YjejAaxLdEk0Qqbc6ZqJFtjLGCMHfRR5ZPtGn59EvssVzMyqqCcZJUHDX2SiLfbdjMANGK&#10;A9itt7ZlVvNVJ2Eu0jUoW0hV5gWc6bS55UC8VfnP0UMUtCG6Re/I/An6kQ8BDxEX+kNngyQ9+qMg&#10;Cttwi+PgP3j7Nox68DcfPl99+4Rcju5Q/0WYx2Gb3eHId+m7wzrsH4bI2dwk9m/HuBZVmdowt1Gu&#10;VT4/rRRaEnj2ZzMfPt1F3lrWJkMQDWEaUQLFLIMiAs1agmjNc5cjt7bsadlm35ToovXAWbAOkARe&#10;dJ66VsFIesZTZNYSHl0OtRbb1KxZilHFoDTblltpSFnts/L+HO4Sl3BaCCh81CiM2s6paQvhz3La&#10;Pa5Qd9x729VIW9h2++7J2P4vmH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bYO0dsAAAAKAQAA&#10;DwAAAAAAAAABACAAAAAiAAAAZHJzL2Rvd25yZXYueG1sUEsBAhQAFAAAAAgAh07iQLebZeX6AgAA&#10;XwgAAA4AAAAAAAAAAQAgAAAAKgEAAGRycy9lMm9Eb2MueG1sUEsFBgAAAAAGAAYAWQEAAJYGAAAA&#10;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9"/>
        <w:rPr>
          <w:rFonts w:hint="eastAsia" w:ascii="方正小标宋_GBK" w:hAnsi="方正小标宋_GBK" w:eastAsia="方正小标宋_GBK" w:cs="方正小标宋_GBK"/>
          <w:bCs/>
          <w:sz w:val="44"/>
          <w:szCs w:val="44"/>
        </w:rPr>
      </w:pPr>
    </w:p>
    <w:p>
      <w:pPr>
        <w:spacing w:line="600" w:lineRule="exact"/>
        <w:jc w:val="center"/>
        <w:outlineLvl w:val="9"/>
        <w:rPr>
          <w:rFonts w:hint="eastAsia" w:ascii="方正小标宋_GBK" w:hAnsi="方正小标宋_GBK" w:eastAsia="方正小标宋_GBK" w:cs="方正小标宋_GBK"/>
          <w:bCs/>
          <w:sz w:val="44"/>
          <w:szCs w:val="44"/>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仿宋" w:cs="Times New Roman Regular"/>
          <w:b w:val="0"/>
          <w:bCs w:val="0"/>
          <w:sz w:val="33"/>
          <w:lang w:val="en-US" w:eastAsia="zh-CN"/>
        </w:rPr>
      </w:pPr>
      <w:r>
        <w:rPr>
          <w:rFonts w:hint="default" w:ascii="Times New Roman Regular" w:hAnsi="Times New Roman Regular" w:eastAsia="仿宋" w:cs="Times New Roman Regular"/>
          <w:b/>
          <w:bCs/>
          <w:sz w:val="33"/>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default" w:ascii="Times New Roman Regular" w:hAnsi="Times New Roman Regular" w:eastAsia="仿宋" w:cs="Times New Roman Regular"/>
          <w:b/>
          <w:bCs/>
          <w:sz w:val="33"/>
          <w:lang w:val="en-US" w:eastAsia="zh-CN"/>
        </w:rPr>
        <w:t>湘财正咨字</w:t>
      </w:r>
      <w:r>
        <w:rPr>
          <w:rFonts w:hint="default" w:ascii="Times New Roman Regular" w:hAnsi="Times New Roman Regular" w:eastAsia="仿宋" w:cs="Times New Roman Regular"/>
          <w:b w:val="0"/>
          <w:bCs w:val="0"/>
          <w:sz w:val="33"/>
          <w:lang w:val="en-US" w:eastAsia="zh-CN"/>
        </w:rPr>
        <w:t>[2023]</w:t>
      </w:r>
      <w:r>
        <w:rPr>
          <w:rFonts w:hint="default" w:ascii="Times New Roman Regular" w:hAnsi="Times New Roman Regular" w:eastAsia="仿宋" w:cs="Times New Roman Regular"/>
          <w:b/>
          <w:bCs/>
          <w:sz w:val="33"/>
          <w:lang w:val="en-US" w:eastAsia="zh-CN"/>
        </w:rPr>
        <w:t>第</w:t>
      </w:r>
      <w:r>
        <w:rPr>
          <w:rFonts w:hint="default" w:ascii="Times New Roman Regular" w:hAnsi="Times New Roman Regular" w:eastAsia="仿宋" w:cs="Times New Roman Regular"/>
          <w:b w:val="0"/>
          <w:bCs w:val="0"/>
          <w:color w:val="auto"/>
          <w:sz w:val="33"/>
          <w:lang w:val="en-US" w:eastAsia="zh-CN"/>
        </w:rPr>
        <w:t>0</w:t>
      </w:r>
      <w:r>
        <w:rPr>
          <w:rFonts w:hint="eastAsia" w:ascii="Times New Roman Regular" w:hAnsi="Times New Roman Regular" w:eastAsia="仿宋" w:cs="Times New Roman Regular"/>
          <w:b w:val="0"/>
          <w:bCs w:val="0"/>
          <w:color w:val="auto"/>
          <w:sz w:val="33"/>
          <w:lang w:val="en-US" w:eastAsia="zh-CN"/>
        </w:rPr>
        <w:t>81</w:t>
      </w:r>
      <w:r>
        <w:rPr>
          <w:rFonts w:hint="default" w:ascii="Times New Roman Regular" w:hAnsi="Times New Roman Regular" w:eastAsia="仿宋" w:cs="Times New Roman Regular"/>
          <w:b/>
          <w:bCs/>
          <w:sz w:val="33"/>
          <w:lang w:val="en-US" w:eastAsia="zh-CN"/>
        </w:rPr>
        <w:t>号</w:t>
      </w:r>
    </w:p>
    <w:p>
      <w:pPr>
        <w:jc w:val="center"/>
        <w:rPr>
          <w:rFonts w:hint="default" w:ascii="Times New Roman Regular" w:hAnsi="Times New Roman Regular" w:eastAsia="仿宋" w:cs="Times New Roman Regular"/>
          <w:sz w:val="33"/>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Regular" w:hAnsi="Times New Roman Regular" w:eastAsia="方正小标宋简体" w:cs="Times New Roman Regular"/>
          <w:b w:val="0"/>
          <w:bCs w:val="0"/>
          <w:sz w:val="40"/>
          <w:szCs w:val="40"/>
          <w:lang w:val="en-US" w:eastAsia="zh-CN"/>
        </w:rPr>
      </w:pPr>
      <w:r>
        <w:rPr>
          <w:rFonts w:hint="eastAsia" w:ascii="Times New Roman Regular" w:hAnsi="Times New Roman Regular" w:eastAsia="方正小标宋简体" w:cs="Times New Roman Regular"/>
          <w:b w:val="0"/>
          <w:bCs w:val="0"/>
          <w:sz w:val="40"/>
          <w:szCs w:val="40"/>
          <w:lang w:val="en-US" w:eastAsia="zh-CN"/>
        </w:rPr>
        <w:t>邵阳市北塔区住房和城乡建设局</w:t>
      </w:r>
    </w:p>
    <w:p>
      <w:pPr>
        <w:jc w:val="center"/>
        <w:rPr>
          <w:rFonts w:hint="default" w:ascii="Times New Roman Regular" w:hAnsi="Times New Roman Regular" w:eastAsia="宋体" w:cs="Times New Roman Regular"/>
          <w:b w:val="0"/>
          <w:bCs w:val="0"/>
          <w:sz w:val="40"/>
          <w:szCs w:val="40"/>
          <w:lang w:val="en-US" w:eastAsia="zh-CN"/>
        </w:rPr>
      </w:pPr>
      <w:r>
        <w:rPr>
          <w:rFonts w:hint="default" w:ascii="Times New Roman Regular" w:hAnsi="Times New Roman Regular" w:eastAsia="方正小标宋简体" w:cs="Times New Roman Regular"/>
          <w:b w:val="0"/>
          <w:bCs w:val="0"/>
          <w:sz w:val="40"/>
          <w:szCs w:val="40"/>
          <w:lang w:val="en-US" w:eastAsia="zh-CN"/>
        </w:rPr>
        <w:t>2022年度部门整体支出绩效评价报告</w:t>
      </w:r>
    </w:p>
    <w:p>
      <w:pPr>
        <w:jc w:val="center"/>
        <w:rPr>
          <w:rFonts w:hint="default" w:ascii="Times New Roman Regular" w:hAnsi="Times New Roman Regular" w:eastAsia="宋体" w:cs="Times New Roman Regular"/>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eastAsia" w:ascii="Times New Roman" w:hAnsi="Times New Roman" w:eastAsia="仿宋" w:cs="Times New Roman"/>
          <w:b w:val="0"/>
          <w:bCs w:val="0"/>
          <w:sz w:val="32"/>
          <w:szCs w:val="32"/>
          <w:lang w:val="en-US" w:eastAsia="zh-CN"/>
        </w:rPr>
        <w:t>、</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w:hAnsi="Times New Roman" w:eastAsia="仿宋" w:cs="Times New Roman"/>
          <w:b w:val="0"/>
          <w:bCs w:val="0"/>
          <w:sz w:val="32"/>
          <w:szCs w:val="32"/>
          <w:lang w:val="en-US" w:eastAsia="zh-CN"/>
        </w:rPr>
        <w:t>等精神及相关工作要求，受</w:t>
      </w:r>
      <w:r>
        <w:rPr>
          <w:rFonts w:hint="eastAsia" w:ascii="Times New Roman" w:hAnsi="Times New Roman" w:eastAsia="仿宋" w:cs="Times New Roman"/>
          <w:b w:val="0"/>
          <w:bCs w:val="0"/>
          <w:sz w:val="32"/>
          <w:szCs w:val="32"/>
          <w:lang w:val="en-US" w:eastAsia="zh-CN"/>
        </w:rPr>
        <w:t>邵阳市北塔区</w:t>
      </w:r>
      <w:r>
        <w:rPr>
          <w:rFonts w:hint="default" w:ascii="Times New Roman" w:hAnsi="Times New Roman" w:eastAsia="仿宋" w:cs="Times New Roman"/>
          <w:b w:val="0"/>
          <w:bCs w:val="0"/>
          <w:sz w:val="32"/>
          <w:szCs w:val="32"/>
          <w:lang w:val="en-US" w:eastAsia="zh-CN"/>
        </w:rPr>
        <w:t>财政局委托，湖南财正会计师事务所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以下简称</w:t>
      </w:r>
      <w:r>
        <w:rPr>
          <w:rFonts w:hint="eastAsia" w:ascii="仿宋" w:hAnsi="仿宋" w:eastAsia="仿宋" w:cs="仿宋"/>
          <w:b w:val="0"/>
          <w:bCs w:val="0"/>
          <w:sz w:val="32"/>
          <w:szCs w:val="32"/>
          <w:lang w:val="en-US" w:eastAsia="zh-CN"/>
        </w:rPr>
        <w:t>“我所”</w:t>
      </w:r>
      <w:r>
        <w:rPr>
          <w:rFonts w:hint="eastAsia" w:ascii="Times New Roman" w:hAnsi="Times New Roman" w:eastAsia="仿宋" w:cs="Times New Roman"/>
          <w:b w:val="0"/>
          <w:bCs w:val="0"/>
          <w:sz w:val="32"/>
          <w:szCs w:val="32"/>
          <w:lang w:val="en-US" w:eastAsia="zh-CN"/>
        </w:rPr>
        <w:t>）</w:t>
      </w:r>
      <w:r>
        <w:rPr>
          <w:rFonts w:hint="default" w:ascii="仿宋_GB2312" w:hAnsi="仿宋_GB2312" w:eastAsia="仿宋_GB2312" w:cs="仿宋_GB2312"/>
          <w:sz w:val="32"/>
          <w:szCs w:val="32"/>
          <w:lang w:val="en-US" w:eastAsia="zh-CN"/>
        </w:rPr>
        <w:t>对</w:t>
      </w:r>
      <w:r>
        <w:rPr>
          <w:rFonts w:hint="eastAsia" w:ascii="Times New Roman" w:hAnsi="Times New Roman" w:eastAsia="仿宋" w:cs="Times New Roman"/>
          <w:b w:val="0"/>
          <w:bCs w:val="0"/>
          <w:sz w:val="32"/>
          <w:szCs w:val="32"/>
          <w:lang w:val="en-US" w:eastAsia="zh-CN"/>
        </w:rPr>
        <w:t>邵阳市北塔区住房和城乡建</w:t>
      </w:r>
      <w:r>
        <w:rPr>
          <w:rFonts w:hint="default" w:ascii="Times New Roman" w:hAnsi="Times New Roman" w:eastAsia="仿宋" w:cs="Times New Roman"/>
          <w:b w:val="0"/>
          <w:bCs w:val="0"/>
          <w:sz w:val="32"/>
          <w:szCs w:val="32"/>
          <w:lang w:val="en-US" w:eastAsia="zh-CN"/>
        </w:rPr>
        <w:t>设局</w:t>
      </w:r>
      <w:r>
        <w:rPr>
          <w:rFonts w:hint="default" w:ascii="Times New Roman" w:hAnsi="Times New Roman" w:eastAsia="仿宋_GB2312" w:cs="Times New Roman"/>
          <w:sz w:val="32"/>
          <w:szCs w:val="32"/>
          <w:lang w:val="en-US" w:eastAsia="zh-CN"/>
        </w:rPr>
        <w:t>2022年度部门</w:t>
      </w:r>
      <w:r>
        <w:rPr>
          <w:rFonts w:hint="default" w:ascii="Times New Roman" w:hAnsi="Times New Roman" w:eastAsia="仿宋" w:cs="Times New Roman"/>
          <w:b w:val="0"/>
          <w:bCs w:val="0"/>
          <w:sz w:val="32"/>
          <w:szCs w:val="32"/>
          <w:lang w:val="en-US" w:eastAsia="zh-CN"/>
        </w:rPr>
        <w:t>整体支出开展了绩效评价。现将有关情况报告如下：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outlineLvl w:val="0"/>
        <w:rPr>
          <w:rFonts w:hint="default" w:ascii="Times New Roman" w:hAnsi="Times New Roman" w:eastAsia="仿宋" w:cs="Times New Roman"/>
          <w:b/>
          <w:bCs/>
          <w:kern w:val="2"/>
          <w:sz w:val="31"/>
          <w:szCs w:val="31"/>
          <w:lang w:val="en-US" w:eastAsia="zh-CN" w:bidi="ar-SA"/>
        </w:rPr>
        <w:sectPr>
          <w:footerReference r:id="rId3" w:type="default"/>
          <w:pgSz w:w="11906" w:h="16838"/>
          <w:pgMar w:top="1440" w:right="1757" w:bottom="1440"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sz w:val="32"/>
          <w:szCs w:val="32"/>
          <w:lang w:val="en-US" w:eastAsia="zh-CN"/>
        </w:rPr>
      </w:pPr>
      <w:bookmarkStart w:id="0" w:name="_Toc3556"/>
      <w:r>
        <w:rPr>
          <w:rFonts w:hint="default" w:ascii="Times New Roman Regular" w:hAnsi="Times New Roman Regular" w:eastAsia="黑体" w:cs="Times New Roman Regular"/>
          <w:b/>
          <w:bCs/>
          <w:kern w:val="2"/>
          <w:sz w:val="32"/>
          <w:szCs w:val="32"/>
          <w:lang w:val="en-US" w:eastAsia="zh-CN" w:bidi="ar-SA"/>
        </w:rPr>
        <w:t>一、</w:t>
      </w:r>
      <w:r>
        <w:rPr>
          <w:rFonts w:hint="default" w:ascii="Times New Roman Regular" w:hAnsi="Times New Roman Regular" w:eastAsia="黑体" w:cs="Times New Roman Regular"/>
          <w:b/>
          <w:bCs/>
          <w:sz w:val="32"/>
          <w:szCs w:val="32"/>
          <w:lang w:val="en-US" w:eastAsia="zh-CN"/>
        </w:rPr>
        <w:t>单位基本情况</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 w:name="_Toc11543"/>
      <w:r>
        <w:rPr>
          <w:rFonts w:hint="default" w:ascii="Times New Roman Regular" w:hAnsi="Times New Roman Regular" w:eastAsia="楷体" w:cs="Times New Roman Regular"/>
          <w:b/>
          <w:bCs/>
          <w:sz w:val="32"/>
          <w:szCs w:val="32"/>
          <w:lang w:val="en-US" w:eastAsia="zh-CN"/>
        </w:rPr>
        <w:t>（一）部门概况</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w:hAnsi="Times New Roman" w:eastAsia="仿宋" w:cs="Times New Roman"/>
          <w:b w:val="0"/>
          <w:bCs w:val="0"/>
          <w:sz w:val="32"/>
          <w:szCs w:val="32"/>
          <w:lang w:val="en-US"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属全额拨款行政单位，</w:t>
      </w:r>
      <w:r>
        <w:rPr>
          <w:rFonts w:hint="eastAsia" w:ascii="Times New Roman Regular" w:hAnsi="Times New Roman Regular" w:eastAsia="仿宋" w:cs="Times New Roman Regular"/>
          <w:b w:val="0"/>
          <w:bCs w:val="0"/>
          <w:sz w:val="32"/>
          <w:szCs w:val="32"/>
          <w:lang w:val="en-US" w:eastAsia="zh-CN"/>
        </w:rPr>
        <w:t>内设有</w:t>
      </w:r>
      <w:r>
        <w:rPr>
          <w:rFonts w:hint="default" w:ascii="Times New Roman" w:hAnsi="Times New Roman" w:eastAsia="仿宋" w:cs="Times New Roman"/>
          <w:b w:val="0"/>
          <w:bCs w:val="0"/>
          <w:sz w:val="32"/>
          <w:szCs w:val="32"/>
          <w:lang w:val="en-US" w:eastAsia="zh-CN"/>
        </w:rPr>
        <w:t>办公室、工程建设股（加挂行政审批服务股牌子）、城乡建设股、工程监管股（加挂违法违章建筑建设管理办公室牌子）、人防综合股、人防工程维护和工程质量监督管理股</w:t>
      </w:r>
      <w:r>
        <w:rPr>
          <w:rFonts w:hint="eastAsia" w:ascii="Times New Roman Regular" w:hAnsi="Times New Roman Regular" w:eastAsia="仿宋" w:cs="Times New Roman Regular"/>
          <w:b w:val="0"/>
          <w:bCs w:val="0"/>
          <w:sz w:val="32"/>
          <w:szCs w:val="32"/>
          <w:lang w:val="en-US" w:eastAsia="zh-CN"/>
        </w:rPr>
        <w:t>及一个二级机构（北塔区建设工程安全和质量监督站）</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 w:name="_Toc29704"/>
      <w:r>
        <w:rPr>
          <w:rFonts w:hint="default" w:ascii="Times New Roman Regular" w:hAnsi="Times New Roman Regular" w:eastAsia="楷体" w:cs="Times New Roman Regular"/>
          <w:b/>
          <w:bCs/>
          <w:sz w:val="32"/>
          <w:szCs w:val="32"/>
          <w:lang w:val="en-US" w:eastAsia="zh-CN"/>
        </w:rPr>
        <w:t>（二）主要职责</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w:hAnsi="Times New Roman" w:eastAsia="仿宋" w:cs="Times New Roman"/>
          <w:b w:val="0"/>
          <w:bCs w:val="0"/>
          <w:sz w:val="32"/>
          <w:szCs w:val="32"/>
          <w:lang w:val="en-US"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主要职能职责是</w:t>
      </w:r>
      <w:r>
        <w:rPr>
          <w:rFonts w:hint="eastAsia" w:ascii="Times New Roman Regular" w:hAnsi="Times New Roman Regular" w:eastAsia="仿宋" w:cs="Times New Roman Regular"/>
          <w:b w:val="0"/>
          <w:bCs w:val="0"/>
          <w:sz w:val="32"/>
          <w:szCs w:val="32"/>
          <w:lang w:val="en-US" w:eastAsia="zh-CN"/>
        </w:rPr>
        <w:t>宣传、贯彻和执行国家、省、市、区关于住房和城乡建设事业的方针、政策和法规，拟订全区住房和城乡建设相关行业发展战略、中长期规划、年度计划及政策和规章制度并监督执行；综合管理城市建设和城建监察工作；研究提出新城发展规划，参与编制新城发展计划，负责城区基础设施建设管理，指导集镇扩建管理工作；负责全区住房制度政策规定、改革方案的拟定和实施，全区住房保障规划的制度和落实，经济适用房和廉租住房的建设和管理；负责管理全区建筑市场（包括建筑劳务市场、勘察设计市场、房地产市场、招投标市场和施工现场等），负责全区建筑施工监督管理和查处建筑市场违法违规行为，组织建设工程质量事故和安全事故的调查处理，参与重点工程建设管理；负责区内的各类建设项目的报建审批，代理颁发全市统一编号的《中标通知书》和《建设施工许可证》；依法依规归集应用于住房和城乡建设的各类资金，具体负责城乡建设项目资金计划、管理和使用；加强和推进建筑节能，负责和指导全区规划、建设和管理工作；负责城市标志性建筑的保护工作；研究制订全区建设行业教育的发展规划、人才培养规划，负责建设职工队伍培训和继续教育；完成区委、区政府交办的其他工作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 w:name="_Toc22921"/>
      <w:r>
        <w:rPr>
          <w:rFonts w:hint="default" w:ascii="Times New Roman Regular" w:hAnsi="Times New Roman Regular" w:eastAsia="楷体" w:cs="Times New Roman Regular"/>
          <w:b/>
          <w:bCs/>
          <w:sz w:val="32"/>
          <w:szCs w:val="32"/>
          <w:lang w:val="en-US" w:eastAsia="zh-CN"/>
        </w:rPr>
        <w:t>（三）人员情况</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楷体" w:cs="Times New Roman Regular"/>
          <w:b/>
          <w:bCs/>
          <w:color w:val="FF0000"/>
          <w:sz w:val="32"/>
          <w:szCs w:val="32"/>
          <w:highlight w:val="none"/>
          <w:lang w:val="en-US" w:eastAsia="zh-CN"/>
        </w:rPr>
      </w:pPr>
      <w:r>
        <w:rPr>
          <w:rFonts w:hint="eastAsia" w:ascii="Times New Roman Regular" w:hAnsi="Times New Roman Regular" w:eastAsia="仿宋" w:cs="Times New Roman Regular"/>
          <w:b w:val="0"/>
          <w:bCs w:val="0"/>
          <w:sz w:val="32"/>
          <w:szCs w:val="32"/>
          <w:highlight w:val="none"/>
          <w:lang w:val="en-US" w:eastAsia="zh-CN"/>
        </w:rPr>
        <w:t>邵阳市北塔区住房和城乡建设局实有人员18名。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楷体" w:cs="Times New Roman Regular"/>
          <w:b/>
          <w:bCs/>
          <w:sz w:val="32"/>
          <w:szCs w:val="32"/>
          <w:lang w:val="en-US" w:eastAsia="zh-CN"/>
        </w:rPr>
      </w:pPr>
      <w:bookmarkStart w:id="4" w:name="_Toc16953"/>
      <w:r>
        <w:rPr>
          <w:rFonts w:hint="default" w:ascii="Times New Roman Regular" w:hAnsi="Times New Roman Regular" w:eastAsia="黑体" w:cs="Times New Roman Regular"/>
          <w:b/>
          <w:bCs/>
          <w:kern w:val="2"/>
          <w:sz w:val="32"/>
          <w:szCs w:val="32"/>
          <w:lang w:val="en-US" w:eastAsia="zh-CN" w:bidi="ar-SA"/>
        </w:rPr>
        <w:t>二、部门整体收支情况</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 w:name="_Toc9216"/>
      <w:r>
        <w:rPr>
          <w:rFonts w:hint="default" w:ascii="Times New Roman Regular" w:hAnsi="Times New Roman Regular" w:eastAsia="楷体" w:cs="Times New Roman Regular"/>
          <w:b/>
          <w:bCs/>
          <w:sz w:val="32"/>
          <w:szCs w:val="32"/>
          <w:lang w:val="en-US" w:eastAsia="zh-CN"/>
        </w:rPr>
        <w:t>（一）资金收入情况</w:t>
      </w:r>
      <w:bookmarkEnd w:id="5"/>
    </w:p>
    <w:p>
      <w:pPr>
        <w:numPr>
          <w:ilvl w:val="0"/>
          <w:numId w:val="0"/>
        </w:numPr>
        <w:ind w:firstLine="640" w:firstLineChars="200"/>
        <w:jc w:val="both"/>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根据邵阳市北塔区住房和城乡建设局</w:t>
      </w:r>
      <w:r>
        <w:rPr>
          <w:rFonts w:hint="default" w:ascii="Times New Roman Regular" w:hAnsi="Times New Roman Regular" w:eastAsia="仿宋" w:cs="Times New Roman Regular"/>
          <w:b w:val="0"/>
          <w:bCs w:val="0"/>
          <w:sz w:val="32"/>
          <w:szCs w:val="32"/>
          <w:lang w:val="en-US" w:eastAsia="zh-CN"/>
        </w:rPr>
        <w:t>2022年度</w:t>
      </w:r>
      <w:r>
        <w:rPr>
          <w:rFonts w:hint="eastAsia" w:ascii="Times New Roman Regular" w:hAnsi="Times New Roman Regular" w:eastAsia="仿宋" w:cs="Times New Roman Regular"/>
          <w:b w:val="0"/>
          <w:bCs w:val="0"/>
          <w:sz w:val="32"/>
          <w:szCs w:val="32"/>
          <w:lang w:val="en-US" w:eastAsia="zh-CN"/>
        </w:rPr>
        <w:t>部门预算公开表和</w:t>
      </w:r>
      <w:r>
        <w:rPr>
          <w:rFonts w:hint="default" w:ascii="Times New Roman Regular" w:hAnsi="Times New Roman Regular" w:eastAsia="仿宋" w:cs="Times New Roman Regular"/>
          <w:b w:val="0"/>
          <w:bCs w:val="0"/>
          <w:sz w:val="32"/>
          <w:szCs w:val="32"/>
          <w:lang w:val="en-US" w:eastAsia="zh-CN"/>
        </w:rPr>
        <w:t>部门决算</w:t>
      </w:r>
      <w:r>
        <w:rPr>
          <w:rFonts w:hint="eastAsia" w:ascii="Times New Roman Regular" w:hAnsi="Times New Roman Regular" w:eastAsia="仿宋" w:cs="Times New Roman Regular"/>
          <w:b w:val="0"/>
          <w:bCs w:val="0"/>
          <w:sz w:val="32"/>
          <w:szCs w:val="32"/>
          <w:lang w:val="en-US" w:eastAsia="zh-CN"/>
        </w:rPr>
        <w:t>公开</w:t>
      </w:r>
      <w:r>
        <w:rPr>
          <w:rFonts w:hint="default" w:ascii="Times New Roman Regular" w:hAnsi="Times New Roman Regular" w:eastAsia="仿宋" w:cs="Times New Roman Regular"/>
          <w:b w:val="0"/>
          <w:bCs w:val="0"/>
          <w:sz w:val="32"/>
          <w:szCs w:val="32"/>
          <w:lang w:val="en-US" w:eastAsia="zh-CN"/>
        </w:rPr>
        <w:t>表，2022年</w:t>
      </w:r>
      <w:r>
        <w:rPr>
          <w:rFonts w:hint="default" w:ascii="Times New Roman Regular" w:hAnsi="Times New Roman Regular" w:eastAsia="仿宋" w:cs="Times New Roman Regular"/>
          <w:b w:val="0"/>
          <w:bCs w:val="0"/>
          <w:sz w:val="32"/>
          <w:szCs w:val="32"/>
          <w:lang w:eastAsia="zh-CN"/>
        </w:rPr>
        <w:t>年</w:t>
      </w:r>
      <w:r>
        <w:rPr>
          <w:rFonts w:hint="default" w:ascii="Times New Roman Regular" w:hAnsi="Times New Roman Regular" w:eastAsia="仿宋" w:cs="Times New Roman Regular"/>
          <w:b w:val="0"/>
          <w:bCs w:val="0"/>
          <w:sz w:val="32"/>
          <w:szCs w:val="32"/>
          <w:lang w:val="en-US" w:eastAsia="zh-CN"/>
        </w:rPr>
        <w:t>初预算数为</w:t>
      </w:r>
      <w:r>
        <w:rPr>
          <w:rFonts w:hint="eastAsia" w:ascii="Times New Roman Regular" w:hAnsi="Times New Roman Regular" w:eastAsia="仿宋" w:cs="Times New Roman Regular"/>
          <w:b w:val="0"/>
          <w:bCs w:val="0"/>
          <w:sz w:val="32"/>
          <w:szCs w:val="32"/>
          <w:lang w:val="en-US" w:eastAsia="zh-CN"/>
        </w:rPr>
        <w:t>228.32</w:t>
      </w:r>
      <w:r>
        <w:rPr>
          <w:rFonts w:hint="default" w:ascii="Times New Roman Regular" w:hAnsi="Times New Roman Regular" w:eastAsia="仿宋" w:cs="Times New Roman Regular"/>
          <w:b w:val="0"/>
          <w:bCs w:val="0"/>
          <w:sz w:val="32"/>
          <w:szCs w:val="32"/>
          <w:lang w:val="en-US" w:eastAsia="zh-CN"/>
        </w:rPr>
        <w:t>万元。调整预算数为</w:t>
      </w:r>
      <w:r>
        <w:rPr>
          <w:rFonts w:hint="eastAsia" w:ascii="Times New Roman Regular" w:hAnsi="Times New Roman Regular" w:eastAsia="仿宋" w:cs="Times New Roman Regular"/>
          <w:b w:val="0"/>
          <w:bCs w:val="0"/>
          <w:sz w:val="32"/>
          <w:szCs w:val="32"/>
          <w:lang w:val="en-US" w:eastAsia="zh-CN"/>
        </w:rPr>
        <w:t>11,887.16</w:t>
      </w:r>
      <w:r>
        <w:rPr>
          <w:rFonts w:hint="default" w:ascii="Times New Roman Regular" w:hAnsi="Times New Roman Regular" w:eastAsia="仿宋" w:cs="Times New Roman Regular"/>
          <w:b w:val="0"/>
          <w:bCs w:val="0"/>
          <w:sz w:val="32"/>
          <w:szCs w:val="32"/>
          <w:lang w:val="en-US" w:eastAsia="zh-CN"/>
        </w:rPr>
        <w:t>万元，其中；一般公共预算财政拨款收入</w:t>
      </w:r>
      <w:r>
        <w:rPr>
          <w:rFonts w:hint="eastAsia" w:ascii="Times New Roman Regular" w:hAnsi="Times New Roman Regular" w:eastAsia="仿宋" w:cs="Times New Roman Regular"/>
          <w:b w:val="0"/>
          <w:bCs w:val="0"/>
          <w:sz w:val="32"/>
          <w:szCs w:val="32"/>
          <w:lang w:val="en-US" w:eastAsia="zh-CN"/>
        </w:rPr>
        <w:t>6,954.04</w:t>
      </w:r>
      <w:r>
        <w:rPr>
          <w:rFonts w:hint="default" w:ascii="Times New Roman Regular" w:hAnsi="Times New Roman Regular" w:eastAsia="仿宋" w:cs="Times New Roman Regular"/>
          <w:b w:val="0"/>
          <w:bCs w:val="0"/>
          <w:sz w:val="32"/>
          <w:szCs w:val="32"/>
          <w:lang w:val="en-US" w:eastAsia="zh-CN"/>
        </w:rPr>
        <w:t>万元、政府性基金预算财政拨款收入</w:t>
      </w:r>
      <w:r>
        <w:rPr>
          <w:rFonts w:hint="eastAsia" w:ascii="Times New Roman Regular" w:hAnsi="Times New Roman Regular" w:eastAsia="仿宋" w:cs="Times New Roman Regular"/>
          <w:b w:val="0"/>
          <w:bCs w:val="0"/>
          <w:sz w:val="32"/>
          <w:szCs w:val="32"/>
          <w:lang w:val="en-US" w:eastAsia="zh-CN"/>
        </w:rPr>
        <w:t>4,200.00</w:t>
      </w:r>
      <w:r>
        <w:rPr>
          <w:rFonts w:hint="default" w:ascii="Times New Roman Regular" w:hAnsi="Times New Roman Regular" w:eastAsia="仿宋" w:cs="Times New Roman Regular"/>
          <w:b w:val="0"/>
          <w:bCs w:val="0"/>
          <w:sz w:val="32"/>
          <w:szCs w:val="32"/>
          <w:lang w:val="en-US" w:eastAsia="zh-CN"/>
        </w:rPr>
        <w:t>万元、其他收入</w:t>
      </w:r>
      <w:r>
        <w:rPr>
          <w:rFonts w:hint="eastAsia" w:ascii="Times New Roman Regular" w:hAnsi="Times New Roman Regular" w:eastAsia="仿宋" w:cs="Times New Roman Regular"/>
          <w:b w:val="0"/>
          <w:bCs w:val="0"/>
          <w:sz w:val="32"/>
          <w:szCs w:val="32"/>
          <w:lang w:val="en-US" w:eastAsia="zh-CN"/>
        </w:rPr>
        <w:t>733.11</w:t>
      </w:r>
      <w:r>
        <w:rPr>
          <w:rFonts w:hint="default" w:ascii="Times New Roman Regular" w:hAnsi="Times New Roman Regular" w:eastAsia="仿宋" w:cs="Times New Roman Regular"/>
          <w:b w:val="0"/>
          <w:bCs w:val="0"/>
          <w:sz w:val="32"/>
          <w:szCs w:val="32"/>
          <w:lang w:val="en-US" w:eastAsia="zh-CN"/>
        </w:rPr>
        <w:t>万元。</w:t>
      </w:r>
    </w:p>
    <w:p>
      <w:pPr>
        <w:numPr>
          <w:ilvl w:val="0"/>
          <w:numId w:val="0"/>
        </w:numPr>
        <w:ind w:firstLine="640" w:firstLineChars="200"/>
        <w:jc w:val="both"/>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截</w:t>
      </w:r>
      <w:r>
        <w:rPr>
          <w:rFonts w:hint="eastAsia" w:ascii="Times New Roman Regular" w:hAnsi="Times New Roman Regular" w:eastAsia="仿宋" w:cs="Times New Roman Regular"/>
          <w:b w:val="0"/>
          <w:bCs w:val="0"/>
          <w:sz w:val="32"/>
          <w:szCs w:val="32"/>
          <w:lang w:val="en-US" w:eastAsia="zh-CN"/>
        </w:rPr>
        <w:t>至</w:t>
      </w:r>
      <w:r>
        <w:rPr>
          <w:rFonts w:hint="default" w:ascii="Times New Roman Regular" w:hAnsi="Times New Roman Regular" w:eastAsia="仿宋" w:cs="Times New Roman Regular"/>
          <w:b w:val="0"/>
          <w:bCs w:val="0"/>
          <w:sz w:val="32"/>
          <w:szCs w:val="32"/>
          <w:lang w:val="en-US" w:eastAsia="zh-CN"/>
        </w:rPr>
        <w:t>2022年12月31日，</w:t>
      </w:r>
      <w:r>
        <w:rPr>
          <w:rFonts w:hint="eastAsia" w:ascii="Times New Roman Regular" w:hAnsi="Times New Roman Regular" w:eastAsia="仿宋" w:cs="Times New Roman Regular"/>
          <w:b w:val="0"/>
          <w:bCs w:val="0"/>
          <w:sz w:val="32"/>
          <w:szCs w:val="32"/>
          <w:lang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财政拨款</w:t>
      </w:r>
      <w:r>
        <w:rPr>
          <w:rFonts w:hint="default" w:ascii="Times New Roman Regular" w:hAnsi="Times New Roman Regular" w:eastAsia="仿宋" w:cs="Times New Roman Regular"/>
          <w:b w:val="0"/>
          <w:bCs w:val="0"/>
          <w:sz w:val="32"/>
          <w:szCs w:val="32"/>
          <w:lang w:eastAsia="zh-CN"/>
        </w:rPr>
        <w:t>收入</w:t>
      </w:r>
      <w:r>
        <w:rPr>
          <w:rFonts w:hint="default" w:ascii="Times New Roman Regular" w:hAnsi="Times New Roman Regular" w:eastAsia="仿宋" w:cs="Times New Roman Regular"/>
          <w:b w:val="0"/>
          <w:bCs w:val="0"/>
          <w:sz w:val="32"/>
          <w:szCs w:val="32"/>
          <w:lang w:val="en-US" w:eastAsia="zh-CN"/>
        </w:rPr>
        <w:t>资金10,654.04万元，其他收入资金</w:t>
      </w:r>
      <w:r>
        <w:rPr>
          <w:rFonts w:hint="eastAsia" w:ascii="Times New Roman Regular" w:hAnsi="Times New Roman Regular" w:eastAsia="仿宋" w:cs="Times New Roman Regular"/>
          <w:b w:val="0"/>
          <w:bCs w:val="0"/>
          <w:sz w:val="32"/>
          <w:szCs w:val="32"/>
          <w:lang w:val="en-US" w:eastAsia="zh-CN"/>
        </w:rPr>
        <w:t>733.11</w:t>
      </w:r>
      <w:r>
        <w:rPr>
          <w:rFonts w:hint="default" w:ascii="Times New Roman Regular" w:hAnsi="Times New Roman Regular" w:eastAsia="仿宋" w:cs="Times New Roman Regular"/>
          <w:b w:val="0"/>
          <w:bCs w:val="0"/>
          <w:sz w:val="32"/>
          <w:szCs w:val="32"/>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6" w:name="_Toc13526"/>
      <w:r>
        <w:rPr>
          <w:rFonts w:hint="default" w:ascii="Times New Roman Regular" w:hAnsi="Times New Roman Regular" w:eastAsia="楷体" w:cs="Times New Roman Regular"/>
          <w:b/>
          <w:bCs/>
          <w:sz w:val="32"/>
          <w:szCs w:val="32"/>
          <w:lang w:val="en-US" w:eastAsia="zh-CN"/>
        </w:rPr>
        <w:t>（二）资金使用情况</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2022年度部门决算</w:t>
      </w:r>
      <w:r>
        <w:rPr>
          <w:rFonts w:hint="eastAsia" w:ascii="Times New Roman Regular" w:hAnsi="Times New Roman Regular" w:eastAsia="仿宋" w:cs="Times New Roman Regular"/>
          <w:b w:val="0"/>
          <w:bCs w:val="0"/>
          <w:sz w:val="32"/>
          <w:szCs w:val="32"/>
          <w:lang w:val="en-US" w:eastAsia="zh-CN"/>
        </w:rPr>
        <w:t>公开</w:t>
      </w:r>
      <w:r>
        <w:rPr>
          <w:rFonts w:hint="default" w:ascii="Times New Roman Regular" w:hAnsi="Times New Roman Regular" w:eastAsia="仿宋" w:cs="Times New Roman Regular"/>
          <w:b w:val="0"/>
          <w:bCs w:val="0"/>
          <w:sz w:val="32"/>
          <w:szCs w:val="32"/>
          <w:lang w:val="en-US" w:eastAsia="zh-CN"/>
        </w:rPr>
        <w:t>表，2022年度</w:t>
      </w:r>
      <w:r>
        <w:rPr>
          <w:rFonts w:hint="eastAsia" w:ascii="Times New Roman Regular" w:hAnsi="Times New Roman Regular" w:eastAsia="仿宋" w:cs="Times New Roman Regular"/>
          <w:b w:val="0"/>
          <w:bCs w:val="0"/>
          <w:sz w:val="32"/>
          <w:szCs w:val="32"/>
          <w:lang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共计支出</w:t>
      </w:r>
      <w:r>
        <w:rPr>
          <w:rFonts w:hint="eastAsia" w:ascii="Times New Roman Regular" w:hAnsi="Times New Roman Regular" w:eastAsia="仿宋" w:cs="Times New Roman Regular"/>
          <w:b w:val="0"/>
          <w:bCs w:val="0"/>
          <w:sz w:val="32"/>
          <w:szCs w:val="32"/>
          <w:lang w:val="en-US" w:eastAsia="zh-CN"/>
        </w:rPr>
        <w:t>11,887.16</w:t>
      </w:r>
      <w:r>
        <w:rPr>
          <w:rFonts w:hint="default" w:ascii="Times New Roman Regular" w:hAnsi="Times New Roman Regular" w:eastAsia="仿宋" w:cs="Times New Roman Regular"/>
          <w:b w:val="0"/>
          <w:bCs w:val="0"/>
          <w:sz w:val="32"/>
          <w:szCs w:val="32"/>
          <w:lang w:val="en-US" w:eastAsia="zh-CN"/>
        </w:rPr>
        <w:t>万元，其中：基本支出</w:t>
      </w:r>
      <w:r>
        <w:rPr>
          <w:rFonts w:hint="eastAsia" w:ascii="Times New Roman Regular" w:hAnsi="Times New Roman Regular" w:eastAsia="仿宋" w:cs="Times New Roman Regular"/>
          <w:b w:val="0"/>
          <w:bCs w:val="0"/>
          <w:sz w:val="32"/>
          <w:szCs w:val="32"/>
          <w:highlight w:val="none"/>
          <w:lang w:val="en-US" w:eastAsia="zh-CN"/>
        </w:rPr>
        <w:t>502.32</w:t>
      </w:r>
      <w:r>
        <w:rPr>
          <w:rFonts w:hint="default" w:ascii="Times New Roman Regular" w:hAnsi="Times New Roman Regular" w:eastAsia="仿宋" w:cs="Times New Roman Regular"/>
          <w:b w:val="0"/>
          <w:bCs w:val="0"/>
          <w:sz w:val="32"/>
          <w:szCs w:val="32"/>
          <w:highlight w:val="none"/>
          <w:lang w:val="en-US" w:eastAsia="zh-CN"/>
        </w:rPr>
        <w:t>万元，项目支出</w:t>
      </w:r>
      <w:r>
        <w:rPr>
          <w:rFonts w:hint="eastAsia" w:ascii="Times New Roman Regular" w:hAnsi="Times New Roman Regular" w:eastAsia="仿宋" w:cs="Times New Roman Regular"/>
          <w:b w:val="0"/>
          <w:bCs w:val="0"/>
          <w:sz w:val="32"/>
          <w:szCs w:val="32"/>
          <w:lang w:val="en-US" w:eastAsia="zh-CN"/>
        </w:rPr>
        <w:t>11,384.84</w:t>
      </w:r>
      <w:r>
        <w:rPr>
          <w:rFonts w:hint="default" w:ascii="Times New Roman Regular" w:hAnsi="Times New Roman Regular" w:eastAsia="仿宋" w:cs="Times New Roman Regular"/>
          <w:b w:val="0"/>
          <w:bCs w:val="0"/>
          <w:sz w:val="32"/>
          <w:szCs w:val="32"/>
          <w:highlight w:val="none"/>
          <w:lang w:val="en-US" w:eastAsia="zh-CN"/>
        </w:rPr>
        <w:t>万元；年末结转</w:t>
      </w:r>
      <w:r>
        <w:rPr>
          <w:rFonts w:hint="default" w:ascii="Times New Roman Regular" w:hAnsi="Times New Roman Regular" w:eastAsia="仿宋" w:cs="Times New Roman Regular"/>
          <w:b w:val="0"/>
          <w:bCs w:val="0"/>
          <w:sz w:val="32"/>
          <w:szCs w:val="32"/>
          <w:lang w:val="en-US" w:eastAsia="zh-CN"/>
        </w:rPr>
        <w:t>和结余0.00万元。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1、基本经费支出情况</w:t>
      </w:r>
    </w:p>
    <w:p>
      <w:pPr>
        <w:numPr>
          <w:ilvl w:val="0"/>
          <w:numId w:val="0"/>
        </w:numPr>
        <w:ind w:firstLine="640" w:firstLineChars="200"/>
        <w:jc w:val="both"/>
        <w:rPr>
          <w:rFonts w:hint="eastAsia" w:ascii="Times New Roman Regular" w:hAnsi="Times New Roman Regular" w:eastAsia="仿宋" w:cs="Times New Roman Regular"/>
          <w:b w:val="0"/>
          <w:bCs w:val="0"/>
          <w:sz w:val="32"/>
          <w:szCs w:val="32"/>
          <w:u w:val="none"/>
          <w:lang w:val="en-US" w:eastAsia="zh-CN" w:bidi="ar"/>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2022年度部门决算</w:t>
      </w:r>
      <w:r>
        <w:rPr>
          <w:rFonts w:hint="eastAsia" w:ascii="Times New Roman Regular" w:hAnsi="Times New Roman Regular" w:eastAsia="仿宋" w:cs="Times New Roman Regular"/>
          <w:b w:val="0"/>
          <w:bCs w:val="0"/>
          <w:sz w:val="32"/>
          <w:szCs w:val="32"/>
          <w:lang w:val="en-US" w:eastAsia="zh-CN"/>
        </w:rPr>
        <w:t>公开</w:t>
      </w:r>
      <w:r>
        <w:rPr>
          <w:rFonts w:hint="default" w:ascii="Times New Roman Regular" w:hAnsi="Times New Roman Regular" w:eastAsia="仿宋" w:cs="Times New Roman Regular"/>
          <w:b w:val="0"/>
          <w:bCs w:val="0"/>
          <w:sz w:val="32"/>
          <w:szCs w:val="32"/>
          <w:lang w:val="en-US" w:eastAsia="zh-CN"/>
        </w:rPr>
        <w:t>表</w:t>
      </w:r>
      <w:r>
        <w:rPr>
          <w:rFonts w:hint="eastAsia" w:ascii="Times New Roman Regular" w:hAnsi="Times New Roman Regular" w:eastAsia="仿宋" w:cs="Times New Roman Regular"/>
          <w:b w:val="0"/>
          <w:bCs w:val="0"/>
          <w:sz w:val="32"/>
          <w:szCs w:val="32"/>
          <w:lang w:val="en-US" w:eastAsia="zh-CN"/>
        </w:rPr>
        <w:t>-支出决算表</w:t>
      </w:r>
      <w:r>
        <w:rPr>
          <w:rFonts w:hint="default" w:ascii="Times New Roman Regular" w:hAnsi="Times New Roman Regular" w:eastAsia="仿宋" w:cs="Times New Roman Regular"/>
          <w:b w:val="0"/>
          <w:bCs w:val="0"/>
          <w:sz w:val="32"/>
          <w:szCs w:val="32"/>
          <w:lang w:val="en-US" w:eastAsia="zh-CN"/>
        </w:rPr>
        <w:t>，2022年度</w:t>
      </w:r>
      <w:r>
        <w:rPr>
          <w:rFonts w:hint="eastAsia" w:ascii="Times New Roman Regular" w:hAnsi="Times New Roman Regular" w:eastAsia="仿宋" w:cs="Times New Roman Regular"/>
          <w:b w:val="0"/>
          <w:bCs w:val="0"/>
          <w:sz w:val="32"/>
          <w:szCs w:val="32"/>
          <w:lang w:val="en-US"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基本支出共计</w:t>
      </w:r>
      <w:r>
        <w:rPr>
          <w:rFonts w:hint="eastAsia" w:ascii="Times New Roman Regular" w:hAnsi="Times New Roman Regular" w:eastAsia="仿宋" w:cs="Times New Roman Regular"/>
          <w:b w:val="0"/>
          <w:bCs w:val="0"/>
          <w:sz w:val="32"/>
          <w:szCs w:val="32"/>
          <w:highlight w:val="none"/>
          <w:lang w:val="en-US" w:eastAsia="zh-CN"/>
        </w:rPr>
        <w:t>502.32</w:t>
      </w:r>
      <w:r>
        <w:rPr>
          <w:rFonts w:hint="default" w:ascii="Times New Roman Regular" w:hAnsi="Times New Roman Regular" w:eastAsia="仿宋" w:cs="Times New Roman Regular"/>
          <w:b w:val="0"/>
          <w:bCs w:val="0"/>
          <w:sz w:val="32"/>
          <w:szCs w:val="32"/>
          <w:lang w:val="en-US" w:eastAsia="zh-CN"/>
        </w:rPr>
        <w:t>万元，其中</w:t>
      </w:r>
      <w:r>
        <w:rPr>
          <w:rFonts w:hint="eastAsia" w:ascii="Times New Roman Regular" w:hAnsi="Times New Roman Regular" w:eastAsia="仿宋" w:cs="Times New Roman Regular"/>
          <w:b w:val="0"/>
          <w:bCs w:val="0"/>
          <w:color w:val="auto"/>
          <w:sz w:val="32"/>
          <w:szCs w:val="32"/>
          <w:lang w:val="en-US" w:eastAsia="zh-CN"/>
        </w:rPr>
        <w:t>一般公共预算财政拨款支出</w:t>
      </w:r>
      <w:r>
        <w:rPr>
          <w:rFonts w:hint="eastAsia" w:ascii="Times New Roman Regular" w:hAnsi="Times New Roman Regular" w:eastAsia="仿宋" w:cs="Times New Roman Regular"/>
          <w:b w:val="0"/>
          <w:bCs w:val="0"/>
          <w:sz w:val="32"/>
          <w:szCs w:val="32"/>
          <w:lang w:val="en-US" w:eastAsia="zh-CN"/>
        </w:rPr>
        <w:t>403.73</w:t>
      </w:r>
      <w:r>
        <w:rPr>
          <w:rFonts w:hint="eastAsia" w:ascii="Times New Roman Regular" w:hAnsi="Times New Roman Regular" w:eastAsia="仿宋" w:cs="Times New Roman Regular"/>
          <w:b w:val="0"/>
          <w:bCs w:val="0"/>
          <w:color w:val="auto"/>
          <w:sz w:val="32"/>
          <w:szCs w:val="32"/>
          <w:u w:val="none"/>
          <w:lang w:val="en-US" w:eastAsia="zh-CN" w:bidi="ar"/>
        </w:rPr>
        <w:t>万元（人员经费225.56万元，公用经费178.17万元），其他支出98.59万元</w:t>
      </w:r>
      <w:r>
        <w:rPr>
          <w:rFonts w:hint="eastAsia" w:ascii="Times New Roman Regular" w:hAnsi="Times New Roman Regular" w:eastAsia="仿宋" w:cs="Times New Roman Regular"/>
          <w:b w:val="0"/>
          <w:bCs w:val="0"/>
          <w:sz w:val="32"/>
          <w:szCs w:val="32"/>
          <w:u w:val="none"/>
          <w:lang w:val="en-US" w:eastAsia="zh-CN" w:bidi="ar"/>
        </w:rPr>
        <w:t>。具体支出明细如下：</w:t>
      </w:r>
    </w:p>
    <w:tbl>
      <w:tblPr>
        <w:tblStyle w:val="17"/>
        <w:tblW w:w="842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47"/>
        <w:gridCol w:w="5007"/>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支出项目</w:t>
            </w:r>
          </w:p>
        </w:tc>
        <w:tc>
          <w:tcPr>
            <w:tcW w:w="20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人员经费</w:t>
            </w:r>
          </w:p>
        </w:tc>
        <w:tc>
          <w:tcPr>
            <w:tcW w:w="20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sz w:val="22"/>
                <w:szCs w:val="22"/>
                <w:u w:val="none"/>
                <w:lang w:val="en-US"/>
              </w:rPr>
            </w:pPr>
            <w:r>
              <w:rPr>
                <w:rFonts w:hint="eastAsia" w:ascii="仿宋" w:hAnsi="仿宋" w:eastAsia="仿宋" w:cs="仿宋"/>
                <w:b/>
                <w:bCs/>
                <w:i w:val="0"/>
                <w:iCs w:val="0"/>
                <w:color w:val="000000"/>
                <w:kern w:val="0"/>
                <w:sz w:val="22"/>
                <w:szCs w:val="22"/>
                <w:u w:val="none"/>
                <w:lang w:val="en-US" w:eastAsia="zh-CN" w:bidi="ar"/>
              </w:rPr>
              <w:t>工资福利支出</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eastAsia="宋体" w:cs="Times New Roman"/>
                <w:b/>
                <w:bCs/>
                <w:i w:val="0"/>
                <w:iCs w:val="0"/>
                <w:color w:val="000000"/>
                <w:kern w:val="0"/>
                <w:sz w:val="20"/>
                <w:szCs w:val="20"/>
                <w:u w:val="none"/>
                <w:lang w:val="en-US" w:eastAsia="zh-CN" w:bidi="ar"/>
              </w:rPr>
              <w:t>218.45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8"/>
                <w:lang w:val="en-US" w:eastAsia="zh-CN" w:bidi="ar"/>
              </w:rPr>
            </w:pPr>
            <w:r>
              <w:rPr>
                <w:rFonts w:hint="eastAsia" w:ascii="仿宋" w:hAnsi="仿宋" w:eastAsia="仿宋" w:cs="仿宋"/>
                <w:i w:val="0"/>
                <w:iCs w:val="0"/>
                <w:color w:val="000000"/>
                <w:kern w:val="0"/>
                <w:sz w:val="22"/>
                <w:szCs w:val="22"/>
                <w:u w:val="none"/>
                <w:lang w:val="en-US" w:eastAsia="zh-CN" w:bidi="ar"/>
              </w:rPr>
              <w:t>基本工资</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津贴补贴</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奖金</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伙食补助费</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机关事业单位基本养老保险缴费</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职工基本医疗保险缴费</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其他社会保障缴费</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住房公积金</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对个人和家庭的补助</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eastAsia="宋体" w:cs="Times New Roman"/>
                <w:b/>
                <w:bCs/>
                <w:i w:val="0"/>
                <w:iCs w:val="0"/>
                <w:color w:val="000000"/>
                <w:kern w:val="0"/>
                <w:sz w:val="20"/>
                <w:szCs w:val="20"/>
                <w:u w:val="none"/>
                <w:lang w:val="en-US" w:eastAsia="zh-CN" w:bidi="ar"/>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2.01</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8"/>
                <w:rFonts w:hint="default"/>
                <w:lang w:val="en-US" w:eastAsia="zh-CN" w:bidi="ar"/>
              </w:rPr>
            </w:pPr>
            <w:r>
              <w:rPr>
                <w:rFonts w:hint="eastAsia" w:ascii="仿宋" w:hAnsi="仿宋" w:eastAsia="仿宋" w:cs="仿宋"/>
                <w:i w:val="0"/>
                <w:iCs w:val="0"/>
                <w:color w:val="000000"/>
                <w:kern w:val="0"/>
                <w:sz w:val="22"/>
                <w:szCs w:val="22"/>
                <w:u w:val="none"/>
                <w:lang w:val="en-US" w:eastAsia="zh-CN" w:bidi="ar"/>
              </w:rPr>
              <w:t>退休费</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8"/>
                <w:rFonts w:hint="default"/>
                <w:lang w:val="en-US" w:eastAsia="zh-CN" w:bidi="ar"/>
              </w:rPr>
            </w:pPr>
            <w:r>
              <w:rPr>
                <w:rFonts w:hint="eastAsia" w:ascii="仿宋" w:hAnsi="仿宋" w:eastAsia="仿宋" w:cs="仿宋"/>
                <w:i w:val="0"/>
                <w:iCs w:val="0"/>
                <w:color w:val="000000"/>
                <w:kern w:val="0"/>
                <w:sz w:val="22"/>
                <w:szCs w:val="22"/>
                <w:u w:val="none"/>
                <w:lang w:val="en-US" w:eastAsia="zh-CN" w:bidi="ar"/>
              </w:rPr>
              <w:t>其他对个人和家庭的补助</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公用经费</w:t>
            </w:r>
          </w:p>
        </w:tc>
        <w:tc>
          <w:tcPr>
            <w:tcW w:w="20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b/>
                <w:bCs/>
                <w:i w:val="0"/>
                <w:iCs w:val="0"/>
                <w:color w:val="000000"/>
                <w:kern w:val="0"/>
                <w:sz w:val="21"/>
                <w:szCs w:val="21"/>
                <w:u w:val="none"/>
                <w:lang w:val="en-US" w:eastAsia="zh-CN" w:bidi="ar"/>
              </w:rPr>
              <w:t>商品和服务支出</w:t>
            </w:r>
          </w:p>
        </w:tc>
        <w:tc>
          <w:tcPr>
            <w:tcW w:w="20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bCs/>
                <w:i w:val="0"/>
                <w:iCs w:val="0"/>
                <w:color w:val="000000"/>
                <w:kern w:val="0"/>
                <w:sz w:val="21"/>
                <w:szCs w:val="21"/>
                <w:u w:val="none"/>
                <w:lang w:val="en-US" w:eastAsia="zh-CN" w:bidi="ar"/>
              </w:rPr>
              <w:t>176.96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1.01</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办公费</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1.02</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印刷费</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1.03</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水费</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电费</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1.05</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邮电费</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1.06</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差旅费</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维修（护）费</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租赁费</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1.09</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培训费</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劳务费</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1.11</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8"/>
                <w:lang w:val="en-US" w:eastAsia="zh-CN" w:bidi="ar"/>
              </w:rPr>
            </w:pPr>
            <w:r>
              <w:rPr>
                <w:rFonts w:hint="eastAsia" w:ascii="仿宋" w:hAnsi="仿宋" w:eastAsia="仿宋" w:cs="仿宋"/>
                <w:i w:val="0"/>
                <w:iCs w:val="0"/>
                <w:color w:val="000000"/>
                <w:kern w:val="0"/>
                <w:sz w:val="22"/>
                <w:szCs w:val="22"/>
                <w:u w:val="none"/>
                <w:lang w:val="en-US" w:eastAsia="zh-CN" w:bidi="ar"/>
              </w:rPr>
              <w:t>工会经费</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8"/>
                <w:lang w:val="en-US" w:eastAsia="zh-CN" w:bidi="ar"/>
              </w:rPr>
            </w:pPr>
            <w:r>
              <w:rPr>
                <w:rFonts w:hint="eastAsia" w:ascii="仿宋" w:hAnsi="仿宋" w:eastAsia="仿宋" w:cs="仿宋"/>
                <w:i w:val="0"/>
                <w:iCs w:val="0"/>
                <w:color w:val="000000"/>
                <w:kern w:val="0"/>
                <w:sz w:val="22"/>
                <w:szCs w:val="22"/>
                <w:u w:val="none"/>
                <w:lang w:val="en-US" w:eastAsia="zh-CN" w:bidi="ar"/>
              </w:rPr>
              <w:t>其他交通费用</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1.13</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8"/>
                <w:lang w:val="en-US" w:eastAsia="zh-CN" w:bidi="ar"/>
              </w:rPr>
            </w:pPr>
            <w:r>
              <w:rPr>
                <w:rFonts w:hint="eastAsia" w:ascii="仿宋" w:hAnsi="仿宋" w:eastAsia="仿宋" w:cs="仿宋"/>
                <w:i w:val="0"/>
                <w:iCs w:val="0"/>
                <w:color w:val="000000"/>
                <w:kern w:val="0"/>
                <w:sz w:val="22"/>
                <w:szCs w:val="22"/>
                <w:u w:val="none"/>
                <w:lang w:val="en-US" w:eastAsia="zh-CN" w:bidi="ar"/>
              </w:rPr>
              <w:t>税金及附加费用</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1.14</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其他商品和服务支出</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2</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8"/>
                <w:lang w:val="en-US" w:eastAsia="zh-CN" w:bidi="ar"/>
              </w:rPr>
            </w:pPr>
            <w:r>
              <w:rPr>
                <w:rFonts w:hint="eastAsia" w:ascii="仿宋" w:hAnsi="仿宋" w:eastAsia="仿宋" w:cs="仿宋"/>
                <w:i w:val="0"/>
                <w:iCs w:val="0"/>
                <w:color w:val="000000"/>
                <w:kern w:val="0"/>
                <w:sz w:val="22"/>
                <w:szCs w:val="22"/>
                <w:u w:val="none"/>
                <w:lang w:val="en-US" w:eastAsia="zh-CN" w:bidi="ar"/>
              </w:rPr>
              <w:t>资本性支出</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2.01</w:t>
            </w:r>
          </w:p>
        </w:tc>
        <w:tc>
          <w:tcPr>
            <w:tcW w:w="500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办公设备购置</w:t>
            </w:r>
          </w:p>
        </w:tc>
        <w:tc>
          <w:tcPr>
            <w:tcW w:w="2073"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500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c>
          <w:tcPr>
            <w:tcW w:w="207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b/>
                <w:bCs/>
                <w:i w:val="0"/>
                <w:iCs w:val="0"/>
                <w:color w:val="000000"/>
                <w:kern w:val="0"/>
                <w:sz w:val="21"/>
                <w:szCs w:val="21"/>
                <w:u w:val="none"/>
                <w:lang w:val="en-US" w:eastAsia="zh-CN" w:bidi="ar"/>
              </w:rPr>
              <w:t>403.73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bCs/>
          <w:sz w:val="32"/>
          <w:szCs w:val="32"/>
          <w:lang w:val="en-US" w:eastAsia="zh-CN"/>
        </w:rPr>
        <w:t>2、</w:t>
      </w:r>
      <w:r>
        <w:rPr>
          <w:rFonts w:hint="eastAsia" w:ascii="仿宋" w:hAnsi="仿宋" w:eastAsia="仿宋" w:cs="仿宋"/>
          <w:b/>
          <w:bCs/>
          <w:sz w:val="32"/>
          <w:szCs w:val="32"/>
          <w:lang w:val="en-US" w:eastAsia="zh-CN"/>
        </w:rPr>
        <w:t>“三公经费”</w:t>
      </w:r>
      <w:r>
        <w:rPr>
          <w:rFonts w:hint="default" w:ascii="Times New Roman Regular" w:hAnsi="Times New Roman Regular" w:eastAsia="仿宋" w:cs="Times New Roman Regular"/>
          <w:b/>
          <w:bCs/>
          <w:sz w:val="32"/>
          <w:szCs w:val="32"/>
          <w:lang w:val="en-US" w:eastAsia="zh-CN"/>
        </w:rPr>
        <w:t>支出情况</w:t>
      </w:r>
    </w:p>
    <w:p>
      <w:pPr>
        <w:numPr>
          <w:ilvl w:val="0"/>
          <w:numId w:val="0"/>
        </w:numPr>
        <w:ind w:firstLine="640" w:firstLineChars="200"/>
        <w:jc w:val="both"/>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2022年度部门决算报表，</w:t>
      </w:r>
      <w:r>
        <w:rPr>
          <w:rFonts w:hint="eastAsia" w:ascii="Times New Roman Regular" w:hAnsi="Times New Roman Regular" w:eastAsia="仿宋" w:cs="Times New Roman Regular"/>
          <w:b w:val="0"/>
          <w:bCs w:val="0"/>
          <w:sz w:val="32"/>
          <w:szCs w:val="32"/>
          <w:lang w:val="en-US"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2022年“三公经费”年初预算数为</w:t>
      </w:r>
      <w:r>
        <w:rPr>
          <w:rFonts w:hint="eastAsia" w:ascii="Times New Roman Regular" w:hAnsi="Times New Roman Regular" w:eastAsia="仿宋" w:cs="Times New Roman Regular"/>
          <w:b w:val="0"/>
          <w:bCs w:val="0"/>
          <w:sz w:val="32"/>
          <w:szCs w:val="32"/>
          <w:lang w:val="en-US" w:eastAsia="zh-CN"/>
        </w:rPr>
        <w:t>0.00</w:t>
      </w:r>
      <w:r>
        <w:rPr>
          <w:rFonts w:hint="default" w:ascii="Times New Roman Regular" w:hAnsi="Times New Roman Regular" w:eastAsia="仿宋" w:cs="Times New Roman Regular"/>
          <w:b w:val="0"/>
          <w:bCs w:val="0"/>
          <w:sz w:val="32"/>
          <w:szCs w:val="32"/>
          <w:lang w:val="en-US" w:eastAsia="zh-CN"/>
        </w:rPr>
        <w:t>万元，2022年共计支出0.00万元，其中公务用车及运行维护0.00万元，公务接待费0.00万元，因公出国境费用0.00元。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cs="Times New Roman Regular"/>
          <w:color w:val="auto"/>
          <w:kern w:val="2"/>
          <w:sz w:val="32"/>
          <w:szCs w:val="32"/>
          <w:lang w:val="en-US" w:eastAsia="zh-CN" w:bidi="ar-SA"/>
        </w:rPr>
      </w:pPr>
      <w:r>
        <w:rPr>
          <w:rFonts w:hint="default" w:ascii="Times New Roman Regular" w:hAnsi="Times New Roman Regular" w:eastAsia="仿宋" w:cs="Times New Roman Regular"/>
          <w:b/>
          <w:bCs/>
          <w:sz w:val="32"/>
          <w:szCs w:val="32"/>
          <w:lang w:val="en-US" w:eastAsia="zh-CN"/>
        </w:rPr>
        <w:t>3、项目支出情况</w:t>
      </w:r>
      <w:r>
        <w:rPr>
          <w:rFonts w:hint="default" w:ascii="Times New Roman Regular" w:hAnsi="Times New Roman Regular" w:cs="Times New Roman Regular"/>
          <w:color w:val="auto"/>
          <w:kern w:val="2"/>
          <w:sz w:val="32"/>
          <w:szCs w:val="32"/>
          <w:lang w:val="en-US" w:eastAsia="zh-CN" w:bidi="ar-SA"/>
        </w:rPr>
        <w:tab/>
      </w:r>
    </w:p>
    <w:p>
      <w:pPr>
        <w:numPr>
          <w:ilvl w:val="0"/>
          <w:numId w:val="0"/>
        </w:numPr>
        <w:ind w:firstLine="640" w:firstLineChars="200"/>
        <w:jc w:val="both"/>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2022年度部门决算报表，2022年度</w:t>
      </w:r>
      <w:r>
        <w:rPr>
          <w:rFonts w:hint="eastAsia" w:ascii="Times New Roman Regular" w:hAnsi="Times New Roman Regular" w:eastAsia="仿宋" w:cs="Times New Roman Regular"/>
          <w:b w:val="0"/>
          <w:bCs w:val="0"/>
          <w:sz w:val="32"/>
          <w:szCs w:val="32"/>
          <w:lang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项目支出共计</w:t>
      </w:r>
      <w:r>
        <w:rPr>
          <w:rFonts w:hint="eastAsia" w:ascii="Times New Roman Regular" w:hAnsi="Times New Roman Regular" w:eastAsia="仿宋" w:cs="Times New Roman Regular"/>
          <w:b w:val="0"/>
          <w:bCs w:val="0"/>
          <w:sz w:val="32"/>
          <w:szCs w:val="32"/>
          <w:lang w:val="en-US" w:eastAsia="zh-CN"/>
        </w:rPr>
        <w:t>11,384.84</w:t>
      </w:r>
      <w:r>
        <w:rPr>
          <w:rFonts w:hint="default" w:ascii="Times New Roman Regular" w:hAnsi="Times New Roman Regular" w:eastAsia="仿宋" w:cs="Times New Roman Regular"/>
          <w:b w:val="0"/>
          <w:bCs w:val="0"/>
          <w:sz w:val="32"/>
          <w:szCs w:val="32"/>
          <w:lang w:val="en-US" w:eastAsia="zh-CN"/>
        </w:rPr>
        <w:t>万元，详细支出情况见下表：</w:t>
      </w:r>
    </w:p>
    <w:tbl>
      <w:tblPr>
        <w:tblStyle w:val="20"/>
        <w:tblW w:w="8269"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4894"/>
        <w:gridCol w:w="2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rPr>
            </w:pPr>
            <w:r>
              <w:rPr>
                <w:rFonts w:hint="default" w:ascii="Times New Roman" w:hAnsi="Times New Roman" w:eastAsia="仿宋" w:cs="Times New Roman"/>
                <w:b/>
                <w:bCs/>
                <w:i w:val="0"/>
                <w:iCs w:val="0"/>
                <w:color w:val="000000"/>
                <w:kern w:val="0"/>
                <w:sz w:val="22"/>
                <w:szCs w:val="22"/>
                <w:u w:val="none"/>
                <w:lang w:val="en-US" w:eastAsia="zh-CN" w:bidi="ar"/>
              </w:rPr>
              <w:t>序号</w:t>
            </w:r>
          </w:p>
        </w:tc>
        <w:tc>
          <w:tcPr>
            <w:tcW w:w="48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rPr>
            </w:pPr>
            <w:r>
              <w:rPr>
                <w:rFonts w:hint="default" w:ascii="Times New Roman" w:hAnsi="Times New Roman" w:eastAsia="仿宋" w:cs="Times New Roman"/>
                <w:b/>
                <w:bCs/>
                <w:i w:val="0"/>
                <w:iCs w:val="0"/>
                <w:color w:val="000000"/>
                <w:kern w:val="0"/>
                <w:sz w:val="22"/>
                <w:szCs w:val="22"/>
                <w:u w:val="none"/>
                <w:lang w:val="en-US" w:eastAsia="zh-CN" w:bidi="ar"/>
              </w:rPr>
              <w:t>支出项目</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eastAsia="zh-CN"/>
              </w:rPr>
            </w:pPr>
            <w:r>
              <w:rPr>
                <w:rFonts w:hint="default" w:ascii="Times New Roman" w:hAnsi="Times New Roman" w:eastAsia="仿宋" w:cs="Times New Roman"/>
                <w:b/>
                <w:bCs/>
                <w:i w:val="0"/>
                <w:iCs w:val="0"/>
                <w:color w:val="000000"/>
                <w:kern w:val="0"/>
                <w:sz w:val="22"/>
                <w:szCs w:val="22"/>
                <w:u w:val="none"/>
                <w:lang w:val="en-US" w:eastAsia="zh-CN" w:bidi="ar"/>
              </w:rPr>
              <w:t>金额</w:t>
            </w:r>
            <w:r>
              <w:rPr>
                <w:rFonts w:hint="eastAsia" w:ascii="Times New Roman" w:hAnsi="Times New Roman" w:eastAsia="仿宋" w:cs="Times New Roman"/>
                <w:b/>
                <w:bCs/>
                <w:i w:val="0"/>
                <w:iCs w:val="0"/>
                <w:color w:val="000000"/>
                <w:kern w:val="0"/>
                <w:sz w:val="22"/>
                <w:szCs w:val="22"/>
                <w:u w:val="none"/>
                <w:lang w:val="en-US" w:eastAsia="zh-CN" w:bidi="ar"/>
              </w:rPr>
              <w:t>（</w:t>
            </w:r>
            <w:r>
              <w:rPr>
                <w:rFonts w:hint="default" w:ascii="Times New Roman" w:hAnsi="Times New Roman" w:eastAsia="仿宋" w:cs="Times New Roman"/>
                <w:b/>
                <w:bCs/>
                <w:i w:val="0"/>
                <w:iCs w:val="0"/>
                <w:color w:val="000000"/>
                <w:kern w:val="0"/>
                <w:sz w:val="22"/>
                <w:szCs w:val="22"/>
                <w:u w:val="none"/>
                <w:lang w:val="en-US" w:eastAsia="zh-CN" w:bidi="ar"/>
              </w:rPr>
              <w:t>万元</w:t>
            </w:r>
            <w:r>
              <w:rPr>
                <w:rFonts w:hint="eastAsia" w:ascii="Times New Roman" w:hAnsi="Times New Roman" w:eastAsia="仿宋" w:cs="Times New Roman"/>
                <w:b/>
                <w:bCs/>
                <w:i w:val="0"/>
                <w:iCs w:val="0"/>
                <w:color w:val="000000"/>
                <w:kern w:val="0"/>
                <w:sz w:val="22"/>
                <w:szCs w:val="22"/>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b/>
                <w:bCs/>
                <w:i w:val="0"/>
                <w:iCs w:val="0"/>
                <w:color w:val="000000"/>
                <w:kern w:val="0"/>
                <w:sz w:val="22"/>
                <w:szCs w:val="22"/>
                <w:u w:val="none"/>
                <w:lang w:val="en-US" w:eastAsia="zh-CN" w:bidi="ar"/>
              </w:rPr>
              <w:t>一</w:t>
            </w:r>
          </w:p>
        </w:tc>
        <w:tc>
          <w:tcPr>
            <w:tcW w:w="48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rPr>
            </w:pPr>
            <w:r>
              <w:rPr>
                <w:rFonts w:hint="default" w:ascii="Times New Roman" w:hAnsi="Times New Roman" w:eastAsia="仿宋" w:cs="Times New Roman"/>
                <w:b/>
                <w:bCs/>
                <w:i w:val="0"/>
                <w:iCs w:val="0"/>
                <w:color w:val="000000"/>
                <w:kern w:val="0"/>
                <w:sz w:val="22"/>
                <w:szCs w:val="22"/>
                <w:u w:val="none"/>
                <w:lang w:val="en-US" w:eastAsia="zh-CN" w:bidi="ar"/>
              </w:rPr>
              <w:t>卫生健康支出</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b/>
                <w:bCs/>
                <w:i w:val="0"/>
                <w:iCs w:val="0"/>
                <w:color w:val="000000"/>
                <w:kern w:val="0"/>
                <w:sz w:val="22"/>
                <w:szCs w:val="22"/>
                <w:u w:val="none"/>
                <w:lang w:val="en-US" w:eastAsia="zh-CN" w:bidi="ar"/>
              </w:rPr>
              <w:t xml:space="preserve">73.00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rPr>
            </w:pPr>
            <w:r>
              <w:rPr>
                <w:rFonts w:hint="default" w:ascii="Times New Roman" w:hAnsi="Times New Roman" w:eastAsia="仿宋" w:cs="Times New Roman"/>
                <w:b/>
                <w:bCs/>
                <w:i w:val="0"/>
                <w:iCs w:val="0"/>
                <w:color w:val="000000"/>
                <w:kern w:val="0"/>
                <w:sz w:val="22"/>
                <w:szCs w:val="22"/>
                <w:u w:val="none"/>
                <w:lang w:val="en-US" w:eastAsia="zh-CN" w:bidi="ar"/>
              </w:rPr>
              <w:t>1</w:t>
            </w:r>
          </w:p>
        </w:tc>
        <w:tc>
          <w:tcPr>
            <w:tcW w:w="48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rPr>
            </w:pPr>
            <w:r>
              <w:rPr>
                <w:rFonts w:hint="default" w:ascii="Times New Roman" w:hAnsi="Times New Roman" w:eastAsia="仿宋" w:cs="Times New Roman"/>
                <w:i w:val="0"/>
                <w:iCs w:val="0"/>
                <w:color w:val="000000"/>
                <w:kern w:val="0"/>
                <w:sz w:val="22"/>
                <w:szCs w:val="22"/>
                <w:u w:val="none"/>
                <w:lang w:val="en-US" w:eastAsia="zh-CN" w:bidi="ar"/>
              </w:rPr>
              <w:t>公共卫生</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rPr>
            </w:pPr>
            <w:r>
              <w:rPr>
                <w:rFonts w:hint="default" w:ascii="Times New Roman" w:hAnsi="Times New Roman" w:eastAsia="仿宋" w:cs="Times New Roman"/>
                <w:i w:val="0"/>
                <w:iCs w:val="0"/>
                <w:color w:val="000000"/>
                <w:kern w:val="0"/>
                <w:sz w:val="22"/>
                <w:szCs w:val="22"/>
                <w:u w:val="none"/>
                <w:lang w:val="en-US" w:eastAsia="zh-CN" w:bidi="ar"/>
              </w:rPr>
              <w:t xml:space="preserve">73.00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rPr>
            </w:pPr>
            <w:r>
              <w:rPr>
                <w:rFonts w:hint="default" w:ascii="Times New Roman" w:hAnsi="Times New Roman" w:eastAsia="仿宋" w:cs="Times New Roman"/>
                <w:b/>
                <w:bCs/>
                <w:i w:val="0"/>
                <w:iCs w:val="0"/>
                <w:color w:val="000000"/>
                <w:kern w:val="0"/>
                <w:sz w:val="22"/>
                <w:szCs w:val="22"/>
                <w:u w:val="none"/>
                <w:lang w:val="en-US" w:eastAsia="zh-CN" w:bidi="ar"/>
              </w:rPr>
              <w:t>二</w:t>
            </w:r>
          </w:p>
        </w:tc>
        <w:tc>
          <w:tcPr>
            <w:tcW w:w="48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rPr>
            </w:pPr>
            <w:r>
              <w:rPr>
                <w:rFonts w:hint="default" w:ascii="Times New Roman" w:hAnsi="Times New Roman" w:eastAsia="仿宋" w:cs="Times New Roman"/>
                <w:i w:val="0"/>
                <w:iCs w:val="0"/>
                <w:color w:val="000000"/>
                <w:kern w:val="0"/>
                <w:sz w:val="22"/>
                <w:szCs w:val="22"/>
                <w:u w:val="none"/>
                <w:lang w:val="en-US" w:eastAsia="zh-CN" w:bidi="ar"/>
              </w:rPr>
              <w:t>节能环保支出</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i w:val="0"/>
                <w:iCs w:val="0"/>
                <w:color w:val="000000"/>
                <w:kern w:val="0"/>
                <w:sz w:val="22"/>
                <w:szCs w:val="22"/>
                <w:u w:val="none"/>
                <w:lang w:val="en-US" w:eastAsia="zh-CN" w:bidi="ar"/>
              </w:rPr>
              <w:t xml:space="preserve">54.44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eastAsia="zh-CN"/>
              </w:rPr>
            </w:pPr>
            <w:r>
              <w:rPr>
                <w:rFonts w:hint="default" w:ascii="Times New Roman" w:hAnsi="Times New Roman" w:eastAsia="仿宋" w:cs="Times New Roman"/>
                <w:b/>
                <w:bCs/>
                <w:i w:val="0"/>
                <w:iCs w:val="0"/>
                <w:color w:val="000000"/>
                <w:kern w:val="0"/>
                <w:sz w:val="22"/>
                <w:szCs w:val="22"/>
                <w:u w:val="none"/>
                <w:lang w:val="en-US" w:eastAsia="zh-CN" w:bidi="ar"/>
              </w:rPr>
              <w:t>1</w:t>
            </w:r>
          </w:p>
        </w:tc>
        <w:tc>
          <w:tcPr>
            <w:tcW w:w="48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其他节能环保支出</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i w:val="0"/>
                <w:iCs w:val="0"/>
                <w:color w:val="000000"/>
                <w:kern w:val="0"/>
                <w:sz w:val="22"/>
                <w:szCs w:val="22"/>
                <w:u w:val="none"/>
                <w:lang w:val="en-US" w:eastAsia="zh-CN" w:bidi="ar"/>
              </w:rPr>
              <w:t xml:space="preserve">54.44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b/>
                <w:bCs/>
                <w:i w:val="0"/>
                <w:iCs w:val="0"/>
                <w:color w:val="000000"/>
                <w:kern w:val="0"/>
                <w:sz w:val="22"/>
                <w:szCs w:val="22"/>
                <w:u w:val="none"/>
                <w:lang w:val="en-US" w:eastAsia="zh-CN" w:bidi="ar"/>
              </w:rPr>
              <w:t>三</w:t>
            </w:r>
          </w:p>
        </w:tc>
        <w:tc>
          <w:tcPr>
            <w:tcW w:w="48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b/>
                <w:bCs/>
                <w:i w:val="0"/>
                <w:iCs w:val="0"/>
                <w:color w:val="000000"/>
                <w:kern w:val="0"/>
                <w:sz w:val="22"/>
                <w:szCs w:val="22"/>
                <w:u w:val="none"/>
                <w:lang w:val="en-US" w:eastAsia="zh-CN" w:bidi="ar"/>
              </w:rPr>
              <w:t>城乡社区支出</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b/>
                <w:bCs/>
                <w:i w:val="0"/>
                <w:iCs w:val="0"/>
                <w:color w:val="000000"/>
                <w:kern w:val="0"/>
                <w:sz w:val="22"/>
                <w:szCs w:val="22"/>
                <w:u w:val="none"/>
                <w:lang w:val="en-US" w:eastAsia="zh-CN" w:bidi="ar"/>
              </w:rPr>
              <w:t xml:space="preserve">2,952.41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b/>
                <w:bCs/>
                <w:i w:val="0"/>
                <w:iCs w:val="0"/>
                <w:color w:val="000000"/>
                <w:kern w:val="0"/>
                <w:sz w:val="22"/>
                <w:szCs w:val="22"/>
                <w:u w:val="none"/>
                <w:lang w:val="en-US" w:eastAsia="zh-CN" w:bidi="ar"/>
              </w:rPr>
              <w:t>1</w:t>
            </w:r>
          </w:p>
        </w:tc>
        <w:tc>
          <w:tcPr>
            <w:tcW w:w="48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rPr>
            </w:pPr>
            <w:r>
              <w:rPr>
                <w:rFonts w:hint="default" w:ascii="Times New Roman" w:hAnsi="Times New Roman" w:eastAsia="仿宋" w:cs="Times New Roman"/>
                <w:i w:val="0"/>
                <w:iCs w:val="0"/>
                <w:color w:val="000000"/>
                <w:kern w:val="0"/>
                <w:sz w:val="22"/>
                <w:szCs w:val="22"/>
                <w:u w:val="none"/>
                <w:lang w:val="en-US" w:eastAsia="zh-CN" w:bidi="ar"/>
              </w:rPr>
              <w:t>城乡社区管理事务</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i w:val="0"/>
                <w:iCs w:val="0"/>
                <w:color w:val="000000"/>
                <w:kern w:val="0"/>
                <w:sz w:val="22"/>
                <w:szCs w:val="22"/>
                <w:u w:val="none"/>
                <w:lang w:val="en-US" w:eastAsia="zh-CN" w:bidi="ar"/>
              </w:rPr>
              <w:t xml:space="preserve">1,159.71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b/>
                <w:bCs/>
                <w:i w:val="0"/>
                <w:iCs w:val="0"/>
                <w:color w:val="000000"/>
                <w:kern w:val="0"/>
                <w:sz w:val="22"/>
                <w:szCs w:val="22"/>
                <w:u w:val="none"/>
                <w:lang w:val="en-US" w:eastAsia="zh-CN" w:bidi="ar"/>
              </w:rPr>
              <w:t>2</w:t>
            </w:r>
          </w:p>
        </w:tc>
        <w:tc>
          <w:tcPr>
            <w:tcW w:w="48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城乡社区规划与管理</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val="0"/>
                <w:bCs w:val="0"/>
                <w:sz w:val="22"/>
                <w:szCs w:val="22"/>
                <w:lang w:val="en-US" w:eastAsia="zh-CN"/>
              </w:rPr>
            </w:pPr>
            <w:r>
              <w:rPr>
                <w:rFonts w:hint="default" w:ascii="Times New Roman" w:hAnsi="Times New Roman" w:eastAsia="仿宋" w:cs="Times New Roman"/>
                <w:i w:val="0"/>
                <w:iCs w:val="0"/>
                <w:color w:val="000000"/>
                <w:kern w:val="0"/>
                <w:sz w:val="22"/>
                <w:szCs w:val="22"/>
                <w:u w:val="none"/>
                <w:lang w:val="en-US" w:eastAsia="zh-CN" w:bidi="ar"/>
              </w:rPr>
              <w:t xml:space="preserve">136.23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b/>
                <w:bCs/>
                <w:i w:val="0"/>
                <w:iCs w:val="0"/>
                <w:color w:val="000000"/>
                <w:kern w:val="0"/>
                <w:sz w:val="22"/>
                <w:szCs w:val="22"/>
                <w:u w:val="none"/>
                <w:lang w:val="en-US" w:eastAsia="zh-CN" w:bidi="ar"/>
              </w:rPr>
              <w:t>3</w:t>
            </w:r>
          </w:p>
        </w:tc>
        <w:tc>
          <w:tcPr>
            <w:tcW w:w="48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城乡社区公共设施</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val="0"/>
                <w:bCs w:val="0"/>
                <w:sz w:val="22"/>
                <w:szCs w:val="22"/>
                <w:lang w:val="en-US" w:eastAsia="zh-CN"/>
              </w:rPr>
            </w:pPr>
            <w:r>
              <w:rPr>
                <w:rFonts w:hint="default" w:ascii="Times New Roman" w:hAnsi="Times New Roman" w:eastAsia="仿宋" w:cs="Times New Roman"/>
                <w:i w:val="0"/>
                <w:iCs w:val="0"/>
                <w:color w:val="000000"/>
                <w:kern w:val="0"/>
                <w:sz w:val="22"/>
                <w:szCs w:val="22"/>
                <w:u w:val="none"/>
                <w:lang w:val="en-US" w:eastAsia="zh-CN" w:bidi="ar"/>
              </w:rPr>
              <w:t xml:space="preserve">497.60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b/>
                <w:bCs/>
                <w:i w:val="0"/>
                <w:iCs w:val="0"/>
                <w:color w:val="000000"/>
                <w:kern w:val="0"/>
                <w:sz w:val="22"/>
                <w:szCs w:val="22"/>
                <w:u w:val="none"/>
                <w:lang w:val="en-US" w:eastAsia="zh-CN" w:bidi="ar"/>
              </w:rPr>
              <w:t>4</w:t>
            </w:r>
          </w:p>
        </w:tc>
        <w:tc>
          <w:tcPr>
            <w:tcW w:w="48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i w:val="0"/>
                <w:iCs w:val="0"/>
                <w:color w:val="000000"/>
                <w:kern w:val="0"/>
                <w:sz w:val="22"/>
                <w:szCs w:val="22"/>
                <w:u w:val="none"/>
                <w:lang w:val="en-US" w:eastAsia="zh-CN" w:bidi="ar"/>
              </w:rPr>
              <w:t>城乡社区环境卫生</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i w:val="0"/>
                <w:iCs w:val="0"/>
                <w:color w:val="000000"/>
                <w:kern w:val="0"/>
                <w:sz w:val="22"/>
                <w:szCs w:val="22"/>
                <w:u w:val="none"/>
                <w:lang w:val="en-US" w:eastAsia="zh-CN" w:bidi="ar"/>
              </w:rPr>
              <w:t xml:space="preserve">89.45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b/>
                <w:bCs/>
                <w:i w:val="0"/>
                <w:iCs w:val="0"/>
                <w:color w:val="000000"/>
                <w:kern w:val="0"/>
                <w:sz w:val="22"/>
                <w:szCs w:val="22"/>
                <w:u w:val="none"/>
                <w:lang w:val="en-US" w:eastAsia="zh-CN" w:bidi="ar"/>
              </w:rPr>
              <w:t>5</w:t>
            </w:r>
          </w:p>
        </w:tc>
        <w:tc>
          <w:tcPr>
            <w:tcW w:w="48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其他城乡社区支出</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val="0"/>
                <w:bCs w:val="0"/>
                <w:sz w:val="22"/>
                <w:szCs w:val="22"/>
                <w:lang w:val="en-US" w:eastAsia="zh-CN"/>
              </w:rPr>
            </w:pPr>
            <w:r>
              <w:rPr>
                <w:rFonts w:hint="default" w:ascii="Times New Roman" w:hAnsi="Times New Roman" w:eastAsia="仿宋" w:cs="Times New Roman"/>
                <w:i w:val="0"/>
                <w:iCs w:val="0"/>
                <w:color w:val="000000"/>
                <w:kern w:val="0"/>
                <w:sz w:val="22"/>
                <w:szCs w:val="22"/>
                <w:u w:val="none"/>
                <w:lang w:val="en-US" w:eastAsia="zh-CN" w:bidi="ar"/>
              </w:rPr>
              <w:t xml:space="preserve">1,069.42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b/>
                <w:bCs/>
                <w:i w:val="0"/>
                <w:iCs w:val="0"/>
                <w:color w:val="000000"/>
                <w:kern w:val="0"/>
                <w:sz w:val="22"/>
                <w:szCs w:val="22"/>
                <w:u w:val="none"/>
                <w:lang w:val="en-US" w:eastAsia="zh-CN" w:bidi="ar"/>
              </w:rPr>
              <w:t>四</w:t>
            </w:r>
          </w:p>
        </w:tc>
        <w:tc>
          <w:tcPr>
            <w:tcW w:w="48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b/>
                <w:bCs/>
                <w:i w:val="0"/>
                <w:iCs w:val="0"/>
                <w:color w:val="000000"/>
                <w:kern w:val="0"/>
                <w:sz w:val="22"/>
                <w:szCs w:val="22"/>
                <w:u w:val="none"/>
                <w:lang w:val="en-US" w:eastAsia="zh-CN" w:bidi="ar"/>
              </w:rPr>
              <w:t>住房保障支出</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val="0"/>
                <w:bCs w:val="0"/>
                <w:sz w:val="22"/>
                <w:szCs w:val="22"/>
                <w:lang w:val="en-US" w:eastAsia="zh-CN"/>
              </w:rPr>
            </w:pPr>
            <w:r>
              <w:rPr>
                <w:rFonts w:hint="default" w:ascii="Times New Roman" w:hAnsi="Times New Roman" w:eastAsia="仿宋" w:cs="Times New Roman"/>
                <w:b/>
                <w:bCs/>
                <w:i w:val="0"/>
                <w:iCs w:val="0"/>
                <w:color w:val="000000"/>
                <w:kern w:val="0"/>
                <w:sz w:val="22"/>
                <w:szCs w:val="22"/>
                <w:u w:val="none"/>
                <w:lang w:val="en-US" w:eastAsia="zh-CN" w:bidi="ar"/>
              </w:rPr>
              <w:t xml:space="preserve">3,470.48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b/>
                <w:bCs/>
                <w:i w:val="0"/>
                <w:iCs w:val="0"/>
                <w:color w:val="000000"/>
                <w:kern w:val="0"/>
                <w:sz w:val="22"/>
                <w:szCs w:val="22"/>
                <w:u w:val="none"/>
                <w:lang w:val="en-US" w:eastAsia="zh-CN" w:bidi="ar"/>
              </w:rPr>
              <w:t>1</w:t>
            </w:r>
          </w:p>
        </w:tc>
        <w:tc>
          <w:tcPr>
            <w:tcW w:w="48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保障性安居工程支出</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val="0"/>
                <w:bCs w:val="0"/>
                <w:sz w:val="22"/>
                <w:szCs w:val="22"/>
                <w:lang w:val="en-US" w:eastAsia="zh-CN"/>
              </w:rPr>
            </w:pPr>
            <w:r>
              <w:rPr>
                <w:rFonts w:hint="default" w:ascii="Times New Roman" w:hAnsi="Times New Roman" w:eastAsia="仿宋" w:cs="Times New Roman"/>
                <w:i w:val="0"/>
                <w:iCs w:val="0"/>
                <w:color w:val="000000"/>
                <w:kern w:val="0"/>
                <w:sz w:val="22"/>
                <w:szCs w:val="22"/>
                <w:u w:val="none"/>
                <w:lang w:val="en-US" w:eastAsia="zh-CN" w:bidi="ar"/>
              </w:rPr>
              <w:t xml:space="preserve">3,470.48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b/>
                <w:bCs/>
                <w:i w:val="0"/>
                <w:iCs w:val="0"/>
                <w:color w:val="000000"/>
                <w:kern w:val="0"/>
                <w:sz w:val="22"/>
                <w:szCs w:val="22"/>
                <w:u w:val="none"/>
                <w:lang w:val="en-US" w:eastAsia="zh-CN" w:bidi="ar"/>
              </w:rPr>
              <w:t>五</w:t>
            </w:r>
          </w:p>
        </w:tc>
        <w:tc>
          <w:tcPr>
            <w:tcW w:w="48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b/>
                <w:bCs/>
                <w:i w:val="0"/>
                <w:iCs w:val="0"/>
                <w:color w:val="000000"/>
                <w:kern w:val="0"/>
                <w:sz w:val="22"/>
                <w:szCs w:val="22"/>
                <w:u w:val="none"/>
                <w:lang w:val="en-US" w:eastAsia="zh-CN" w:bidi="ar"/>
              </w:rPr>
              <w:t>其他支出</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lang w:val="en-US" w:eastAsia="zh-CN"/>
              </w:rPr>
            </w:pPr>
            <w:r>
              <w:rPr>
                <w:rFonts w:hint="default" w:ascii="Times New Roman" w:hAnsi="Times New Roman" w:eastAsia="仿宋" w:cs="Times New Roman"/>
                <w:b/>
                <w:bCs/>
                <w:i w:val="0"/>
                <w:iCs w:val="0"/>
                <w:color w:val="000000"/>
                <w:kern w:val="0"/>
                <w:sz w:val="22"/>
                <w:szCs w:val="22"/>
                <w:u w:val="none"/>
                <w:lang w:val="en-US" w:eastAsia="zh-CN" w:bidi="ar"/>
              </w:rPr>
              <w:t xml:space="preserve">4,834.52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5"/>
                <w:sz w:val="22"/>
                <w:szCs w:val="22"/>
              </w:rPr>
            </w:pPr>
            <w:r>
              <w:rPr>
                <w:rFonts w:hint="default" w:ascii="Times New Roman" w:hAnsi="Times New Roman" w:eastAsia="仿宋" w:cs="Times New Roman"/>
                <w:b/>
                <w:bCs/>
                <w:i w:val="0"/>
                <w:iCs w:val="0"/>
                <w:color w:val="000000"/>
                <w:kern w:val="0"/>
                <w:sz w:val="22"/>
                <w:szCs w:val="22"/>
                <w:u w:val="none"/>
                <w:lang w:val="en-US" w:eastAsia="zh-CN" w:bidi="ar"/>
              </w:rPr>
              <w:t>1</w:t>
            </w:r>
          </w:p>
        </w:tc>
        <w:tc>
          <w:tcPr>
            <w:tcW w:w="48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4"/>
                <w:sz w:val="22"/>
                <w:szCs w:val="22"/>
                <w:lang w:val="en-US" w:eastAsia="zh-CN"/>
              </w:rPr>
            </w:pPr>
            <w:r>
              <w:rPr>
                <w:rFonts w:hint="default" w:ascii="Times New Roman" w:hAnsi="Times New Roman" w:eastAsia="仿宋" w:cs="Times New Roman"/>
                <w:i w:val="0"/>
                <w:iCs w:val="0"/>
                <w:color w:val="000000"/>
                <w:kern w:val="0"/>
                <w:sz w:val="22"/>
                <w:szCs w:val="22"/>
                <w:u w:val="none"/>
                <w:lang w:val="en-US" w:eastAsia="zh-CN" w:bidi="ar"/>
              </w:rPr>
              <w:t>其他政府性基金及对应专项债务收入安排的支出</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spacing w:val="-4"/>
                <w:sz w:val="22"/>
                <w:szCs w:val="22"/>
                <w:lang w:val="en-US" w:eastAsia="zh-CN"/>
              </w:rPr>
            </w:pPr>
            <w:r>
              <w:rPr>
                <w:rFonts w:hint="default" w:ascii="Times New Roman" w:hAnsi="Times New Roman" w:eastAsia="仿宋" w:cs="Times New Roman"/>
                <w:i w:val="0"/>
                <w:iCs w:val="0"/>
                <w:color w:val="000000"/>
                <w:kern w:val="0"/>
                <w:sz w:val="22"/>
                <w:szCs w:val="22"/>
                <w:u w:val="none"/>
                <w:lang w:val="en-US" w:eastAsia="zh-CN" w:bidi="ar"/>
              </w:rPr>
              <w:t xml:space="preserve">4,200.00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2"/>
                <w:szCs w:val="22"/>
                <w:u w:val="none"/>
                <w:lang w:val="en-US" w:eastAsia="zh-CN" w:bidi="ar"/>
              </w:rPr>
            </w:pPr>
            <w:r>
              <w:rPr>
                <w:rFonts w:hint="default" w:ascii="Times New Roman" w:hAnsi="Times New Roman" w:eastAsia="仿宋" w:cs="Times New Roman"/>
                <w:b/>
                <w:bCs/>
                <w:i w:val="0"/>
                <w:iCs w:val="0"/>
                <w:color w:val="000000"/>
                <w:kern w:val="0"/>
                <w:sz w:val="22"/>
                <w:szCs w:val="22"/>
                <w:u w:val="none"/>
                <w:lang w:val="en-US" w:eastAsia="zh-CN" w:bidi="ar"/>
              </w:rPr>
              <w:t>2</w:t>
            </w:r>
          </w:p>
        </w:tc>
        <w:tc>
          <w:tcPr>
            <w:tcW w:w="489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其他支出</w:t>
            </w: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i w:val="0"/>
                <w:iCs w:val="0"/>
                <w:color w:val="000000"/>
                <w:kern w:val="0"/>
                <w:sz w:val="22"/>
                <w:szCs w:val="22"/>
                <w:u w:val="none"/>
                <w:lang w:val="en-US" w:eastAsia="zh-CN" w:bidi="ar"/>
              </w:rPr>
              <w:t xml:space="preserve">634.52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b/>
                <w:bCs/>
                <w:i w:val="0"/>
                <w:iCs w:val="0"/>
                <w:color w:val="000000"/>
                <w:kern w:val="0"/>
                <w:sz w:val="22"/>
                <w:szCs w:val="22"/>
                <w:u w:val="none"/>
                <w:lang w:val="en-US" w:eastAsia="zh-CN" w:bidi="ar"/>
              </w:rPr>
            </w:pPr>
            <w:r>
              <w:rPr>
                <w:rFonts w:hint="default" w:ascii="Times New Roman" w:hAnsi="Times New Roman" w:eastAsia="仿宋" w:cs="Times New Roman"/>
                <w:b/>
                <w:bCs/>
                <w:i w:val="0"/>
                <w:iCs w:val="0"/>
                <w:color w:val="000000"/>
                <w:kern w:val="0"/>
                <w:sz w:val="22"/>
                <w:szCs w:val="22"/>
                <w:u w:val="none"/>
                <w:lang w:val="en-US" w:eastAsia="zh-CN" w:bidi="ar"/>
              </w:rPr>
              <w:t>合计</w:t>
            </w:r>
          </w:p>
        </w:tc>
        <w:tc>
          <w:tcPr>
            <w:tcW w:w="489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kern w:val="0"/>
                <w:sz w:val="22"/>
                <w:szCs w:val="22"/>
                <w:u w:val="none"/>
                <w:lang w:val="en-US" w:eastAsia="zh-CN" w:bidi="ar"/>
              </w:rPr>
            </w:pPr>
          </w:p>
        </w:tc>
        <w:tc>
          <w:tcPr>
            <w:tcW w:w="204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2"/>
                <w:szCs w:val="22"/>
                <w:u w:val="none"/>
                <w:lang w:val="en-US" w:eastAsia="zh-CN" w:bidi="ar"/>
              </w:rPr>
            </w:pPr>
            <w:r>
              <w:rPr>
                <w:rFonts w:hint="default" w:ascii="Times New Roman" w:hAnsi="Times New Roman" w:eastAsia="仿宋" w:cs="Times New Roman"/>
                <w:b/>
                <w:bCs/>
                <w:i w:val="0"/>
                <w:iCs w:val="0"/>
                <w:color w:val="000000"/>
                <w:kern w:val="0"/>
                <w:sz w:val="22"/>
                <w:szCs w:val="22"/>
                <w:u w:val="none"/>
                <w:lang w:val="en-US" w:eastAsia="zh-CN" w:bidi="ar"/>
              </w:rPr>
              <w:t xml:space="preserve">11,384.84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1" w:firstLineChars="100"/>
        <w:jc w:val="both"/>
        <w:textAlignment w:val="auto"/>
        <w:outlineLvl w:val="1"/>
        <w:rPr>
          <w:rFonts w:hint="default" w:ascii="Times New Roman Regular" w:hAnsi="Times New Roman Regular" w:eastAsia="楷体" w:cs="Times New Roman Regular"/>
          <w:b/>
          <w:bCs/>
          <w:sz w:val="32"/>
          <w:szCs w:val="32"/>
          <w:lang w:val="en-US" w:eastAsia="zh-CN"/>
        </w:rPr>
      </w:pPr>
      <w:bookmarkStart w:id="7" w:name="_Toc704"/>
      <w:r>
        <w:rPr>
          <w:rFonts w:hint="default" w:ascii="Times New Roman Regular" w:hAnsi="Times New Roman Regular" w:eastAsia="楷体" w:cs="Times New Roman Regular"/>
          <w:b/>
          <w:bCs/>
          <w:sz w:val="32"/>
          <w:szCs w:val="32"/>
          <w:lang w:val="en-US" w:eastAsia="zh-CN"/>
        </w:rPr>
        <w:t>（三）资金管理情况</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制定了《北塔区住建局财务管理办法</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北塔区住建局财务内控制度（试行）</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北塔区住建局财务集中会审实施办法》等一系列合法合规、较为完整的、具有很强的可操作性财务管理制度。坚持经费预算科学化、精细化，执行控制规范化、责任化，监督检查常态化、同步化。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8" w:name="_Toc28399"/>
      <w:r>
        <w:rPr>
          <w:rFonts w:hint="eastAsia" w:ascii="Times New Roman Regular" w:hAnsi="Times New Roman Regular" w:eastAsia="黑体" w:cs="Times New Roman Regular"/>
          <w:b/>
          <w:bCs/>
          <w:kern w:val="2"/>
          <w:sz w:val="32"/>
          <w:szCs w:val="32"/>
          <w:lang w:val="en-US" w:eastAsia="zh-CN" w:bidi="ar-SA"/>
        </w:rPr>
        <w:t>三</w:t>
      </w:r>
      <w:r>
        <w:rPr>
          <w:rFonts w:hint="default" w:ascii="Times New Roman Regular" w:hAnsi="Times New Roman Regular" w:eastAsia="黑体" w:cs="Times New Roman Regular"/>
          <w:b/>
          <w:bCs/>
          <w:kern w:val="2"/>
          <w:sz w:val="32"/>
          <w:szCs w:val="32"/>
          <w:lang w:val="en-US" w:eastAsia="zh-CN" w:bidi="ar-SA"/>
        </w:rPr>
        <w:t>、第三方重点绩效评价工作情况</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9" w:name="_Toc25357"/>
      <w:r>
        <w:rPr>
          <w:rFonts w:hint="default" w:ascii="Times New Roman Regular" w:hAnsi="Times New Roman Regular" w:eastAsia="楷体" w:cs="Times New Roman Regular"/>
          <w:b/>
          <w:bCs/>
          <w:sz w:val="32"/>
          <w:szCs w:val="32"/>
          <w:lang w:val="en-US" w:eastAsia="zh-CN"/>
        </w:rPr>
        <w:t>（一）重点绩效评价目的</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通过开展第三方重点绩效评价，全面了解、分析部门</w:t>
      </w:r>
      <w:r>
        <w:rPr>
          <w:rFonts w:hint="eastAsia" w:ascii="Times New Roman Regular" w:hAnsi="Times New Roman Regular" w:eastAsia="仿宋" w:cs="Times New Roman Regular"/>
          <w:b w:val="0"/>
          <w:bCs w:val="0"/>
          <w:sz w:val="32"/>
          <w:szCs w:val="32"/>
          <w:lang w:val="en-US" w:eastAsia="zh-CN"/>
        </w:rPr>
        <w:t>整体</w:t>
      </w:r>
      <w:r>
        <w:rPr>
          <w:rFonts w:hint="default" w:ascii="Times New Roman Regular" w:hAnsi="Times New Roman Regular" w:eastAsia="仿宋" w:cs="Times New Roman Regular"/>
          <w:b w:val="0"/>
          <w:bCs w:val="0"/>
          <w:sz w:val="32"/>
          <w:szCs w:val="32"/>
          <w:lang w:val="en-US" w:eastAsia="zh-CN"/>
        </w:rPr>
        <w:t>支出情况，包括部门基本支出和项目支出。主要是部门财政支出管理情况，具体从资金的投入、过程、产出和效果四个方面进行评价。重点评价关注贯彻落实厉行节约、严控</w:t>
      </w:r>
      <w:r>
        <w:rPr>
          <w:rFonts w:hint="eastAsia" w:ascii="仿宋" w:hAnsi="仿宋" w:eastAsia="仿宋" w:cs="仿宋"/>
          <w:b w:val="0"/>
          <w:bCs w:val="0"/>
          <w:sz w:val="32"/>
          <w:szCs w:val="32"/>
          <w:lang w:val="en-US" w:eastAsia="zh-CN"/>
        </w:rPr>
        <w:t>“三公”</w:t>
      </w:r>
      <w:r>
        <w:rPr>
          <w:rFonts w:hint="default" w:ascii="Times New Roman Regular" w:hAnsi="Times New Roman Regular" w:eastAsia="仿宋" w:cs="Times New Roman Regular"/>
          <w:b w:val="0"/>
          <w:bCs w:val="0"/>
          <w:sz w:val="32"/>
          <w:szCs w:val="32"/>
          <w:lang w:val="en-US" w:eastAsia="zh-CN"/>
        </w:rPr>
        <w:t>经费、降低一般运行经费、加强项目支出管理等方面取得的成绩、存在的问题及改进措施。增强职能设置科学合理性、</w:t>
      </w:r>
      <w:r>
        <w:rPr>
          <w:rFonts w:hint="default" w:ascii="Times New Roman Regular" w:hAnsi="Times New Roman Regular" w:eastAsia="仿宋" w:cs="Times New Roman Regular"/>
          <w:b w:val="0"/>
          <w:bCs w:val="0"/>
          <w:color w:val="auto"/>
          <w:sz w:val="32"/>
          <w:szCs w:val="32"/>
          <w:lang w:val="en-US" w:eastAsia="zh-CN"/>
        </w:rPr>
        <w:t>部门中长期财政规划适应性、</w:t>
      </w:r>
      <w:r>
        <w:rPr>
          <w:rFonts w:hint="default" w:ascii="Times New Roman Regular" w:hAnsi="Times New Roman Regular" w:eastAsia="仿宋" w:cs="Times New Roman Regular"/>
          <w:b w:val="0"/>
          <w:bCs w:val="0"/>
          <w:sz w:val="32"/>
          <w:szCs w:val="32"/>
          <w:lang w:val="en-US" w:eastAsia="zh-CN"/>
        </w:rPr>
        <w:t>年度工作计划科学完整性、年度绩效目标明确性、年度部门预算计划科学性，规划部门预算执行管理、内部制度管理，切实提高部门产出及效益。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0" w:name="_Toc27998"/>
      <w:r>
        <w:rPr>
          <w:rFonts w:hint="default" w:ascii="Times New Roman Regular" w:hAnsi="Times New Roman Regular" w:eastAsia="楷体" w:cs="Times New Roman Regular"/>
          <w:b/>
          <w:bCs/>
          <w:sz w:val="32"/>
          <w:szCs w:val="32"/>
          <w:lang w:val="en-US" w:eastAsia="zh-CN"/>
        </w:rPr>
        <w:t>（二）重点绩效评价工作过程</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参考</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Regular" w:hAnsi="Times New Roman Regular" w:eastAsia="仿宋" w:cs="Times New Roman Regular"/>
          <w:b w:val="0"/>
          <w:bCs w:val="0"/>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1、前期准备。专</w:t>
      </w:r>
      <w:r>
        <w:rPr>
          <w:rFonts w:hint="eastAsia" w:ascii="Times New Roman Regular" w:hAnsi="Times New Roman Regular" w:eastAsia="仿宋" w:cs="Times New Roman Regular"/>
          <w:b w:val="0"/>
          <w:bCs w:val="0"/>
          <w:sz w:val="32"/>
          <w:szCs w:val="32"/>
          <w:lang w:val="en-US" w:eastAsia="zh-CN"/>
        </w:rPr>
        <w:t>门</w:t>
      </w:r>
      <w:r>
        <w:rPr>
          <w:rFonts w:hint="default" w:ascii="Times New Roman Regular" w:hAnsi="Times New Roman Regular" w:eastAsia="仿宋" w:cs="Times New Roman Regular"/>
          <w:b w:val="0"/>
          <w:bCs w:val="0"/>
          <w:sz w:val="32"/>
          <w:szCs w:val="32"/>
          <w:lang w:val="en-US" w:eastAsia="zh-CN"/>
        </w:rPr>
        <w:t>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2、具体实施。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w:t>
      </w:r>
      <w:r>
        <w:rPr>
          <w:rFonts w:hint="eastAsia" w:ascii="Times New Roman Regular" w:hAnsi="Times New Roman Regular" w:eastAsia="仿宋" w:cs="Times New Roman Regular"/>
          <w:b w:val="0"/>
          <w:bCs w:val="0"/>
          <w:sz w:val="32"/>
          <w:szCs w:val="32"/>
          <w:lang w:val="en-US" w:eastAsia="zh-CN"/>
        </w:rPr>
        <w:t>通过</w:t>
      </w:r>
      <w:r>
        <w:rPr>
          <w:rFonts w:hint="default" w:ascii="Times New Roman Regular" w:hAnsi="Times New Roman Regular" w:eastAsia="仿宋" w:cs="Times New Roman Regular"/>
          <w:b w:val="0"/>
          <w:bCs w:val="0"/>
          <w:sz w:val="32"/>
          <w:szCs w:val="32"/>
          <w:lang w:val="en-US" w:eastAsia="zh-CN"/>
        </w:rPr>
        <w:t>与相关负责人员面对面交谈、现场查看</w:t>
      </w:r>
      <w:r>
        <w:rPr>
          <w:rFonts w:hint="default" w:ascii="Times New Roman Regular" w:hAnsi="Times New Roman Regular" w:eastAsia="仿宋" w:cs="Times New Roman Regular"/>
          <w:b w:val="0"/>
          <w:bCs w:val="0"/>
          <w:sz w:val="32"/>
          <w:szCs w:val="32"/>
          <w:lang w:eastAsia="zh-CN"/>
        </w:rPr>
        <w:t>邵阳市北塔区</w:t>
      </w:r>
      <w:r>
        <w:rPr>
          <w:rFonts w:hint="default" w:ascii="Times New Roman Regular" w:hAnsi="Times New Roman Regular" w:eastAsia="仿宋" w:cs="Times New Roman Regular"/>
          <w:b w:val="0"/>
          <w:bCs w:val="0"/>
          <w:sz w:val="32"/>
          <w:szCs w:val="32"/>
          <w:lang w:val="en-US" w:eastAsia="zh-CN"/>
        </w:rPr>
        <w:t>专项项目实施等方式，采集了相关数据，核查了资金使用、相关制度落实等情况；三是形成评价报告。通过对相关资料进行综合分析，按照确定的评价指标和标准，结合现场评价情况，得出评价结论，形成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1" w:name="_Toc10330"/>
      <w:r>
        <w:rPr>
          <w:rFonts w:hint="eastAsia" w:ascii="Times New Roman Regular" w:hAnsi="Times New Roman Regular" w:eastAsia="黑体" w:cs="Times New Roman Regular"/>
          <w:b/>
          <w:bCs/>
          <w:kern w:val="2"/>
          <w:sz w:val="32"/>
          <w:szCs w:val="32"/>
          <w:lang w:val="en-US" w:eastAsia="zh-CN" w:bidi="ar-SA"/>
        </w:rPr>
        <w:t>四</w:t>
      </w:r>
      <w:r>
        <w:rPr>
          <w:rFonts w:hint="default" w:ascii="Times New Roman Regular" w:hAnsi="Times New Roman Regular" w:eastAsia="黑体" w:cs="Times New Roman Regular"/>
          <w:b/>
          <w:bCs/>
          <w:kern w:val="2"/>
          <w:sz w:val="32"/>
          <w:szCs w:val="32"/>
          <w:lang w:val="en-US" w:eastAsia="zh-CN" w:bidi="ar-SA"/>
        </w:rPr>
        <w:t>、部门整体支出绩效情况</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highlight w:val="none"/>
          <w:lang w:val="en-US" w:eastAsia="zh-CN"/>
        </w:rPr>
      </w:pPr>
      <w:bookmarkStart w:id="12" w:name="_Toc32711"/>
      <w:r>
        <w:rPr>
          <w:rFonts w:hint="default" w:ascii="Times New Roman Regular" w:hAnsi="Times New Roman Regular" w:eastAsia="楷体" w:cs="Times New Roman Regular"/>
          <w:b/>
          <w:bCs/>
          <w:sz w:val="32"/>
          <w:szCs w:val="32"/>
          <w:highlight w:val="none"/>
          <w:lang w:val="en-US" w:eastAsia="zh-CN"/>
        </w:rPr>
        <w:t>（一）部门整体实际产出</w:t>
      </w:r>
      <w:r>
        <w:rPr>
          <w:rFonts w:hint="eastAsia" w:ascii="Times New Roman Regular" w:hAnsi="Times New Roman Regular" w:eastAsia="楷体" w:cs="Times New Roman Regular"/>
          <w:b/>
          <w:bCs/>
          <w:sz w:val="32"/>
          <w:szCs w:val="32"/>
          <w:highlight w:val="none"/>
          <w:lang w:val="en-US" w:eastAsia="zh-CN"/>
        </w:rPr>
        <w:t>效益</w:t>
      </w:r>
      <w:r>
        <w:rPr>
          <w:rFonts w:hint="default" w:ascii="Times New Roman Regular" w:hAnsi="Times New Roman Regular" w:eastAsia="楷体" w:cs="Times New Roman Regular"/>
          <w:b/>
          <w:bCs/>
          <w:sz w:val="32"/>
          <w:szCs w:val="32"/>
          <w:highlight w:val="none"/>
          <w:lang w:val="en-US" w:eastAsia="zh-CN"/>
        </w:rPr>
        <w:t>情况</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bookmarkStart w:id="13" w:name="_Toc12228"/>
      <w:bookmarkStart w:id="14" w:name="_Toc32652"/>
      <w:r>
        <w:rPr>
          <w:rFonts w:hint="eastAsia" w:ascii="Times New Roman Regular" w:hAnsi="Times New Roman Regular" w:eastAsia="仿宋" w:cs="Times New Roman Regular"/>
          <w:b w:val="0"/>
          <w:bCs w:val="0"/>
          <w:sz w:val="32"/>
          <w:szCs w:val="32"/>
          <w:lang w:val="en-US" w:eastAsia="zh-CN"/>
        </w:rPr>
        <w:t>2022年，北塔区住建局充分履行职责职能，严格执行各项管理制度，经济、社会等效益显著、社会公众满意度上升，较好地完成了全年工作目标，主要对以下方面特别完成。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1.预算执行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北塔区政府政务公开网公布部门财政预算批复及执行情况，及时公布“三公经费”支出情况，接受监督。三是建立健全项目资金管理制度。对于财政性专项资金，在区财政局的督导下，严格按专项资金项目实施方案执行，督促项目承担单位加快项目实施进度，及时办理报账、验收、结算等相关手续，做到不集中使用、不滥用资金，最大限度提高专项资金利用效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2.预算管理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为规范机关财务管理，建立健全财务管理制度，住建局制订了《北塔区住建局财务管理办法》《北塔区住建局财务内控制度（试行）》《北塔区住建局财务集中会审实施办法》等一系列合法合规、较为完整的、具有很强的可操作性财务管理制度。坚持经费预算科学化、精细化，执行控制规范化、责任化，监督检查常态化、同步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资金的支付符合国家财经法规和财务管理制度规定，以及有关专项资金管理办法的规定；资金拨付有完整的审批程序和手续；支出符合部门预算批复的用途；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3.提升支出绩效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2022年，住建局全面落实省委、省政府和市委、市政府及区政府的工作部署，紧紧围绕全年工作目标，科学谋划，开拓进取，各项工作任务全面完成，财务管理规范，单位行政运行稳定有序。</w:t>
      </w:r>
    </w:p>
    <w:bookmarkEnd w:id="13"/>
    <w:bookmarkEnd w:id="14"/>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highlight w:val="none"/>
          <w:lang w:val="en-US" w:eastAsia="zh-CN"/>
        </w:rPr>
      </w:pPr>
      <w:bookmarkStart w:id="15" w:name="_Toc24016"/>
      <w:r>
        <w:rPr>
          <w:rFonts w:hint="default" w:ascii="Times New Roman Regular" w:hAnsi="Times New Roman Regular" w:eastAsia="楷体" w:cs="Times New Roman Regular"/>
          <w:b/>
          <w:bCs/>
          <w:sz w:val="32"/>
          <w:szCs w:val="32"/>
          <w:highlight w:val="none"/>
          <w:lang w:val="en-US" w:eastAsia="zh-CN"/>
        </w:rPr>
        <w:t>（</w:t>
      </w:r>
      <w:r>
        <w:rPr>
          <w:rFonts w:hint="eastAsia" w:ascii="Times New Roman Regular" w:hAnsi="Times New Roman Regular" w:eastAsia="楷体" w:cs="Times New Roman Regular"/>
          <w:b/>
          <w:bCs/>
          <w:sz w:val="32"/>
          <w:szCs w:val="32"/>
          <w:highlight w:val="none"/>
          <w:lang w:val="en-US" w:eastAsia="zh-CN"/>
        </w:rPr>
        <w:t>二</w:t>
      </w:r>
      <w:r>
        <w:rPr>
          <w:rFonts w:hint="default" w:ascii="Times New Roman Regular" w:hAnsi="Times New Roman Regular" w:eastAsia="楷体" w:cs="Times New Roman Regular"/>
          <w:b/>
          <w:bCs/>
          <w:sz w:val="32"/>
          <w:szCs w:val="32"/>
          <w:highlight w:val="none"/>
          <w:lang w:val="en-US" w:eastAsia="zh-CN"/>
        </w:rPr>
        <w:t>）部门整体满意度</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color w:val="auto"/>
          <w:sz w:val="32"/>
          <w:szCs w:val="32"/>
          <w:highlight w:val="none"/>
          <w:lang w:val="en-US" w:eastAsia="zh-CN"/>
        </w:rPr>
      </w:pPr>
      <w:r>
        <w:rPr>
          <w:rFonts w:hint="default" w:ascii="Times New Roman Regular" w:hAnsi="Times New Roman Regular" w:eastAsia="仿宋" w:cs="Times New Roman Regular"/>
          <w:b w:val="0"/>
          <w:bCs w:val="0"/>
          <w:sz w:val="32"/>
          <w:szCs w:val="32"/>
          <w:highlight w:val="none"/>
          <w:lang w:val="en-US" w:eastAsia="zh-CN"/>
        </w:rPr>
        <w:t>绩效评价小组针对</w:t>
      </w:r>
      <w:r>
        <w:rPr>
          <w:rFonts w:hint="eastAsia" w:ascii="Times New Roman Regular" w:hAnsi="Times New Roman Regular" w:eastAsia="仿宋" w:cs="Times New Roman Regular"/>
          <w:b w:val="0"/>
          <w:bCs w:val="0"/>
          <w:sz w:val="32"/>
          <w:szCs w:val="32"/>
          <w:highlight w:val="none"/>
          <w:lang w:val="en-US" w:eastAsia="zh-CN"/>
        </w:rPr>
        <w:t>邵阳市北塔区住房和城乡建设局</w:t>
      </w:r>
      <w:r>
        <w:rPr>
          <w:rFonts w:hint="default" w:ascii="Times New Roman Regular" w:hAnsi="Times New Roman Regular" w:eastAsia="仿宋" w:cs="Times New Roman Regular"/>
          <w:b w:val="0"/>
          <w:bCs w:val="0"/>
          <w:sz w:val="32"/>
          <w:szCs w:val="32"/>
          <w:highlight w:val="none"/>
          <w:lang w:val="en-US" w:eastAsia="zh-CN"/>
        </w:rPr>
        <w:t>整体情况通过</w:t>
      </w:r>
      <w:r>
        <w:rPr>
          <w:rFonts w:hint="eastAsia" w:ascii="Times New Roman Regular" w:hAnsi="Times New Roman Regular" w:eastAsia="仿宋" w:cs="Times New Roman Regular"/>
          <w:b w:val="0"/>
          <w:bCs w:val="0"/>
          <w:sz w:val="32"/>
          <w:szCs w:val="32"/>
          <w:highlight w:val="none"/>
          <w:lang w:val="en-US" w:eastAsia="zh-CN"/>
        </w:rPr>
        <w:t>电子问卷向单位职工</w:t>
      </w:r>
      <w:r>
        <w:rPr>
          <w:rFonts w:hint="default" w:ascii="Times New Roman Regular" w:hAnsi="Times New Roman Regular" w:eastAsia="仿宋" w:cs="Times New Roman Regular"/>
          <w:b w:val="0"/>
          <w:bCs w:val="0"/>
          <w:sz w:val="32"/>
          <w:szCs w:val="32"/>
          <w:highlight w:val="none"/>
          <w:lang w:val="en-US" w:eastAsia="zh-CN"/>
        </w:rPr>
        <w:t>、</w:t>
      </w:r>
      <w:r>
        <w:rPr>
          <w:rFonts w:hint="eastAsia" w:ascii="Times New Roman Regular" w:hAnsi="Times New Roman Regular" w:eastAsia="仿宋" w:cs="Times New Roman Regular"/>
          <w:b w:val="0"/>
          <w:bCs w:val="0"/>
          <w:sz w:val="32"/>
          <w:szCs w:val="32"/>
          <w:highlight w:val="none"/>
          <w:lang w:val="en-US" w:eastAsia="zh-CN"/>
        </w:rPr>
        <w:t>相关受益群体</w:t>
      </w:r>
      <w:r>
        <w:rPr>
          <w:rFonts w:hint="default" w:ascii="Times New Roman Regular" w:hAnsi="Times New Roman Regular" w:eastAsia="仿宋" w:cs="Times New Roman Regular"/>
          <w:b w:val="0"/>
          <w:bCs w:val="0"/>
          <w:sz w:val="32"/>
          <w:szCs w:val="32"/>
          <w:highlight w:val="none"/>
          <w:lang w:val="en-US" w:eastAsia="zh-CN"/>
        </w:rPr>
        <w:t>发放问卷进行满意度调查，共收集有效问卷</w:t>
      </w:r>
      <w:r>
        <w:rPr>
          <w:rFonts w:hint="eastAsia" w:ascii="Times New Roman Regular" w:hAnsi="Times New Roman Regular" w:eastAsia="仿宋" w:cs="Times New Roman Regular"/>
          <w:b w:val="0"/>
          <w:bCs w:val="0"/>
          <w:color w:val="auto"/>
          <w:sz w:val="32"/>
          <w:szCs w:val="32"/>
          <w:highlight w:val="none"/>
          <w:lang w:val="en-US" w:eastAsia="zh-CN"/>
        </w:rPr>
        <w:t>24</w:t>
      </w:r>
      <w:r>
        <w:rPr>
          <w:rFonts w:hint="default" w:ascii="Times New Roman Regular" w:hAnsi="Times New Roman Regular" w:eastAsia="仿宋" w:cs="Times New Roman Regular"/>
          <w:b w:val="0"/>
          <w:bCs w:val="0"/>
          <w:color w:val="auto"/>
          <w:sz w:val="32"/>
          <w:szCs w:val="32"/>
          <w:highlight w:val="none"/>
          <w:lang w:val="en-US" w:eastAsia="zh-CN"/>
        </w:rPr>
        <w:t>份。经统计，2022</w:t>
      </w:r>
      <w:r>
        <w:rPr>
          <w:rFonts w:hint="eastAsia" w:ascii="Times New Roman Regular" w:hAnsi="Times New Roman Regular" w:eastAsia="仿宋" w:cs="Times New Roman Regular"/>
          <w:b w:val="0"/>
          <w:bCs w:val="0"/>
          <w:color w:val="auto"/>
          <w:sz w:val="32"/>
          <w:szCs w:val="32"/>
          <w:highlight w:val="none"/>
          <w:lang w:val="en-US" w:eastAsia="zh-CN"/>
        </w:rPr>
        <w:t>年</w:t>
      </w:r>
      <w:r>
        <w:rPr>
          <w:rFonts w:hint="eastAsia" w:ascii="Times New Roman Regular" w:hAnsi="Times New Roman Regular" w:eastAsia="仿宋" w:cs="Times New Roman Regular"/>
          <w:b w:val="0"/>
          <w:bCs w:val="0"/>
          <w:sz w:val="32"/>
          <w:szCs w:val="32"/>
          <w:highlight w:val="none"/>
          <w:lang w:val="en-US" w:eastAsia="zh-CN"/>
        </w:rPr>
        <w:t>邵阳市北塔区住房和城乡建设局</w:t>
      </w:r>
      <w:r>
        <w:rPr>
          <w:rFonts w:hint="eastAsia" w:ascii="Times New Roman Regular" w:hAnsi="Times New Roman Regular" w:eastAsia="仿宋" w:cs="Times New Roman Regular"/>
          <w:b w:val="0"/>
          <w:bCs w:val="0"/>
          <w:color w:val="auto"/>
          <w:sz w:val="32"/>
          <w:szCs w:val="32"/>
          <w:highlight w:val="none"/>
          <w:lang w:val="en-US" w:eastAsia="zh-CN"/>
        </w:rPr>
        <w:t>整体满意度为100%。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highlight w:val="none"/>
          <w:lang w:val="en-US" w:eastAsia="zh-CN" w:bidi="ar-SA"/>
        </w:rPr>
      </w:pPr>
      <w:bookmarkStart w:id="16" w:name="_Toc24187"/>
      <w:r>
        <w:rPr>
          <w:rFonts w:hint="eastAsia" w:ascii="Times New Roman Regular" w:hAnsi="Times New Roman Regular" w:eastAsia="黑体" w:cs="Times New Roman Regular"/>
          <w:b/>
          <w:bCs/>
          <w:kern w:val="2"/>
          <w:sz w:val="32"/>
          <w:szCs w:val="32"/>
          <w:highlight w:val="none"/>
          <w:lang w:val="en-US" w:eastAsia="zh-CN" w:bidi="ar-SA"/>
        </w:rPr>
        <w:t>五</w:t>
      </w:r>
      <w:r>
        <w:rPr>
          <w:rFonts w:hint="default" w:ascii="Times New Roman Regular" w:hAnsi="Times New Roman Regular" w:eastAsia="黑体" w:cs="Times New Roman Regular"/>
          <w:b/>
          <w:bCs/>
          <w:kern w:val="2"/>
          <w:sz w:val="32"/>
          <w:szCs w:val="32"/>
          <w:highlight w:val="none"/>
          <w:lang w:val="en-US" w:eastAsia="zh-CN" w:bidi="ar-SA"/>
        </w:rPr>
        <w:t>、综合评价情况及评价结论</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highlight w:val="none"/>
          <w:lang w:val="en-US" w:eastAsia="zh-CN"/>
        </w:rPr>
      </w:pPr>
      <w:r>
        <w:rPr>
          <w:rFonts w:hint="default" w:ascii="Times New Roman Regular" w:hAnsi="Times New Roman Regular" w:eastAsia="仿宋" w:cs="Times New Roman Regular"/>
          <w:b w:val="0"/>
          <w:bCs w:val="0"/>
          <w:sz w:val="32"/>
          <w:szCs w:val="32"/>
          <w:highlight w:val="none"/>
          <w:lang w:val="en-US" w:eastAsia="zh-CN"/>
        </w:rPr>
        <w:t>根据资金绩效评价指标体系和绩效检查情况，</w:t>
      </w:r>
      <w:r>
        <w:rPr>
          <w:rFonts w:hint="eastAsia" w:ascii="Times New Roman Regular" w:hAnsi="Times New Roman Regular" w:eastAsia="仿宋" w:cs="Times New Roman Regular"/>
          <w:b w:val="0"/>
          <w:bCs w:val="0"/>
          <w:sz w:val="32"/>
          <w:szCs w:val="32"/>
          <w:highlight w:val="none"/>
          <w:lang w:val="en-US" w:eastAsia="zh-CN"/>
        </w:rPr>
        <w:t>邵阳市北塔区住房和城乡建设局</w:t>
      </w:r>
      <w:r>
        <w:rPr>
          <w:rFonts w:hint="default" w:ascii="Times New Roman Regular" w:hAnsi="Times New Roman Regular" w:eastAsia="仿宋" w:cs="Times New Roman Regular"/>
          <w:b w:val="0"/>
          <w:bCs w:val="0"/>
          <w:sz w:val="32"/>
          <w:szCs w:val="32"/>
          <w:highlight w:val="none"/>
          <w:lang w:val="en-US" w:eastAsia="zh-CN"/>
        </w:rPr>
        <w:t>2022年度部门整体支出重点绩效评价分值100分，从部门决策、部门预算、内部制度管理、部门产出、部门效益等方面总体评价，实得</w:t>
      </w:r>
      <w:r>
        <w:rPr>
          <w:rFonts w:hint="eastAsia" w:ascii="Times New Roman Regular" w:hAnsi="Times New Roman Regular" w:eastAsia="仿宋" w:cs="Times New Roman Regular"/>
          <w:b w:val="0"/>
          <w:bCs w:val="0"/>
          <w:sz w:val="32"/>
          <w:szCs w:val="32"/>
          <w:highlight w:val="none"/>
          <w:lang w:val="en-US" w:eastAsia="zh-CN"/>
        </w:rPr>
        <w:t>94.00</w:t>
      </w:r>
      <w:r>
        <w:rPr>
          <w:rFonts w:hint="default" w:ascii="Times New Roman Regular" w:hAnsi="Times New Roman Regular" w:eastAsia="仿宋" w:cs="Times New Roman Regular"/>
          <w:b w:val="0"/>
          <w:bCs w:val="0"/>
          <w:sz w:val="32"/>
          <w:szCs w:val="32"/>
          <w:highlight w:val="none"/>
          <w:lang w:val="en-US" w:eastAsia="zh-CN"/>
        </w:rPr>
        <w:t>分，被评为</w:t>
      </w:r>
      <w:r>
        <w:rPr>
          <w:rFonts w:hint="eastAsia" w:ascii="仿宋" w:hAnsi="仿宋" w:eastAsia="仿宋" w:cs="仿宋"/>
          <w:b w:val="0"/>
          <w:bCs w:val="0"/>
          <w:sz w:val="32"/>
          <w:szCs w:val="32"/>
          <w:highlight w:val="none"/>
          <w:lang w:val="en-US" w:eastAsia="zh-CN"/>
        </w:rPr>
        <w:t>“优”等级（详见附件）</w:t>
      </w:r>
      <w:r>
        <w:rPr>
          <w:rFonts w:hint="default" w:ascii="Times New Roman Regular" w:hAnsi="Times New Roman Regular" w:eastAsia="仿宋" w:cs="Times New Roman Regular"/>
          <w:b w:val="0"/>
          <w:bCs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highlight w:val="none"/>
          <w:lang w:val="en-US" w:eastAsia="zh-CN"/>
        </w:rPr>
      </w:pPr>
      <w:bookmarkStart w:id="17" w:name="_Toc29976"/>
      <w:r>
        <w:rPr>
          <w:rFonts w:hint="eastAsia" w:ascii="Times New Roman Regular" w:hAnsi="Times New Roman Regular" w:eastAsia="黑体" w:cs="Times New Roman Regular"/>
          <w:b/>
          <w:bCs/>
          <w:kern w:val="2"/>
          <w:sz w:val="32"/>
          <w:szCs w:val="32"/>
          <w:highlight w:val="none"/>
          <w:lang w:val="en-US" w:eastAsia="zh-CN" w:bidi="ar-SA"/>
        </w:rPr>
        <w:t>六</w:t>
      </w:r>
      <w:r>
        <w:rPr>
          <w:rFonts w:hint="default" w:ascii="Times New Roman Regular" w:hAnsi="Times New Roman Regular" w:eastAsia="黑体" w:cs="Times New Roman Regular"/>
          <w:b/>
          <w:bCs/>
          <w:kern w:val="2"/>
          <w:sz w:val="32"/>
          <w:szCs w:val="32"/>
          <w:highlight w:val="none"/>
          <w:lang w:val="en-US" w:eastAsia="zh-CN" w:bidi="ar-SA"/>
        </w:rPr>
        <w:t>、存在的主要问题</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highlight w:val="none"/>
          <w:lang w:val="en-US" w:eastAsia="zh-CN"/>
        </w:rPr>
      </w:pPr>
      <w:bookmarkStart w:id="18" w:name="_Toc27795"/>
      <w:bookmarkStart w:id="19" w:name="_Toc23743"/>
      <w:r>
        <w:rPr>
          <w:rFonts w:hint="eastAsia" w:ascii="Times New Roman Regular" w:hAnsi="Times New Roman Regular" w:eastAsia="楷体" w:cs="Times New Roman Regular"/>
          <w:b/>
          <w:bCs/>
          <w:sz w:val="32"/>
          <w:szCs w:val="32"/>
          <w:highlight w:val="none"/>
          <w:lang w:val="en-US" w:eastAsia="zh-CN"/>
        </w:rPr>
        <w:t>（一）政府采购方面</w:t>
      </w:r>
      <w:bookmarkEnd w:id="18"/>
      <w:bookmarkEnd w:id="19"/>
    </w:p>
    <w:p>
      <w:pPr>
        <w:spacing w:line="640" w:lineRule="exact"/>
        <w:ind w:firstLine="640" w:firstLineChars="200"/>
        <w:outlineLvl w:val="9"/>
        <w:rPr>
          <w:rFonts w:hint="default" w:ascii="Times New Roman Regular" w:hAnsi="Times New Roman Regular" w:eastAsia="仿宋" w:cs="Times New Roman Regular"/>
          <w:b w:val="0"/>
          <w:bCs w:val="0"/>
          <w:sz w:val="32"/>
          <w:szCs w:val="32"/>
          <w:highlight w:val="none"/>
          <w:lang w:val="en-US" w:eastAsia="zh-CN"/>
        </w:rPr>
      </w:pPr>
      <w:r>
        <w:rPr>
          <w:rFonts w:hint="eastAsia" w:ascii="Times New Roman Regular" w:hAnsi="Times New Roman Regular" w:eastAsia="仿宋" w:cs="Times New Roman Regular"/>
          <w:b w:val="0"/>
          <w:bCs w:val="0"/>
          <w:sz w:val="32"/>
          <w:szCs w:val="32"/>
          <w:highlight w:val="none"/>
          <w:lang w:val="en-US" w:eastAsia="zh-CN"/>
        </w:rPr>
        <w:t>政府采购预算编制有待加强。经查看</w:t>
      </w:r>
      <w:r>
        <w:rPr>
          <w:rFonts w:hint="default" w:ascii="Times New Roman Regular" w:hAnsi="Times New Roman Regular" w:eastAsia="仿宋" w:cs="Times New Roman Regular"/>
          <w:b w:val="0"/>
          <w:bCs w:val="0"/>
          <w:sz w:val="32"/>
          <w:szCs w:val="32"/>
          <w:highlight w:val="none"/>
          <w:lang w:eastAsia="zh-CN"/>
        </w:rPr>
        <w:t>邵阳市北塔区</w:t>
      </w:r>
      <w:r>
        <w:rPr>
          <w:rFonts w:hint="eastAsia" w:ascii="Times New Roman Regular" w:hAnsi="Times New Roman Regular" w:eastAsia="仿宋" w:cs="Times New Roman Regular"/>
          <w:b w:val="0"/>
          <w:bCs w:val="0"/>
          <w:sz w:val="32"/>
          <w:szCs w:val="32"/>
          <w:highlight w:val="none"/>
          <w:lang w:val="en-US" w:eastAsia="zh-CN"/>
        </w:rPr>
        <w:t>2022年度住房和城乡建设局预算公开表，发现单位2022年度政府采购预算为10.20万元，其中，货物类采购预算5万元；工程类采购预算0万元；服务类采购预算5.2万元；在查看</w:t>
      </w:r>
      <w:r>
        <w:rPr>
          <w:rFonts w:hint="default" w:ascii="Times New Roman Regular" w:hAnsi="Times New Roman Regular" w:eastAsia="仿宋" w:cs="Times New Roman Regular"/>
          <w:b w:val="0"/>
          <w:bCs w:val="0"/>
          <w:sz w:val="32"/>
          <w:szCs w:val="32"/>
          <w:highlight w:val="none"/>
          <w:lang w:eastAsia="zh-CN"/>
        </w:rPr>
        <w:t>邵阳市北塔区</w:t>
      </w:r>
      <w:r>
        <w:rPr>
          <w:rFonts w:hint="eastAsia" w:ascii="Times New Roman Regular" w:hAnsi="Times New Roman Regular" w:eastAsia="仿宋" w:cs="Times New Roman Regular"/>
          <w:b w:val="0"/>
          <w:bCs w:val="0"/>
          <w:sz w:val="32"/>
          <w:szCs w:val="32"/>
          <w:highlight w:val="none"/>
          <w:lang w:val="en-US" w:eastAsia="zh-CN"/>
        </w:rPr>
        <w:t>2022年度住房和城乡建设局决算公开表，发现单位政府采购支出总额1,469.75万元，其中：政府采购货物支出231.26万元、政府采购工程支出1,214.05万元、政府采购服务支出24.44万元，超出政府采购预算金额1440.93%。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0" w:name="_Toc1180"/>
      <w:r>
        <w:rPr>
          <w:rFonts w:hint="eastAsia" w:ascii="Times New Roman Regular" w:hAnsi="Times New Roman Regular" w:eastAsia="楷体" w:cs="Times New Roman Regular"/>
          <w:b/>
          <w:bCs/>
          <w:sz w:val="32"/>
          <w:szCs w:val="32"/>
          <w:lang w:val="en-US" w:eastAsia="zh-CN"/>
        </w:rPr>
        <w:t>（二）资产管理方面</w:t>
      </w:r>
      <w:bookmarkEnd w:id="20"/>
    </w:p>
    <w:p>
      <w:pPr>
        <w:numPr>
          <w:ilvl w:val="-1"/>
          <w:numId w:val="0"/>
        </w:numPr>
        <w:spacing w:line="640" w:lineRule="exact"/>
        <w:ind w:firstLine="640" w:firstLineChars="200"/>
        <w:rPr>
          <w:rFonts w:hint="default" w:ascii="Times New Roman" w:hAnsi="Times New Roman" w:eastAsia="仿宋" w:cs="Times New Roman"/>
          <w:b w:val="0"/>
          <w:bCs w:val="0"/>
          <w:kern w:val="2"/>
          <w:sz w:val="32"/>
          <w:szCs w:val="32"/>
          <w:highlight w:val="none"/>
          <w:lang w:eastAsia="zh-CN" w:bidi="ar-SA"/>
        </w:rPr>
      </w:pPr>
      <w:r>
        <w:rPr>
          <w:rFonts w:hint="eastAsia" w:ascii="Times New Roman Regular" w:hAnsi="Times New Roman Regular" w:eastAsia="仿宋" w:cs="Times New Roman Regular"/>
          <w:b w:val="0"/>
          <w:bCs w:val="0"/>
          <w:sz w:val="32"/>
          <w:szCs w:val="32"/>
          <w:lang w:val="en-US" w:eastAsia="zh-CN"/>
        </w:rPr>
        <w:t>邵阳市北塔区住房和城乡建设局存在资产管理不规范的情况。经现场检查单位资产，发现部分资产未贴标，不利于单位资产管理</w:t>
      </w:r>
      <w:r>
        <w:rPr>
          <w:rFonts w:hint="default" w:ascii="Times New Roman" w:hAnsi="Times New Roman" w:eastAsia="仿宋" w:cs="Times New Roman"/>
          <w:b w:val="0"/>
          <w:bCs w:val="0"/>
          <w:kern w:val="2"/>
          <w:sz w:val="32"/>
          <w:szCs w:val="32"/>
          <w:highlight w:val="none"/>
          <w:lang w:eastAsia="zh-CN" w:bidi="ar-SA"/>
        </w:rPr>
        <w:t>。</w:t>
      </w:r>
    </w:p>
    <w:p>
      <w:pPr>
        <w:numPr>
          <w:ilvl w:val="0"/>
          <w:numId w:val="0"/>
        </w:numPr>
        <w:bidi w:val="0"/>
        <w:spacing w:line="600" w:lineRule="exact"/>
        <w:ind w:firstLine="643" w:firstLineChars="200"/>
        <w:outlineLvl w:val="1"/>
        <w:rPr>
          <w:rFonts w:hint="eastAsia" w:ascii="Times New Roman Regular" w:hAnsi="Times New Roman Regular" w:eastAsia="楷体" w:cs="Times New Roman Regular"/>
          <w:b/>
          <w:bCs/>
          <w:sz w:val="32"/>
          <w:szCs w:val="32"/>
        </w:rPr>
      </w:pPr>
      <w:bookmarkStart w:id="21" w:name="_Toc28606"/>
      <w:r>
        <w:rPr>
          <w:rFonts w:hint="eastAsia" w:ascii="Times New Roman Regular" w:hAnsi="Times New Roman Regular" w:eastAsia="楷体" w:cs="Times New Roman Regular"/>
          <w:b/>
          <w:bCs/>
          <w:sz w:val="32"/>
          <w:szCs w:val="32"/>
          <w:lang w:val="en-US" w:eastAsia="zh-CN"/>
        </w:rPr>
        <w:t>（三）绩效目标设置方面</w:t>
      </w:r>
      <w:bookmarkEnd w:id="21"/>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00" w:firstLineChars="200"/>
        <w:jc w:val="both"/>
        <w:rPr>
          <w:rFonts w:hint="default" w:ascii="Times New Roman" w:hAnsi="Times New Roman" w:eastAsia="仿宋" w:cs="Times New Roman"/>
          <w:b w:val="0"/>
          <w:bCs w:val="0"/>
          <w:i w:val="0"/>
          <w:iCs w:val="0"/>
          <w:caps w:val="0"/>
          <w:spacing w:val="0"/>
          <w:sz w:val="32"/>
          <w:szCs w:val="32"/>
          <w:highlight w:val="none"/>
          <w:shd w:val="clear"/>
          <w:lang w:val="en-US" w:eastAsia="zh-CN" w:bidi="ar"/>
        </w:rPr>
      </w:pPr>
      <w:r>
        <w:rPr>
          <w:rFonts w:hint="default" w:ascii="Times New Roman" w:hAnsi="Times New Roman" w:eastAsia="仿宋" w:cs="Times New Roman"/>
          <w:b w:val="0"/>
          <w:bCs w:val="0"/>
          <w:sz w:val="30"/>
          <w:lang w:val="en-US" w:eastAsia="zh-CN"/>
        </w:rPr>
        <w:t>经查看项目单位的《2022年度部门</w:t>
      </w:r>
      <w:r>
        <w:rPr>
          <w:rFonts w:hint="eastAsia" w:ascii="Times New Roman" w:hAnsi="Times New Roman" w:eastAsia="仿宋" w:cs="Times New Roman"/>
          <w:b w:val="0"/>
          <w:bCs w:val="0"/>
          <w:sz w:val="30"/>
          <w:lang w:val="en-US" w:eastAsia="zh-CN"/>
        </w:rPr>
        <w:t>预算公开表－</w:t>
      </w:r>
      <w:r>
        <w:rPr>
          <w:rFonts w:hint="default" w:ascii="Times New Roman" w:hAnsi="Times New Roman" w:eastAsia="仿宋" w:cs="Times New Roman"/>
          <w:b w:val="0"/>
          <w:bCs w:val="0"/>
          <w:sz w:val="30"/>
          <w:lang w:val="en-US" w:eastAsia="zh-CN"/>
        </w:rPr>
        <w:t>整体支出绩效</w:t>
      </w:r>
      <w:r>
        <w:rPr>
          <w:rFonts w:hint="eastAsia" w:ascii="Times New Roman" w:hAnsi="Times New Roman" w:eastAsia="仿宋" w:cs="Times New Roman"/>
          <w:b w:val="0"/>
          <w:bCs w:val="0"/>
          <w:sz w:val="30"/>
          <w:lang w:val="en-US" w:eastAsia="zh-CN"/>
        </w:rPr>
        <w:t>目标</w:t>
      </w:r>
      <w:r>
        <w:rPr>
          <w:rFonts w:hint="default" w:ascii="Times New Roman" w:hAnsi="Times New Roman" w:eastAsia="仿宋" w:cs="Times New Roman"/>
          <w:b w:val="0"/>
          <w:bCs w:val="0"/>
          <w:sz w:val="30"/>
          <w:lang w:val="en-US" w:eastAsia="zh-CN"/>
        </w:rPr>
        <w:t>表》，</w:t>
      </w:r>
      <w:r>
        <w:rPr>
          <w:rFonts w:hint="default" w:ascii="Times New Roman" w:hAnsi="Times New Roman" w:eastAsia="仿宋" w:cs="Times New Roman"/>
          <w:b w:val="0"/>
          <w:bCs w:val="0"/>
          <w:sz w:val="32"/>
          <w:szCs w:val="32"/>
          <w:lang w:val="en-US" w:eastAsia="zh-CN"/>
        </w:rPr>
        <w:t>一是发现部门整体的绩效目标未细化分解为具体的工作任务。如</w:t>
      </w:r>
      <w:r>
        <w:rPr>
          <w:rFonts w:hint="default" w:ascii="Times New Roman" w:hAnsi="Times New Roman" w:eastAsia="仿宋" w:cs="Times New Roman"/>
          <w:color w:val="000000"/>
          <w:kern w:val="2"/>
          <w:sz w:val="30"/>
          <w:szCs w:val="24"/>
        </w:rPr>
        <w:t>产出指标</w:t>
      </w:r>
      <w:r>
        <w:rPr>
          <w:rFonts w:hint="default" w:ascii="Times New Roman" w:hAnsi="Times New Roman" w:eastAsia="仿宋" w:cs="Times New Roman"/>
          <w:kern w:val="2"/>
          <w:sz w:val="30"/>
          <w:szCs w:val="24"/>
          <w:lang w:val="en-US" w:eastAsia="zh-CN"/>
        </w:rPr>
        <w:t>中，</w:t>
      </w:r>
      <w:r>
        <w:rPr>
          <w:rFonts w:hint="eastAsia" w:ascii="Times New Roman" w:hAnsi="Times New Roman" w:eastAsia="仿宋" w:cs="Times New Roman"/>
          <w:kern w:val="2"/>
          <w:sz w:val="30"/>
          <w:szCs w:val="24"/>
          <w:lang w:val="en-US" w:eastAsia="zh-CN"/>
        </w:rPr>
        <w:t>数量</w:t>
      </w:r>
      <w:r>
        <w:rPr>
          <w:rFonts w:hint="default" w:ascii="Times New Roman" w:hAnsi="Times New Roman" w:eastAsia="仿宋" w:cs="Times New Roman"/>
          <w:kern w:val="2"/>
          <w:sz w:val="30"/>
          <w:szCs w:val="24"/>
          <w:lang w:val="en-US" w:eastAsia="zh-CN"/>
        </w:rPr>
        <w:t>指标</w:t>
      </w:r>
      <w:r>
        <w:rPr>
          <w:rFonts w:hint="default" w:ascii="Times New Roman" w:hAnsi="Times New Roman" w:eastAsia="仿宋" w:cs="Times New Roman"/>
          <w:b w:val="0"/>
          <w:bCs w:val="0"/>
          <w:sz w:val="30"/>
          <w:lang w:val="en-US" w:eastAsia="zh-CN"/>
        </w:rPr>
        <w:t>设置为“</w:t>
      </w:r>
      <w:r>
        <w:rPr>
          <w:rFonts w:hint="default" w:ascii="Times New Roman" w:hAnsi="Times New Roman" w:eastAsia="仿宋" w:cs="Times New Roman"/>
          <w:color w:val="000000"/>
          <w:kern w:val="2"/>
          <w:sz w:val="30"/>
          <w:szCs w:val="24"/>
          <w:lang w:eastAsia="zh-CN"/>
        </w:rPr>
        <w:t>工程数量</w:t>
      </w:r>
      <w:r>
        <w:rPr>
          <w:rFonts w:hint="default" w:ascii="Times New Roman" w:hAnsi="Times New Roman" w:eastAsia="仿宋" w:cs="Times New Roman"/>
          <w:b w:val="0"/>
          <w:bCs w:val="0"/>
          <w:sz w:val="30"/>
          <w:lang w:val="en-US" w:eastAsia="zh-CN" w:bidi="ar"/>
        </w:rPr>
        <w:t>”，</w:t>
      </w:r>
      <w:r>
        <w:rPr>
          <w:rFonts w:hint="default" w:ascii="Times New Roman" w:hAnsi="Times New Roman" w:eastAsia="仿宋" w:cs="Times New Roman"/>
          <w:color w:val="000000"/>
          <w:kern w:val="2"/>
          <w:sz w:val="30"/>
          <w:szCs w:val="24"/>
          <w:lang w:eastAsia="zh-CN" w:bidi="ar"/>
        </w:rPr>
        <w:t>质量指标</w:t>
      </w:r>
      <w:r>
        <w:rPr>
          <w:rFonts w:hint="default" w:ascii="Times New Roman" w:hAnsi="Times New Roman" w:eastAsia="仿宋" w:cs="Times New Roman"/>
          <w:b w:val="0"/>
          <w:bCs w:val="0"/>
          <w:sz w:val="30"/>
          <w:lang w:val="en-US" w:eastAsia="zh-CN" w:bidi="ar"/>
        </w:rPr>
        <w:t>设置为</w:t>
      </w:r>
      <w:r>
        <w:rPr>
          <w:rFonts w:hint="default" w:ascii="Times New Roman" w:hAnsi="Times New Roman" w:eastAsia="仿宋" w:cs="Times New Roman"/>
          <w:b w:val="0"/>
          <w:bCs w:val="0"/>
          <w:sz w:val="30"/>
          <w:lang w:val="en-US" w:eastAsia="zh-CN"/>
        </w:rPr>
        <w:t>“</w:t>
      </w:r>
      <w:r>
        <w:rPr>
          <w:rFonts w:hint="default" w:ascii="Times New Roman" w:hAnsi="Times New Roman" w:eastAsia="仿宋" w:cs="Times New Roman"/>
          <w:kern w:val="2"/>
          <w:sz w:val="30"/>
          <w:szCs w:val="24"/>
          <w:lang w:eastAsia="zh-CN"/>
        </w:rPr>
        <w:t>工程质量</w:t>
      </w:r>
      <w:r>
        <w:rPr>
          <w:rFonts w:hint="default" w:ascii="Times New Roman" w:hAnsi="Times New Roman" w:eastAsia="仿宋" w:cs="Times New Roman"/>
          <w:b w:val="0"/>
          <w:bCs w:val="0"/>
          <w:sz w:val="30"/>
          <w:lang w:val="en-US" w:eastAsia="zh-CN" w:bidi="ar"/>
        </w:rPr>
        <w:t>”，</w:t>
      </w:r>
      <w:r>
        <w:rPr>
          <w:rFonts w:hint="eastAsia" w:ascii="Times New Roman" w:hAnsi="Times New Roman" w:eastAsia="仿宋" w:cs="Times New Roman"/>
          <w:b w:val="0"/>
          <w:bCs w:val="0"/>
          <w:sz w:val="30"/>
          <w:lang w:val="en-US" w:eastAsia="zh-CN" w:bidi="ar"/>
        </w:rPr>
        <w:t>其指标值均设置为“达标”</w:t>
      </w:r>
      <w:r>
        <w:rPr>
          <w:rFonts w:hint="default" w:ascii="Times New Roman" w:hAnsi="Times New Roman" w:eastAsia="仿宋" w:cs="Times New Roman"/>
          <w:b w:val="0"/>
          <w:bCs w:val="0"/>
          <w:sz w:val="30"/>
          <w:lang w:val="en-US" w:eastAsia="zh-CN" w:bidi="ar"/>
        </w:rPr>
        <w:t>使指标</w:t>
      </w:r>
      <w:r>
        <w:rPr>
          <w:rFonts w:hint="default" w:ascii="Times New Roman" w:hAnsi="Times New Roman" w:eastAsia="仿宋" w:cs="Times New Roman"/>
          <w:color w:val="000000"/>
          <w:kern w:val="2"/>
          <w:sz w:val="32"/>
          <w:szCs w:val="32"/>
          <w:lang w:val="en-US" w:eastAsia="zh-CN" w:bidi="ar"/>
        </w:rPr>
        <w:t>无法</w:t>
      </w:r>
      <w:r>
        <w:rPr>
          <w:rFonts w:hint="eastAsia" w:ascii="Times New Roman" w:hAnsi="Times New Roman" w:eastAsia="仿宋" w:cs="Times New Roman"/>
          <w:kern w:val="2"/>
          <w:sz w:val="32"/>
          <w:szCs w:val="32"/>
          <w:lang w:val="en-US" w:eastAsia="zh-CN" w:bidi="ar"/>
        </w:rPr>
        <w:t>有效进行考核</w:t>
      </w:r>
      <w:r>
        <w:rPr>
          <w:rFonts w:hint="default" w:ascii="Times New Roman" w:hAnsi="Times New Roman" w:eastAsia="仿宋" w:cs="Times New Roman"/>
          <w:color w:val="000000"/>
          <w:kern w:val="2"/>
          <w:sz w:val="32"/>
          <w:szCs w:val="32"/>
          <w:lang w:val="en-US" w:eastAsia="zh-CN" w:bidi="ar"/>
        </w:rPr>
        <w:t>。</w:t>
      </w:r>
      <w:r>
        <w:rPr>
          <w:rFonts w:hint="default" w:ascii="Times New Roman" w:hAnsi="Times New Roman" w:eastAsia="仿宋" w:cs="Times New Roman"/>
          <w:b w:val="0"/>
          <w:bCs w:val="0"/>
          <w:sz w:val="32"/>
          <w:szCs w:val="32"/>
          <w:lang w:val="en-US" w:eastAsia="zh-CN"/>
        </w:rPr>
        <w:t>二是发现部门整体的绩效目标不能通过清晰、可衡量的指标值予以体现。如</w:t>
      </w:r>
      <w:r>
        <w:rPr>
          <w:rFonts w:hint="eastAsia" w:ascii="Times New Roman" w:hAnsi="Times New Roman" w:eastAsia="仿宋" w:cs="Times New Roman"/>
          <w:b w:val="0"/>
          <w:bCs w:val="0"/>
          <w:i w:val="0"/>
          <w:iCs w:val="0"/>
          <w:caps w:val="0"/>
          <w:spacing w:val="0"/>
          <w:sz w:val="32"/>
          <w:szCs w:val="32"/>
          <w:highlight w:val="none"/>
          <w:shd w:val="clear"/>
          <w:lang w:val="en-US" w:eastAsia="zh-CN"/>
        </w:rPr>
        <w:t>成本</w:t>
      </w:r>
      <w:r>
        <w:rPr>
          <w:rFonts w:hint="default" w:ascii="Times New Roman" w:hAnsi="Times New Roman" w:eastAsia="仿宋" w:cs="Times New Roman"/>
          <w:b w:val="0"/>
          <w:bCs w:val="0"/>
          <w:i w:val="0"/>
          <w:iCs w:val="0"/>
          <w:caps w:val="0"/>
          <w:spacing w:val="0"/>
          <w:sz w:val="32"/>
          <w:szCs w:val="32"/>
          <w:highlight w:val="none"/>
          <w:shd w:val="clear"/>
          <w:lang w:val="en-US" w:eastAsia="zh-CN"/>
        </w:rPr>
        <w:t>指标设</w:t>
      </w:r>
      <w:r>
        <w:rPr>
          <w:rFonts w:hint="default" w:ascii="Times New Roman" w:hAnsi="Times New Roman" w:eastAsia="仿宋" w:cs="Times New Roman"/>
          <w:b w:val="0"/>
          <w:bCs w:val="0"/>
          <w:i w:val="0"/>
          <w:iCs w:val="0"/>
          <w:caps w:val="0"/>
          <w:spacing w:val="0"/>
          <w:sz w:val="32"/>
          <w:szCs w:val="32"/>
          <w:highlight w:val="none"/>
          <w:shd w:val="clear"/>
          <w:lang w:val="en-US" w:eastAsia="zh-CN" w:bidi="ar"/>
        </w:rPr>
        <w:t>置为“</w:t>
      </w:r>
      <w:r>
        <w:rPr>
          <w:rFonts w:hint="default" w:ascii="Times New Roman" w:hAnsi="Times New Roman" w:eastAsia="仿宋" w:cs="Times New Roman"/>
          <w:color w:val="000000"/>
          <w:kern w:val="2"/>
          <w:sz w:val="32"/>
          <w:szCs w:val="32"/>
          <w:lang w:eastAsia="zh-CN" w:bidi="ar"/>
        </w:rPr>
        <w:t>完成工作任务需要的支出成本</w:t>
      </w:r>
      <w:r>
        <w:rPr>
          <w:rFonts w:hint="default" w:ascii="Times New Roman" w:hAnsi="Times New Roman" w:eastAsia="仿宋" w:cs="Times New Roman"/>
          <w:b w:val="0"/>
          <w:bCs w:val="0"/>
          <w:i w:val="0"/>
          <w:iCs w:val="0"/>
          <w:caps w:val="0"/>
          <w:spacing w:val="0"/>
          <w:sz w:val="32"/>
          <w:szCs w:val="32"/>
          <w:highlight w:val="none"/>
          <w:shd w:val="clear"/>
          <w:lang w:val="en-US" w:eastAsia="zh-CN" w:bidi="ar"/>
        </w:rPr>
        <w:t>”</w:t>
      </w:r>
      <w:r>
        <w:rPr>
          <w:rFonts w:hint="eastAsia" w:ascii="Times New Roman" w:hAnsi="Times New Roman" w:eastAsia="仿宋" w:cs="Times New Roman"/>
          <w:b w:val="0"/>
          <w:bCs w:val="0"/>
          <w:i w:val="0"/>
          <w:iCs w:val="0"/>
          <w:caps w:val="0"/>
          <w:spacing w:val="0"/>
          <w:sz w:val="32"/>
          <w:szCs w:val="32"/>
          <w:highlight w:val="none"/>
          <w:shd w:val="clear"/>
          <w:lang w:val="en-US" w:eastAsia="zh-CN" w:bidi="ar"/>
        </w:rPr>
        <w:t>，其指标值设置为“目标实现”</w:t>
      </w:r>
      <w:r>
        <w:rPr>
          <w:rFonts w:hint="default" w:ascii="Times New Roman" w:hAnsi="Times New Roman" w:eastAsia="仿宋" w:cs="Times New Roman"/>
          <w:b w:val="0"/>
          <w:bCs w:val="0"/>
          <w:i w:val="0"/>
          <w:iCs w:val="0"/>
          <w:caps w:val="0"/>
          <w:spacing w:val="0"/>
          <w:sz w:val="32"/>
          <w:szCs w:val="32"/>
          <w:shd w:val="clear"/>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22" w:name="_Toc5009"/>
      <w:r>
        <w:rPr>
          <w:rFonts w:hint="default" w:ascii="Times New Roman Regular" w:hAnsi="Times New Roman Regular" w:eastAsia="黑体" w:cs="Times New Roman Regular"/>
          <w:b/>
          <w:bCs/>
          <w:kern w:val="2"/>
          <w:sz w:val="32"/>
          <w:szCs w:val="32"/>
          <w:lang w:val="en-US" w:eastAsia="zh-CN" w:bidi="ar-SA"/>
        </w:rPr>
        <w:t>八、相关建议</w:t>
      </w:r>
      <w:bookmarkEnd w:id="22"/>
    </w:p>
    <w:p>
      <w:pPr>
        <w:numPr>
          <w:ilvl w:val="0"/>
          <w:numId w:val="0"/>
        </w:numPr>
        <w:bidi w:val="0"/>
        <w:spacing w:line="600" w:lineRule="exact"/>
        <w:ind w:firstLine="643" w:firstLineChars="200"/>
        <w:outlineLvl w:val="1"/>
        <w:rPr>
          <w:rFonts w:hint="default" w:ascii="Times New Roman Regular" w:hAnsi="Times New Roman Regular" w:eastAsia="楷体" w:cs="Times New Roman Regular"/>
          <w:b/>
          <w:bCs/>
          <w:sz w:val="32"/>
          <w:szCs w:val="32"/>
          <w:lang w:val="en-US" w:eastAsia="zh-CN"/>
        </w:rPr>
      </w:pPr>
      <w:bookmarkStart w:id="23" w:name="_Toc1423"/>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加强政府采购管理</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eastAsia="zh-CN"/>
        </w:rPr>
      </w:pPr>
      <w:r>
        <w:rPr>
          <w:rFonts w:hint="default" w:ascii="Times New Roman Regular" w:hAnsi="Times New Roman Regular" w:eastAsia="仿宋" w:cs="Times New Roman Regular"/>
          <w:b w:val="0"/>
          <w:bCs w:val="0"/>
          <w:sz w:val="32"/>
          <w:szCs w:val="32"/>
          <w:lang w:val="en-US" w:eastAsia="zh-CN"/>
        </w:rPr>
        <w:t>一是强化政府采购预算管理，从预算编制入手，</w:t>
      </w:r>
      <w:r>
        <w:rPr>
          <w:rFonts w:hint="eastAsia" w:ascii="Times New Roman Regular" w:hAnsi="Times New Roman Regular" w:eastAsia="仿宋" w:cs="Times New Roman Regular"/>
          <w:b w:val="0"/>
          <w:bCs w:val="0"/>
          <w:sz w:val="32"/>
          <w:szCs w:val="32"/>
          <w:lang w:val="en-US" w:eastAsia="zh-CN"/>
        </w:rPr>
        <w:t>对</w:t>
      </w:r>
      <w:r>
        <w:rPr>
          <w:rFonts w:hint="default" w:ascii="Times New Roman Regular" w:hAnsi="Times New Roman Regular" w:eastAsia="仿宋" w:cs="Times New Roman Regular"/>
          <w:b w:val="0"/>
          <w:bCs w:val="0"/>
          <w:sz w:val="32"/>
          <w:szCs w:val="32"/>
          <w:lang w:val="en-US" w:eastAsia="zh-CN"/>
        </w:rPr>
        <w:t>采购项目预算工作</w:t>
      </w:r>
      <w:r>
        <w:rPr>
          <w:rFonts w:hint="eastAsia" w:ascii="Times New Roman Regular" w:hAnsi="Times New Roman Regular" w:eastAsia="仿宋" w:cs="Times New Roman Regular"/>
          <w:b w:val="0"/>
          <w:bCs w:val="0"/>
          <w:sz w:val="32"/>
          <w:szCs w:val="32"/>
          <w:lang w:val="en-US" w:eastAsia="zh-CN"/>
        </w:rPr>
        <w:t>作出详细的编制；</w:t>
      </w:r>
      <w:r>
        <w:rPr>
          <w:rFonts w:hint="default" w:ascii="Times New Roman Regular" w:hAnsi="Times New Roman Regular" w:eastAsia="仿宋" w:cs="Times New Roman Regular"/>
          <w:b w:val="0"/>
          <w:bCs w:val="0"/>
          <w:sz w:val="32"/>
          <w:szCs w:val="32"/>
          <w:lang w:val="en-US" w:eastAsia="zh-CN"/>
        </w:rPr>
        <w:t>二</w:t>
      </w:r>
      <w:r>
        <w:rPr>
          <w:rFonts w:hint="eastAsia" w:ascii="Times New Roman Regular" w:hAnsi="Times New Roman Regular" w:eastAsia="仿宋" w:cs="Times New Roman Regular"/>
          <w:b w:val="0"/>
          <w:bCs w:val="0"/>
          <w:sz w:val="32"/>
          <w:szCs w:val="32"/>
          <w:lang w:val="en-US" w:eastAsia="zh-CN"/>
        </w:rPr>
        <w:t>是</w:t>
      </w:r>
      <w:r>
        <w:rPr>
          <w:rFonts w:hint="default" w:ascii="Times New Roman Regular" w:hAnsi="Times New Roman Regular" w:eastAsia="仿宋" w:cs="Times New Roman Regular"/>
          <w:b w:val="0"/>
          <w:bCs w:val="0"/>
          <w:sz w:val="32"/>
          <w:szCs w:val="32"/>
          <w:lang w:val="en-US" w:eastAsia="zh-CN"/>
        </w:rPr>
        <w:t>增强采购的计划性</w:t>
      </w:r>
      <w:r>
        <w:rPr>
          <w:rFonts w:hint="eastAsia" w:ascii="Times New Roman Regular" w:hAnsi="Times New Roman Regular" w:eastAsia="仿宋" w:cs="Times New Roman Regular"/>
          <w:b w:val="0"/>
          <w:bCs w:val="0"/>
          <w:sz w:val="32"/>
          <w:szCs w:val="32"/>
          <w:lang w:val="en-US" w:eastAsia="zh-CN"/>
        </w:rPr>
        <w:t>，使采</w:t>
      </w:r>
      <w:r>
        <w:rPr>
          <w:rFonts w:hint="default" w:ascii="Times New Roman Regular" w:hAnsi="Times New Roman Regular" w:eastAsia="仿宋" w:cs="Times New Roman Regular"/>
          <w:b w:val="0"/>
          <w:bCs w:val="0"/>
          <w:sz w:val="32"/>
          <w:szCs w:val="32"/>
          <w:lang w:val="en-US" w:eastAsia="zh-CN"/>
        </w:rPr>
        <w:t>购项目不超过预算定额</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三是减少临时采购，增强政府采购预算的刚性约束，严格按预算</w:t>
      </w:r>
      <w:r>
        <w:rPr>
          <w:rFonts w:hint="eastAsia" w:ascii="Times New Roman Regular" w:hAnsi="Times New Roman Regular" w:eastAsia="仿宋" w:cs="Times New Roman Regular"/>
          <w:b w:val="0"/>
          <w:bCs w:val="0"/>
          <w:sz w:val="32"/>
          <w:szCs w:val="32"/>
          <w:lang w:val="en-US" w:eastAsia="zh-CN"/>
        </w:rPr>
        <w:t>计划</w:t>
      </w:r>
      <w:r>
        <w:rPr>
          <w:rFonts w:hint="default" w:ascii="Times New Roman Regular" w:hAnsi="Times New Roman Regular" w:eastAsia="仿宋" w:cs="Times New Roman Regular"/>
          <w:b w:val="0"/>
          <w:bCs w:val="0"/>
          <w:sz w:val="32"/>
          <w:szCs w:val="32"/>
          <w:lang w:val="en-US" w:eastAsia="zh-CN"/>
        </w:rPr>
        <w:t>执行采购。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4" w:name="_Toc31843"/>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规范资产管理</w:t>
      </w:r>
      <w:bookmarkEnd w:id="24"/>
    </w:p>
    <w:p>
      <w:pPr>
        <w:pStyle w:val="1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Regular" w:hAnsi="Times New Roman Regular" w:eastAsia="仿宋" w:cs="Times New Roman Regular"/>
          <w:b w:val="0"/>
          <w:bCs w:val="0"/>
          <w:kern w:val="2"/>
          <w:sz w:val="32"/>
          <w:szCs w:val="32"/>
          <w:lang w:val="en-US" w:eastAsia="zh-CN" w:bidi="ar-SA"/>
        </w:rPr>
      </w:pPr>
      <w:r>
        <w:rPr>
          <w:rFonts w:hint="default" w:ascii="Times New Roman Regular" w:hAnsi="Times New Roman Regular" w:eastAsia="仿宋" w:cs="Times New Roman Regular"/>
          <w:b w:val="0"/>
          <w:bCs w:val="0"/>
          <w:kern w:val="2"/>
          <w:sz w:val="32"/>
          <w:szCs w:val="32"/>
          <w:lang w:val="en-US" w:eastAsia="zh-CN" w:bidi="ar-SA"/>
        </w:rPr>
        <w:t>建议</w:t>
      </w:r>
      <w:r>
        <w:rPr>
          <w:rFonts w:hint="eastAsia" w:ascii="Times New Roman Regular" w:hAnsi="Times New Roman Regular" w:eastAsia="仿宋" w:cs="Times New Roman Regular"/>
          <w:b w:val="0"/>
          <w:bCs w:val="0"/>
          <w:kern w:val="2"/>
          <w:sz w:val="32"/>
          <w:szCs w:val="32"/>
          <w:lang w:val="en-US" w:eastAsia="zh-CN" w:bidi="ar-SA"/>
        </w:rPr>
        <w:t>单位进一步</w:t>
      </w:r>
      <w:r>
        <w:rPr>
          <w:rFonts w:hint="default" w:ascii="Times New Roman Regular" w:hAnsi="Times New Roman Regular" w:eastAsia="仿宋" w:cs="Times New Roman Regular"/>
          <w:b w:val="0"/>
          <w:bCs w:val="0"/>
          <w:kern w:val="2"/>
          <w:sz w:val="32"/>
          <w:szCs w:val="32"/>
          <w:lang w:val="en-US" w:eastAsia="zh-CN" w:bidi="ar-SA"/>
        </w:rPr>
        <w:t>规范实物资产的管理，强化资产管理意识，规范盘点、清理报废等固定资产相关程序。定期对资产进行全面清查盘点，对所有固定资产粘贴标签，并且保证卡、标签和实物相符，确保资产安全完整，防止物资流失，满足报废条件的，应及时进行资产报废处置。</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3" w:firstLineChars="200"/>
        <w:textAlignment w:val="auto"/>
        <w:outlineLvl w:val="1"/>
        <w:rPr>
          <w:rFonts w:hint="eastAsia" w:ascii="Times New Roman Regular" w:hAnsi="Times New Roman Regular" w:eastAsia="楷体" w:cs="Times New Roman Regular"/>
          <w:b/>
          <w:bCs/>
          <w:spacing w:val="0"/>
          <w:kern w:val="2"/>
          <w:sz w:val="32"/>
          <w:szCs w:val="32"/>
          <w:highlight w:val="none"/>
          <w:lang w:val="en-US" w:eastAsia="zh-CN" w:bidi="ar-SA"/>
        </w:rPr>
      </w:pPr>
      <w:bookmarkStart w:id="25" w:name="_Toc5544"/>
      <w:bookmarkStart w:id="26" w:name="_Toc19979"/>
      <w:bookmarkStart w:id="27" w:name="_Toc8300"/>
      <w:r>
        <w:rPr>
          <w:rFonts w:hint="eastAsia" w:ascii="Times New Roman Regular" w:hAnsi="Times New Roman Regular" w:eastAsia="楷体" w:cs="Times New Roman Regular"/>
          <w:b/>
          <w:bCs/>
          <w:sz w:val="32"/>
          <w:szCs w:val="32"/>
          <w:lang w:val="en-US" w:eastAsia="zh-CN"/>
        </w:rPr>
        <w:t>（三）</w:t>
      </w:r>
      <w:r>
        <w:rPr>
          <w:rFonts w:hint="eastAsia" w:ascii="Times New Roman Regular" w:hAnsi="Times New Roman Regular" w:eastAsia="楷体" w:cs="Times New Roman Regular"/>
          <w:b/>
          <w:bCs/>
          <w:spacing w:val="0"/>
          <w:kern w:val="2"/>
          <w:sz w:val="32"/>
          <w:szCs w:val="32"/>
          <w:lang w:val="en-US" w:eastAsia="zh-CN" w:bidi="ar-SA"/>
        </w:rPr>
        <w:t>强化</w:t>
      </w:r>
      <w:r>
        <w:rPr>
          <w:rFonts w:hint="eastAsia" w:ascii="Times New Roman Regular" w:hAnsi="Times New Roman Regular" w:eastAsia="楷体" w:cs="Times New Roman Regular"/>
          <w:b/>
          <w:bCs/>
          <w:spacing w:val="0"/>
          <w:kern w:val="2"/>
          <w:sz w:val="32"/>
          <w:szCs w:val="32"/>
          <w:highlight w:val="none"/>
          <w:lang w:val="en-US" w:eastAsia="zh-CN" w:bidi="ar-SA"/>
        </w:rPr>
        <w:t>绩效目标</w:t>
      </w:r>
      <w:bookmarkEnd w:id="25"/>
      <w:bookmarkEnd w:id="26"/>
      <w:r>
        <w:rPr>
          <w:rFonts w:hint="eastAsia" w:ascii="Times New Roman Regular" w:hAnsi="Times New Roman Regular" w:eastAsia="楷体" w:cs="Times New Roman Regular"/>
          <w:b/>
          <w:bCs/>
          <w:spacing w:val="0"/>
          <w:kern w:val="2"/>
          <w:sz w:val="32"/>
          <w:szCs w:val="32"/>
          <w:lang w:val="en-US" w:eastAsia="zh-CN" w:bidi="ar-SA"/>
        </w:rPr>
        <w:t>建设</w:t>
      </w:r>
      <w:bookmarkEnd w:id="27"/>
    </w:p>
    <w:p>
      <w:pPr>
        <w:pStyle w:val="12"/>
        <w:spacing w:line="600" w:lineRule="exact"/>
        <w:ind w:firstLine="640" w:firstLineChars="200"/>
        <w:rPr>
          <w:rFonts w:hint="eastAsia" w:ascii="Times New Roman Regular" w:hAnsi="Times New Roman Regular" w:eastAsia="仿宋" w:cs="Times New Roman Regular"/>
          <w:i w:val="0"/>
          <w:iCs w:val="0"/>
          <w:caps w:val="0"/>
          <w:spacing w:val="0"/>
          <w:sz w:val="32"/>
          <w:szCs w:val="32"/>
          <w:shd w:val="clear"/>
          <w:lang w:eastAsia="zh-CN"/>
        </w:rPr>
      </w:pPr>
      <w:r>
        <w:rPr>
          <w:rFonts w:hint="default" w:ascii="Times New Roman Regular" w:hAnsi="Times New Roman Regular" w:eastAsia="仿宋" w:cs="Times New Roman Regular"/>
          <w:sz w:val="32"/>
          <w:szCs w:val="32"/>
          <w:lang w:val="en-US" w:eastAsia="zh-CN"/>
        </w:rPr>
        <w:t>按照“谁申请资金、谁设定目标”的原则，项目主管单位和实施单位作为项目绩效设定主体，应结合项目内容、预算情况以及项目特点，有针对性的编制绩效目标和目标值，做到指向明确、内容完整、具体细化</w:t>
      </w:r>
      <w:r>
        <w:rPr>
          <w:rFonts w:hint="eastAsia" w:ascii="Times New Roman Regular" w:hAnsi="Times New Roman Regular" w:eastAsia="仿宋" w:cs="Times New Roman Regular"/>
          <w:sz w:val="32"/>
          <w:szCs w:val="32"/>
          <w:lang w:val="en-US" w:eastAsia="zh-CN"/>
        </w:rPr>
        <w:t>，</w:t>
      </w:r>
      <w:r>
        <w:rPr>
          <w:rFonts w:hint="default" w:ascii="Times New Roman Regular" w:hAnsi="Times New Roman Regular" w:eastAsia="仿宋" w:cs="Times New Roman Regular"/>
          <w:i w:val="0"/>
          <w:iCs w:val="0"/>
          <w:caps w:val="0"/>
          <w:color w:val="666666"/>
          <w:spacing w:val="0"/>
          <w:sz w:val="32"/>
          <w:szCs w:val="32"/>
          <w:shd w:val="clear" w:fill="FFFFFF"/>
          <w:lang w:val="en-US" w:eastAsia="zh-CN"/>
        </w:rPr>
        <w:t>使</w:t>
      </w:r>
      <w:r>
        <w:rPr>
          <w:rFonts w:ascii="Times New Roman Regular" w:hAnsi="Times New Roman Regular" w:eastAsia="仿宋" w:cs="Times New Roman Regular"/>
          <w:i w:val="0"/>
          <w:iCs w:val="0"/>
          <w:caps w:val="0"/>
          <w:color w:val="666666"/>
          <w:spacing w:val="0"/>
          <w:sz w:val="32"/>
          <w:szCs w:val="32"/>
          <w:shd w:val="clear" w:fill="FFFFFF"/>
        </w:rPr>
        <w:t>项目</w:t>
      </w:r>
      <w:r>
        <w:rPr>
          <w:rFonts w:hint="eastAsia" w:ascii="Times New Roman Regular" w:hAnsi="Times New Roman Regular" w:eastAsia="仿宋" w:cs="Times New Roman Regular"/>
          <w:i w:val="0"/>
          <w:iCs w:val="0"/>
          <w:caps w:val="0"/>
          <w:spacing w:val="0"/>
          <w:sz w:val="32"/>
          <w:szCs w:val="32"/>
          <w:shd w:val="clear"/>
          <w:lang w:val="en-US" w:eastAsia="zh-CN"/>
        </w:rPr>
        <w:t>的效益</w:t>
      </w:r>
      <w:r>
        <w:rPr>
          <w:rFonts w:ascii="Times New Roman Regular" w:hAnsi="Times New Roman Regular" w:eastAsia="仿宋" w:cs="Times New Roman Regular"/>
          <w:i w:val="0"/>
          <w:iCs w:val="0"/>
          <w:caps w:val="0"/>
          <w:color w:val="666666"/>
          <w:spacing w:val="0"/>
          <w:sz w:val="32"/>
          <w:szCs w:val="32"/>
          <w:shd w:val="clear" w:fill="FFFFFF"/>
        </w:rPr>
        <w:t>可衡量、可比较</w:t>
      </w:r>
      <w:r>
        <w:rPr>
          <w:rFonts w:hint="eastAsia" w:ascii="Times New Roman Regular" w:hAnsi="Times New Roman Regular" w:eastAsia="仿宋" w:cs="Times New Roman Regular"/>
          <w:i w:val="0"/>
          <w:iCs w:val="0"/>
          <w:caps w:val="0"/>
          <w:spacing w:val="0"/>
          <w:sz w:val="32"/>
          <w:szCs w:val="32"/>
          <w:shd w:val="clear"/>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28" w:name="_Toc7888"/>
      <w:r>
        <w:rPr>
          <w:rFonts w:hint="default" w:ascii="Times New Roman Regular" w:hAnsi="Times New Roman Regular" w:eastAsia="黑体" w:cs="Times New Roman Regular"/>
          <w:b/>
          <w:bCs/>
          <w:kern w:val="2"/>
          <w:sz w:val="32"/>
          <w:szCs w:val="32"/>
          <w:lang w:val="en-US" w:eastAsia="zh-CN" w:bidi="ar-SA"/>
        </w:rPr>
        <w:t>九、报告使用情况说明</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本报告仅供委托方了解</w:t>
      </w:r>
      <w:r>
        <w:rPr>
          <w:rFonts w:hint="eastAsia" w:ascii="Times New Roman Regular" w:hAnsi="Times New Roman Regular" w:eastAsia="仿宋" w:cs="Times New Roman Regular"/>
          <w:b w:val="0"/>
          <w:bCs w:val="0"/>
          <w:sz w:val="32"/>
          <w:szCs w:val="32"/>
          <w:lang w:val="en-US"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部门整体支出绩效情况使用，亦可供</w:t>
      </w:r>
      <w:r>
        <w:rPr>
          <w:rFonts w:hint="eastAsia" w:ascii="Times New Roman Regular" w:hAnsi="Times New Roman Regular" w:eastAsia="仿宋" w:cs="Times New Roman Regular"/>
          <w:b w:val="0"/>
          <w:bCs w:val="0"/>
          <w:sz w:val="32"/>
          <w:szCs w:val="32"/>
          <w:lang w:val="en-US"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加强部门整体绩效管理参考使用，非经委托方和本所许可，不得用于其他目的。</w:t>
      </w:r>
    </w:p>
    <w:p>
      <w:pPr>
        <w:pStyle w:val="12"/>
        <w:rPr>
          <w:rFonts w:hint="default" w:ascii="Times New Roman Regular" w:hAnsi="Times New Roman Regular" w:eastAsia="仿宋" w:cs="Times New Roman Regular"/>
          <w:b w:val="0"/>
          <w:bCs w:val="0"/>
          <w:sz w:val="32"/>
          <w:szCs w:val="32"/>
          <w:lang w:val="en-US" w:eastAsia="zh-CN"/>
        </w:rPr>
      </w:pPr>
    </w:p>
    <w:p>
      <w:pPr>
        <w:pStyle w:val="1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1</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2022年度部门整体支出绩效评价指标表</w:t>
      </w:r>
    </w:p>
    <w:p>
      <w:pPr>
        <w:pStyle w:val="13"/>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2</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2022年度部门整体支出</w:t>
      </w:r>
      <w:r>
        <w:rPr>
          <w:rFonts w:hint="eastAsia" w:ascii="Times New Roman Regular" w:hAnsi="Times New Roman Regular" w:eastAsia="仿宋" w:cs="Times New Roman Regular"/>
          <w:b w:val="0"/>
          <w:bCs w:val="0"/>
          <w:sz w:val="32"/>
          <w:szCs w:val="32"/>
          <w:lang w:val="en-US" w:eastAsia="zh-CN"/>
        </w:rPr>
        <w:t>基础数据表</w:t>
      </w:r>
    </w:p>
    <w:p>
      <w:pPr>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3</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2022年度部门整体支出绩效</w:t>
      </w:r>
      <w:r>
        <w:rPr>
          <w:rFonts w:hint="eastAsia" w:ascii="Times New Roman Regular" w:hAnsi="Times New Roman Regular" w:eastAsia="仿宋" w:cs="Times New Roman Regular"/>
          <w:b w:val="0"/>
          <w:bCs w:val="0"/>
          <w:sz w:val="32"/>
          <w:szCs w:val="32"/>
          <w:lang w:val="en-US" w:eastAsia="zh-CN"/>
        </w:rPr>
        <w:t>评价自评表</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default"/>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4</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邵阳市北塔区住房和城乡建设局</w:t>
      </w:r>
      <w:r>
        <w:rPr>
          <w:rFonts w:hint="default" w:ascii="Times New Roman Regular" w:hAnsi="Times New Roman Regular" w:eastAsia="仿宋" w:cs="Times New Roman Regular"/>
          <w:b w:val="0"/>
          <w:bCs w:val="0"/>
          <w:sz w:val="32"/>
          <w:szCs w:val="32"/>
          <w:lang w:val="en-US" w:eastAsia="zh-CN"/>
        </w:rPr>
        <w:t>2022年度</w:t>
      </w:r>
      <w:r>
        <w:rPr>
          <w:rFonts w:hint="eastAsia" w:ascii="Times New Roman Regular" w:hAnsi="Times New Roman Regular" w:eastAsia="仿宋" w:cs="Times New Roman Regular"/>
          <w:b w:val="0"/>
          <w:bCs w:val="0"/>
          <w:sz w:val="32"/>
          <w:szCs w:val="32"/>
          <w:lang w:val="en-US" w:eastAsia="zh-CN"/>
        </w:rPr>
        <w:t>项目自评表</w:t>
      </w: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3"/>
        <w:rPr>
          <w:rFonts w:hint="default"/>
          <w:lang w:val="en-US" w:eastAsia="zh-CN"/>
        </w:rPr>
      </w:pPr>
    </w:p>
    <w:p>
      <w:pPr>
        <w:pStyle w:val="12"/>
        <w:rPr>
          <w:rFonts w:hint="default" w:ascii="Times New Roman Regular" w:hAnsi="Times New Roman Regular" w:eastAsia="楷体" w:cs="Times New Roman Regular"/>
          <w:sz w:val="30"/>
          <w:szCs w:val="30"/>
          <w:lang w:val="en-US" w:eastAsia="zh-CN"/>
        </w:rPr>
      </w:pPr>
      <w:r>
        <w:rPr>
          <w:rFonts w:hint="default" w:ascii="Times New Roman Regular" w:hAnsi="Times New Roman Regular" w:eastAsia="楷体" w:cs="Times New Roman Regular"/>
          <w:sz w:val="30"/>
          <w:szCs w:val="30"/>
          <w:lang w:val="en-US" w:eastAsia="zh-CN"/>
        </w:rPr>
        <w:t>湖南财正会计师事务所</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普通合伙</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 xml:space="preserve">        中国注册会计师：</w:t>
      </w:r>
    </w:p>
    <w:p>
      <w:pPr>
        <w:rPr>
          <w:rFonts w:hint="default" w:ascii="Times New Roman Regular" w:hAnsi="Times New Roman Regular" w:eastAsia="仿宋" w:cs="Times New Roman Regular"/>
          <w:b w:val="0"/>
          <w:bCs w:val="0"/>
          <w:sz w:val="31"/>
          <w:szCs w:val="31"/>
          <w:lang w:val="en-US" w:eastAsia="zh-CN"/>
        </w:rPr>
      </w:pPr>
    </w:p>
    <w:p>
      <w:pPr>
        <w:ind w:firstLine="900" w:firstLineChars="300"/>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b w:val="0"/>
          <w:bCs w:val="0"/>
          <w:sz w:val="30"/>
          <w:szCs w:val="30"/>
          <w:lang w:val="en-US" w:eastAsia="zh-CN"/>
        </w:rPr>
        <w:t>湖南</w:t>
      </w:r>
      <w:r>
        <w:rPr>
          <w:rFonts w:hint="eastAsia" w:ascii="微软雅黑" w:hAnsi="微软雅黑" w:eastAsia="微软雅黑" w:cs="微软雅黑"/>
          <w:b w:val="0"/>
          <w:bCs w:val="0"/>
          <w:sz w:val="30"/>
          <w:szCs w:val="30"/>
          <w:lang w:val="en-US" w:eastAsia="zh-CN"/>
        </w:rPr>
        <w:t>•</w:t>
      </w:r>
      <w:r>
        <w:rPr>
          <w:rFonts w:hint="default" w:ascii="Times New Roman Regular" w:hAnsi="Times New Roman Regular" w:eastAsia="楷体" w:cs="Times New Roman Regular"/>
          <w:b w:val="0"/>
          <w:bCs w:val="0"/>
          <w:sz w:val="30"/>
          <w:szCs w:val="30"/>
          <w:lang w:val="en-US" w:eastAsia="zh-CN"/>
        </w:rPr>
        <w:t>长沙</w:t>
      </w:r>
      <w:r>
        <w:rPr>
          <w:rFonts w:hint="default" w:ascii="Times New Roman Regular" w:hAnsi="Times New Roman Regular" w:cs="Times New Roman Regular"/>
          <w:sz w:val="30"/>
          <w:szCs w:val="30"/>
          <w:lang w:val="en-US" w:eastAsia="zh-CN"/>
        </w:rPr>
        <w:t xml:space="preserve">  </w:t>
      </w:r>
      <w:r>
        <w:rPr>
          <w:rFonts w:hint="default" w:ascii="Times New Roman Regular" w:hAnsi="Times New Roman Regular" w:cs="Times New Roman Regular"/>
          <w:lang w:val="en-US" w:eastAsia="zh-CN"/>
        </w:rPr>
        <w:t xml:space="preserve">                              </w:t>
      </w:r>
      <w:r>
        <w:rPr>
          <w:rFonts w:hint="default" w:ascii="Times New Roman Regular" w:hAnsi="Times New Roman Regular" w:eastAsia="楷体" w:cs="Times New Roman Regular"/>
          <w:sz w:val="30"/>
          <w:szCs w:val="30"/>
          <w:lang w:val="en-US" w:eastAsia="zh-CN"/>
        </w:rPr>
        <w:t xml:space="preserve"> </w:t>
      </w:r>
      <w:r>
        <w:rPr>
          <w:rFonts w:hint="eastAsia" w:ascii="Times New Roman Regular" w:hAnsi="Times New Roman Regular" w:eastAsia="楷体" w:cs="Times New Roman Regular"/>
          <w:sz w:val="30"/>
          <w:szCs w:val="30"/>
          <w:lang w:val="en-US" w:eastAsia="zh-CN"/>
        </w:rPr>
        <w:t xml:space="preserve">  </w:t>
      </w:r>
      <w:r>
        <w:rPr>
          <w:rFonts w:hint="default" w:ascii="Times New Roman Regular" w:hAnsi="Times New Roman Regular" w:eastAsia="楷体" w:cs="Times New Roman Regular"/>
          <w:sz w:val="30"/>
          <w:szCs w:val="30"/>
          <w:lang w:val="en-US" w:eastAsia="zh-CN"/>
        </w:rPr>
        <w:t>中国注册会计师：</w:t>
      </w:r>
    </w:p>
    <w:p>
      <w:pPr>
        <w:pStyle w:val="12"/>
        <w:rPr>
          <w:rFonts w:hint="default" w:ascii="Times New Roman Regular" w:hAnsi="Times New Roman Regular" w:cs="Times New Roman Regular"/>
          <w:lang w:val="en-US" w:eastAsia="zh-CN"/>
        </w:rPr>
      </w:pPr>
    </w:p>
    <w:p>
      <w:pPr>
        <w:pStyle w:val="12"/>
        <w:ind w:firstLine="5670" w:firstLineChars="2700"/>
        <w:rPr>
          <w:rFonts w:hint="default" w:ascii="Times New Roman Regular" w:hAnsi="Times New Roman Regular" w:cs="Times New Roman Regular"/>
          <w:lang w:val="en-US" w:eastAsia="zh-CN"/>
        </w:rPr>
      </w:pPr>
    </w:p>
    <w:p>
      <w:pPr>
        <w:pStyle w:val="12"/>
        <w:ind w:firstLine="5670" w:firstLineChars="2700"/>
        <w:rPr>
          <w:rFonts w:hint="default" w:ascii="Times New Roman Regular" w:hAnsi="Times New Roman Regular" w:cs="Times New Roman Regular"/>
          <w:lang w:val="en-US" w:eastAsia="zh-CN"/>
        </w:rPr>
      </w:pPr>
    </w:p>
    <w:p>
      <w:pPr>
        <w:pStyle w:val="12"/>
        <w:ind w:firstLine="0" w:firstLineChars="0"/>
        <w:jc w:val="right"/>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kern w:val="2"/>
          <w:sz w:val="30"/>
          <w:szCs w:val="30"/>
          <w:lang w:val="en-US" w:eastAsia="zh-CN" w:bidi="ar-SA"/>
        </w:rPr>
        <w:t>二〇二三年十月二十日</w:t>
      </w:r>
    </w:p>
    <w:p>
      <w:pPr>
        <w:pStyle w:val="12"/>
        <w:ind w:firstLine="5890" w:firstLineChars="1900"/>
        <w:rPr>
          <w:rFonts w:hint="default" w:ascii="Times New Roman Regular" w:hAnsi="Times New Roman Regular" w:eastAsia="仿宋" w:cs="Times New Roman Regular"/>
          <w:b w:val="0"/>
          <w:bCs w:val="0"/>
          <w:sz w:val="31"/>
          <w:szCs w:val="31"/>
          <w:lang w:val="en-US" w:eastAsia="zh-CN"/>
        </w:rPr>
        <w:sectPr>
          <w:headerReference r:id="rId4" w:type="default"/>
          <w:pgSz w:w="11906" w:h="16838"/>
          <w:pgMar w:top="1440" w:right="1757" w:bottom="1440" w:left="1757" w:header="624"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1</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pPr>
      <w:r>
        <w:rPr>
          <w:rFonts w:hint="eastAsia" w:ascii="Times New Roman Regular" w:hAnsi="Times New Roman Regular" w:eastAsia="方正小标宋简体" w:cs="Times New Roman Regular"/>
          <w:b w:val="0"/>
          <w:bCs w:val="0"/>
          <w:snapToGrid w:val="0"/>
          <w:color w:val="000000"/>
          <w:spacing w:val="-3"/>
          <w:kern w:val="0"/>
          <w:sz w:val="36"/>
          <w:szCs w:val="36"/>
          <w:lang w:val="en-US" w:eastAsia="zh-CN"/>
        </w:rPr>
        <w:t>邵阳市北塔区住房和城乡建设局</w:t>
      </w: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2022年度部门整体支出绩效评价指标表</w:t>
      </w:r>
    </w:p>
    <w:tbl>
      <w:tblPr>
        <w:tblStyle w:val="17"/>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65"/>
        <w:gridCol w:w="1413"/>
        <w:gridCol w:w="1169"/>
        <w:gridCol w:w="1089"/>
        <w:gridCol w:w="5294"/>
        <w:gridCol w:w="937"/>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0" w:type="auto"/>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一级指标</w:t>
            </w:r>
          </w:p>
        </w:tc>
        <w:tc>
          <w:tcPr>
            <w:tcW w:w="1413"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二级指标</w:t>
            </w: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三级指标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标准分值</w:t>
            </w:r>
          </w:p>
        </w:tc>
        <w:tc>
          <w:tcPr>
            <w:tcW w:w="5294"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评价标准</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评价得分</w:t>
            </w:r>
          </w:p>
        </w:tc>
        <w:tc>
          <w:tcPr>
            <w:tcW w:w="3720"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2"/>
                <w:szCs w:val="22"/>
                <w:u w:val="none"/>
              </w:rPr>
            </w:pPr>
            <w:r>
              <w:rPr>
                <w:rFonts w:hint="default" w:ascii="Times New Roman" w:hAnsi="Times New Roman" w:cs="Times New Roman" w:eastAsiaTheme="minorEastAsia"/>
                <w:b/>
                <w:bCs/>
                <w:i w:val="0"/>
                <w:iCs w:val="0"/>
                <w:color w:val="000000"/>
                <w:kern w:val="0"/>
                <w:sz w:val="22"/>
                <w:szCs w:val="22"/>
                <w:u w:val="none"/>
                <w:lang w:val="en-US" w:eastAsia="zh-CN" w:bidi="ar"/>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投入（15分）</w:t>
            </w:r>
          </w:p>
        </w:tc>
        <w:tc>
          <w:tcPr>
            <w:tcW w:w="1413"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目标设定（6分）</w:t>
            </w: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绩效目标合理性</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3</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绩效目标未达到以下标准的，每条扣0.5分，扣完为止：①符合国家法律法规、国民经济和社会发展总体规划；②符合部门“三定”方案确定的职责；③符合部门制定的中长期实施规划和年度工作计划。</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3</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绩效指标明确性</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3</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是否将部门整体的绩效目标细化分解为具体的工作任务；通过清晰、可衡量的指标值予以体现。与部门年度的任务数或计划数相对应；与本年度部门预算资金相匹配。每发现一项不符扣1分，本项扣完为止。</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w:t>
            </w:r>
          </w:p>
        </w:tc>
        <w:tc>
          <w:tcPr>
            <w:tcW w:w="3720"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经查看项目单位的《2022年度部门预算公开表-整体支出绩效目标表》，发现部门整体的绩效目标未细化分解为具体的工作任务，扣1分；不能通过清晰、可衡量的指标值予以体现。扣1分。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预算配置（9分）</w:t>
            </w: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在职人员控制率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3</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以100%为标准，在职人员控制率=（在职人员数/编制数）×100%。在职人员控制率≦100%，计3分，每超过1%，扣0.3分，扣完为止。</w:t>
            </w:r>
          </w:p>
        </w:tc>
        <w:tc>
          <w:tcPr>
            <w:tcW w:w="937" w:type="dxa"/>
            <w:shd w:val="clear" w:color="auto" w:fill="auto"/>
            <w:vAlign w:val="center"/>
          </w:tcPr>
          <w:p>
            <w:pPr>
              <w:keepNext w:val="0"/>
              <w:keepLines w:val="0"/>
              <w:widowControl/>
              <w:suppressLineNumbers w:val="0"/>
              <w:jc w:val="center"/>
              <w:textAlignment w:val="center"/>
              <w:rPr>
                <w:rFonts w:hint="eastAsia" w:ascii="Times New Roman" w:hAnsi="Times New Roman" w:cs="Times New Roman" w:eastAsiaTheme="minorEastAsia"/>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3</w:t>
            </w:r>
          </w:p>
        </w:tc>
        <w:tc>
          <w:tcPr>
            <w:tcW w:w="3720"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重点支出安排率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6</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重点支出安排率≥90%，计6分；每少10%扣1.5分；低于60%不得分。重点支出安排率=（重点预算支出/预算总支出）×100%。</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6</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465"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过程（25分）</w:t>
            </w:r>
          </w:p>
        </w:tc>
        <w:tc>
          <w:tcPr>
            <w:tcW w:w="1413"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预算执行（10分）</w:t>
            </w: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预算执行率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以100%为标准。预算执行率每下降一个百分点扣0.1分，扣完为止。</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支出进度</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每发现一个项目未完成进度要求，完成资金下达的扣0.2分，扣完为止。</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结转结余率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无结余，2分；有结余但不超过上年结转，1分；每超过上年结转1个百分点扣0.1分，扣完为止。</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“三公经费”控制率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以100%为标准。控制率≤100%，计2分；每超过一个百分点扣0.4分。</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政府采购执行率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100%计满分，每</w:t>
            </w:r>
            <w:r>
              <w:rPr>
                <w:rFonts w:hint="eastAsia" w:ascii="Times New Roman" w:hAnsi="Times New Roman" w:cs="Times New Roman"/>
                <w:i w:val="0"/>
                <w:iCs w:val="0"/>
                <w:color w:val="000000"/>
                <w:kern w:val="0"/>
                <w:sz w:val="20"/>
                <w:szCs w:val="20"/>
                <w:u w:val="none"/>
                <w:lang w:val="en-US" w:eastAsia="zh-CN" w:bidi="ar"/>
              </w:rPr>
              <w:t>偏离</w:t>
            </w:r>
            <w:r>
              <w:rPr>
                <w:rFonts w:hint="default" w:ascii="Times New Roman" w:hAnsi="Times New Roman" w:cs="Times New Roman" w:eastAsiaTheme="minorEastAsia"/>
                <w:i w:val="0"/>
                <w:iCs w:val="0"/>
                <w:color w:val="000000"/>
                <w:kern w:val="0"/>
                <w:sz w:val="20"/>
                <w:szCs w:val="20"/>
                <w:u w:val="none"/>
                <w:lang w:val="en-US" w:eastAsia="zh-CN" w:bidi="ar"/>
              </w:rPr>
              <w:t>1个百分点扣0.2分。</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0</w:t>
            </w:r>
          </w:p>
        </w:tc>
        <w:tc>
          <w:tcPr>
            <w:tcW w:w="3720"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经查看单位相关资料，超出政府采购预算金额1440.93%，扣2分。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预算管理（12分）</w:t>
            </w: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管理制度健全性</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3</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①有制定管理制度，计1分；②管理制度合法、合规、完整，计1分；③相关管理制度得到有效执行计1分。</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2</w:t>
            </w:r>
          </w:p>
        </w:tc>
        <w:tc>
          <w:tcPr>
            <w:tcW w:w="3720"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资产管理制度未得到有效执行，扣1分。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资金使用合规性</w:t>
            </w:r>
          </w:p>
        </w:tc>
        <w:tc>
          <w:tcPr>
            <w:tcW w:w="108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5</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tc>
        <w:tc>
          <w:tcPr>
            <w:tcW w:w="937"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w:t>
            </w:r>
          </w:p>
        </w:tc>
        <w:tc>
          <w:tcPr>
            <w:tcW w:w="3720"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08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②资金拨付有完整的审批程序和手续，1分；</w:t>
            </w:r>
          </w:p>
        </w:tc>
        <w:tc>
          <w:tcPr>
            <w:tcW w:w="937"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08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③项目支出按规定经过评估论证，1分；</w:t>
            </w:r>
          </w:p>
        </w:tc>
        <w:tc>
          <w:tcPr>
            <w:tcW w:w="937"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3720"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08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④支出符合部门预算批复的用途，1分。</w:t>
            </w:r>
          </w:p>
        </w:tc>
        <w:tc>
          <w:tcPr>
            <w:tcW w:w="937"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预决算信息公开性</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①按规定内容公开预决算信息，计1分；②按规定时限公开预决算信息，计1分。</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基础信息完善性</w:t>
            </w:r>
          </w:p>
        </w:tc>
        <w:tc>
          <w:tcPr>
            <w:tcW w:w="108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①基础数据信息和会计信息资料真实，计1分；</w:t>
            </w:r>
          </w:p>
        </w:tc>
        <w:tc>
          <w:tcPr>
            <w:tcW w:w="937"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3720" w:type="dxa"/>
            <w:vMerge w:val="restart"/>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08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②基础数据信息和会计信息资料完整、准确，计1分。</w:t>
            </w:r>
          </w:p>
        </w:tc>
        <w:tc>
          <w:tcPr>
            <w:tcW w:w="937"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3720" w:type="dxa"/>
            <w:vMerge w:val="continue"/>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资产管理（3分）</w:t>
            </w:r>
          </w:p>
        </w:tc>
        <w:tc>
          <w:tcPr>
            <w:tcW w:w="116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资产管理安全性</w:t>
            </w:r>
          </w:p>
        </w:tc>
        <w:tc>
          <w:tcPr>
            <w:tcW w:w="108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2</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①资产保存完整，计0.5分；</w:t>
            </w:r>
          </w:p>
        </w:tc>
        <w:tc>
          <w:tcPr>
            <w:tcW w:w="937"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w:t>
            </w:r>
          </w:p>
        </w:tc>
        <w:tc>
          <w:tcPr>
            <w:tcW w:w="3720"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经评价小组抽盘单位资产发现，单位部分</w:t>
            </w:r>
            <w:r>
              <w:rPr>
                <w:rFonts w:hint="default" w:ascii="Times New Roman" w:hAnsi="Times New Roman" w:cs="Times New Roman" w:eastAsiaTheme="minorEastAsia"/>
                <w:i w:val="0"/>
                <w:iCs w:val="0"/>
                <w:color w:val="000000"/>
                <w:kern w:val="0"/>
                <w:sz w:val="20"/>
                <w:szCs w:val="20"/>
                <w:u w:val="none"/>
                <w:lang w:val="en-US" w:eastAsia="zh-CN" w:bidi="ar"/>
              </w:rPr>
              <w:t>资产未贴标</w:t>
            </w:r>
            <w:r>
              <w:rPr>
                <w:rFonts w:hint="eastAsia" w:ascii="Times New Roman" w:hAnsi="Times New Roman" w:cs="Times New Roman"/>
                <w:i w:val="0"/>
                <w:iCs w:val="0"/>
                <w:color w:val="000000"/>
                <w:kern w:val="0"/>
                <w:sz w:val="20"/>
                <w:szCs w:val="20"/>
                <w:u w:val="none"/>
                <w:lang w:val="en-US" w:eastAsia="zh-CN" w:bidi="ar"/>
              </w:rPr>
              <w:t>，</w:t>
            </w:r>
            <w:r>
              <w:rPr>
                <w:rFonts w:hint="default" w:ascii="Times New Roman" w:hAnsi="Times New Roman" w:cs="Times New Roman" w:eastAsiaTheme="minorEastAsia"/>
                <w:i w:val="0"/>
                <w:iCs w:val="0"/>
                <w:color w:val="000000"/>
                <w:kern w:val="0"/>
                <w:sz w:val="20"/>
                <w:szCs w:val="20"/>
                <w:u w:val="none"/>
                <w:lang w:val="en-US" w:eastAsia="zh-CN" w:bidi="ar"/>
              </w:rPr>
              <w:t>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08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②资产配置合理，计0.5分；</w:t>
            </w:r>
          </w:p>
        </w:tc>
        <w:tc>
          <w:tcPr>
            <w:tcW w:w="937"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3720" w:type="dxa"/>
            <w:vMerge w:val="continue"/>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08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③资产配置规范，计0.5分；</w:t>
            </w:r>
          </w:p>
        </w:tc>
        <w:tc>
          <w:tcPr>
            <w:tcW w:w="937"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3720" w:type="dxa"/>
            <w:vMerge w:val="continue"/>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089"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④资产账务管理合规，账实相符，计0.5分。</w:t>
            </w:r>
          </w:p>
        </w:tc>
        <w:tc>
          <w:tcPr>
            <w:tcW w:w="937"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3720" w:type="dxa"/>
            <w:vMerge w:val="continue"/>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固定资产利用率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每低于100%一个百分点扣0.1分，扣完为止。</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465"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产出（30分）</w:t>
            </w:r>
          </w:p>
        </w:tc>
        <w:tc>
          <w:tcPr>
            <w:tcW w:w="1413"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职责履行（30分）</w:t>
            </w: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部门单位履职、运转</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单位履职、运转正常，计</w:t>
            </w:r>
            <w:r>
              <w:rPr>
                <w:rFonts w:hint="eastAsia" w:ascii="Times New Roman" w:hAnsi="Times New Roman" w:cs="Times New Roman"/>
                <w:i w:val="0"/>
                <w:iCs w:val="0"/>
                <w:color w:val="000000"/>
                <w:kern w:val="0"/>
                <w:sz w:val="20"/>
                <w:szCs w:val="20"/>
                <w:u w:val="none"/>
                <w:lang w:val="en-US" w:eastAsia="zh-CN" w:bidi="ar"/>
              </w:rPr>
              <w:t>5</w:t>
            </w:r>
            <w:r>
              <w:rPr>
                <w:rFonts w:hint="default" w:ascii="Times New Roman" w:hAnsi="Times New Roman" w:cs="Times New Roman" w:eastAsiaTheme="minorEastAsia"/>
                <w:i w:val="0"/>
                <w:iCs w:val="0"/>
                <w:color w:val="000000"/>
                <w:kern w:val="0"/>
                <w:sz w:val="20"/>
                <w:szCs w:val="20"/>
                <w:u w:val="none"/>
                <w:lang w:val="en-US" w:eastAsia="zh-CN" w:bidi="ar"/>
              </w:rPr>
              <w:t>分。</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开展人民防空培训次数</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完成</w:t>
            </w:r>
            <w:r>
              <w:rPr>
                <w:rFonts w:hint="eastAsia" w:ascii="Times New Roman" w:hAnsi="Times New Roman" w:cs="Times New Roman"/>
                <w:i w:val="0"/>
                <w:iCs w:val="0"/>
                <w:color w:val="000000"/>
                <w:kern w:val="0"/>
                <w:sz w:val="20"/>
                <w:szCs w:val="20"/>
                <w:u w:val="none"/>
                <w:lang w:val="en-US" w:eastAsia="zh-CN" w:bidi="ar"/>
              </w:rPr>
              <w:t>2次</w:t>
            </w:r>
            <w:r>
              <w:rPr>
                <w:rFonts w:hint="eastAsia" w:ascii="Times New Roman" w:hAnsi="Times New Roman" w:cs="Times New Roman"/>
                <w:i w:val="0"/>
                <w:iCs w:val="0"/>
                <w:color w:val="000000"/>
                <w:sz w:val="20"/>
                <w:szCs w:val="20"/>
                <w:u w:val="none"/>
                <w:lang w:val="en-US" w:eastAsia="zh-CN"/>
              </w:rPr>
              <w:t>人民防空培训.</w:t>
            </w:r>
            <w:r>
              <w:rPr>
                <w:rFonts w:hint="default" w:ascii="Times New Roman" w:hAnsi="Times New Roman" w:cs="Times New Roman" w:eastAsiaTheme="minorEastAsia"/>
                <w:i w:val="0"/>
                <w:iCs w:val="0"/>
                <w:color w:val="000000"/>
                <w:kern w:val="0"/>
                <w:sz w:val="20"/>
                <w:szCs w:val="20"/>
                <w:u w:val="none"/>
                <w:lang w:val="en-US" w:eastAsia="zh-CN" w:bidi="ar"/>
              </w:rPr>
              <w:t>工作完成率100%，得满分；未达到按实际完成情况得分。指标分值=（实际完成额/计划完成额）×100%*指标标准分值。</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开展人民防空宣传次数</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完成</w:t>
            </w:r>
            <w:r>
              <w:rPr>
                <w:rFonts w:hint="eastAsia" w:ascii="Times New Roman" w:hAnsi="Times New Roman" w:cs="Times New Roman"/>
                <w:i w:val="0"/>
                <w:iCs w:val="0"/>
                <w:color w:val="000000"/>
                <w:kern w:val="0"/>
                <w:sz w:val="20"/>
                <w:szCs w:val="20"/>
                <w:u w:val="none"/>
                <w:lang w:val="en-US" w:eastAsia="zh-CN" w:bidi="ar"/>
              </w:rPr>
              <w:t>100</w:t>
            </w:r>
            <w:r>
              <w:rPr>
                <w:rFonts w:hint="default" w:ascii="Times New Roman" w:hAnsi="Times New Roman" w:cs="Times New Roman" w:eastAsiaTheme="minorEastAsia"/>
                <w:i w:val="0"/>
                <w:iCs w:val="0"/>
                <w:color w:val="000000"/>
                <w:kern w:val="0"/>
                <w:sz w:val="20"/>
                <w:szCs w:val="20"/>
                <w:u w:val="none"/>
                <w:lang w:val="en-US" w:eastAsia="zh-CN" w:bidi="ar"/>
              </w:rPr>
              <w:t>次</w:t>
            </w:r>
            <w:r>
              <w:rPr>
                <w:rFonts w:hint="eastAsia" w:ascii="Times New Roman" w:hAnsi="Times New Roman" w:cs="Times New Roman"/>
                <w:i w:val="0"/>
                <w:iCs w:val="0"/>
                <w:color w:val="000000"/>
                <w:kern w:val="0"/>
                <w:sz w:val="20"/>
                <w:szCs w:val="20"/>
                <w:u w:val="none"/>
                <w:lang w:val="en-US" w:eastAsia="zh-CN" w:bidi="ar"/>
              </w:rPr>
              <w:t>人民防空宣传次数</w:t>
            </w:r>
            <w:r>
              <w:rPr>
                <w:rFonts w:hint="default" w:ascii="Times New Roman" w:hAnsi="Times New Roman" w:cs="Times New Roman" w:eastAsiaTheme="minorEastAsia"/>
                <w:i w:val="0"/>
                <w:iCs w:val="0"/>
                <w:color w:val="000000"/>
                <w:kern w:val="0"/>
                <w:sz w:val="20"/>
                <w:szCs w:val="20"/>
                <w:u w:val="none"/>
                <w:lang w:val="en-US" w:eastAsia="zh-CN" w:bidi="ar"/>
              </w:rPr>
              <w:t>。工作完成率100%，得满分；未达到按实际完成情况得分。指标分值=（实际完成额/计划完成额）×100%*指标标准分值。</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完成</w:t>
            </w:r>
            <w:r>
              <w:rPr>
                <w:rFonts w:hint="eastAsia" w:ascii="Times New Roman" w:hAnsi="Times New Roman" w:cs="Times New Roman"/>
                <w:i w:val="0"/>
                <w:iCs w:val="0"/>
                <w:color w:val="000000"/>
                <w:kern w:val="0"/>
                <w:sz w:val="20"/>
                <w:szCs w:val="20"/>
                <w:u w:val="none"/>
                <w:lang w:val="en-US" w:eastAsia="zh-CN" w:bidi="ar"/>
              </w:rPr>
              <w:t>2022年度工程修建数量</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截至2022年12月底完成预期计划时间应完成验收工程项目的</w:t>
            </w:r>
            <w:r>
              <w:rPr>
                <w:rFonts w:hint="default" w:ascii="Times New Roman" w:hAnsi="Times New Roman" w:cs="Times New Roman" w:eastAsiaTheme="minorEastAsia"/>
                <w:i w:val="0"/>
                <w:iCs w:val="0"/>
                <w:color w:val="000000"/>
                <w:kern w:val="0"/>
                <w:sz w:val="20"/>
                <w:szCs w:val="20"/>
                <w:u w:val="none"/>
                <w:lang w:val="en-US" w:eastAsia="zh-CN" w:bidi="ar"/>
              </w:rPr>
              <w:t>得满分；未达到按实际完成情况得分，指标分值=（实际完成额/计划完成额）×100%*指标标准分值。</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工作完成及时性</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在计划时间内完成工作，得</w:t>
            </w:r>
            <w:r>
              <w:rPr>
                <w:rFonts w:hint="eastAsia" w:ascii="Times New Roman" w:hAnsi="Times New Roman" w:cs="Times New Roman"/>
                <w:i w:val="0"/>
                <w:iCs w:val="0"/>
                <w:color w:val="000000"/>
                <w:kern w:val="0"/>
                <w:sz w:val="20"/>
                <w:szCs w:val="20"/>
                <w:u w:val="none"/>
                <w:lang w:val="en-US" w:eastAsia="zh-CN" w:bidi="ar"/>
              </w:rPr>
              <w:t>5</w:t>
            </w:r>
            <w:r>
              <w:rPr>
                <w:rFonts w:hint="default" w:ascii="Times New Roman" w:hAnsi="Times New Roman" w:cs="Times New Roman" w:eastAsiaTheme="minorEastAsia"/>
                <w:i w:val="0"/>
                <w:iCs w:val="0"/>
                <w:color w:val="000000"/>
                <w:kern w:val="0"/>
                <w:sz w:val="20"/>
                <w:szCs w:val="20"/>
                <w:u w:val="none"/>
                <w:lang w:val="en-US" w:eastAsia="zh-CN" w:bidi="ar"/>
              </w:rPr>
              <w:t>分，未按时完成，根据完成时间酌情扣分。</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各项工作成本节约率</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成本节约率=[（计划成本-实际成本）/计划成本]×100%。成本节约率10%（不含）以上，得</w:t>
            </w:r>
            <w:r>
              <w:rPr>
                <w:rFonts w:hint="eastAsia" w:ascii="Times New Roman" w:hAnsi="Times New Roman" w:cs="Times New Roman"/>
                <w:i w:val="0"/>
                <w:iCs w:val="0"/>
                <w:color w:val="000000"/>
                <w:kern w:val="0"/>
                <w:sz w:val="20"/>
                <w:szCs w:val="20"/>
                <w:u w:val="none"/>
                <w:lang w:val="en-US" w:eastAsia="zh-CN" w:bidi="ar"/>
              </w:rPr>
              <w:t>5</w:t>
            </w:r>
            <w:r>
              <w:rPr>
                <w:rFonts w:hint="default" w:ascii="Times New Roman" w:hAnsi="Times New Roman" w:cs="Times New Roman" w:eastAsiaTheme="minorEastAsia"/>
                <w:i w:val="0"/>
                <w:iCs w:val="0"/>
                <w:color w:val="000000"/>
                <w:kern w:val="0"/>
                <w:sz w:val="20"/>
                <w:szCs w:val="20"/>
                <w:u w:val="none"/>
                <w:lang w:val="en-US" w:eastAsia="zh-CN" w:bidi="ar"/>
              </w:rPr>
              <w:t>分；成本节约率5%（不含）-10%（含）得3分，成本节约率5%（含）以下得2分。</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eastAsia" w:ascii="Times New Roman" w:hAnsi="Times New Roman" w:cs="Times New Roman"/>
                <w:i w:val="0"/>
                <w:iCs w:val="0"/>
                <w:color w:val="000000"/>
                <w:kern w:val="0"/>
                <w:sz w:val="20"/>
                <w:szCs w:val="20"/>
                <w:u w:val="none"/>
                <w:lang w:val="en-US" w:eastAsia="zh-CN" w:bidi="ar"/>
              </w:rPr>
              <w:t>5</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效果（30分）</w:t>
            </w:r>
          </w:p>
        </w:tc>
        <w:tc>
          <w:tcPr>
            <w:tcW w:w="1413"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职责效益（30分）</w:t>
            </w: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可持续影响</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考核单位工作的开展是否能降能节耗，制止资源浪费，有效利用资源，节约财政资金，提升服务质量，根据问卷调查统计结果，结合单位工作开展情况，90%的受益群众觉得效果显著得10分。则每下降5%，扣1分，扣完为止。</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社会效益</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考核单位工作的开展是否能显著优化环境提升全区形象，根据问卷调查统计结果，结合单位工作开展情况，90%的群众觉得效果显著得10分。则每下降5%，扣1分，扣完为止。</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65"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413" w:type="dxa"/>
            <w:vMerge w:val="continue"/>
            <w:shd w:val="clear" w:color="auto" w:fill="auto"/>
            <w:vAlign w:val="center"/>
          </w:tcPr>
          <w:p>
            <w:pPr>
              <w:jc w:val="center"/>
              <w:rPr>
                <w:rFonts w:hint="default" w:ascii="Times New Roman" w:hAnsi="Times New Roman" w:cs="Times New Roman" w:eastAsiaTheme="minorEastAsia"/>
                <w:i w:val="0"/>
                <w:iCs w:val="0"/>
                <w:color w:val="000000"/>
                <w:sz w:val="20"/>
                <w:szCs w:val="20"/>
                <w:u w:val="none"/>
              </w:rPr>
            </w:pPr>
          </w:p>
        </w:tc>
        <w:tc>
          <w:tcPr>
            <w:tcW w:w="116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单位职工及受益群众满意度</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w:t>
            </w:r>
          </w:p>
        </w:tc>
        <w:tc>
          <w:tcPr>
            <w:tcW w:w="5294" w:type="dxa"/>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以调查问卷为依据。单位职工及受益对象满意度≥95%计</w:t>
            </w:r>
            <w:r>
              <w:rPr>
                <w:rFonts w:hint="eastAsia" w:ascii="Times New Roman" w:hAnsi="Times New Roman" w:cs="Times New Roman"/>
                <w:i w:val="0"/>
                <w:iCs w:val="0"/>
                <w:color w:val="000000"/>
                <w:kern w:val="0"/>
                <w:sz w:val="20"/>
                <w:szCs w:val="20"/>
                <w:u w:val="none"/>
                <w:lang w:val="en-US" w:eastAsia="zh-CN" w:bidi="ar"/>
              </w:rPr>
              <w:t>10</w:t>
            </w:r>
            <w:r>
              <w:rPr>
                <w:rFonts w:hint="default" w:ascii="Times New Roman" w:hAnsi="Times New Roman" w:cs="Times New Roman" w:eastAsiaTheme="minorEastAsia"/>
                <w:i w:val="0"/>
                <w:iCs w:val="0"/>
                <w:color w:val="000000"/>
                <w:kern w:val="0"/>
                <w:sz w:val="20"/>
                <w:szCs w:val="20"/>
                <w:u w:val="none"/>
                <w:lang w:val="en-US" w:eastAsia="zh-CN" w:bidi="ar"/>
              </w:rPr>
              <w:t>分：每低5%扣1分。满意度＜75%计0分。</w:t>
            </w: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047" w:type="dxa"/>
            <w:gridSpan w:val="3"/>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合计</w:t>
            </w:r>
          </w:p>
        </w:tc>
        <w:tc>
          <w:tcPr>
            <w:tcW w:w="1089"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rPr>
            </w:pPr>
            <w:r>
              <w:rPr>
                <w:rFonts w:hint="default" w:ascii="Times New Roman" w:hAnsi="Times New Roman" w:cs="Times New Roman" w:eastAsiaTheme="minorEastAsia"/>
                <w:i w:val="0"/>
                <w:iCs w:val="0"/>
                <w:color w:val="000000"/>
                <w:kern w:val="0"/>
                <w:sz w:val="20"/>
                <w:szCs w:val="20"/>
                <w:u w:val="none"/>
                <w:lang w:val="en-US" w:eastAsia="zh-CN" w:bidi="ar"/>
              </w:rPr>
              <w:t>100</w:t>
            </w:r>
          </w:p>
        </w:tc>
        <w:tc>
          <w:tcPr>
            <w:tcW w:w="5294"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c>
          <w:tcPr>
            <w:tcW w:w="937"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i w:val="0"/>
                <w:iCs w:val="0"/>
                <w:color w:val="000000"/>
                <w:sz w:val="20"/>
                <w:szCs w:val="20"/>
                <w:u w:val="none"/>
                <w:lang w:val="en-US"/>
              </w:rPr>
            </w:pPr>
            <w:r>
              <w:rPr>
                <w:rFonts w:hint="eastAsia" w:ascii="Times New Roman" w:hAnsi="Times New Roman" w:cs="Times New Roman"/>
                <w:i w:val="0"/>
                <w:iCs w:val="0"/>
                <w:color w:val="000000"/>
                <w:kern w:val="0"/>
                <w:sz w:val="20"/>
                <w:szCs w:val="20"/>
                <w:u w:val="none"/>
                <w:lang w:val="en-US" w:eastAsia="zh-CN" w:bidi="ar"/>
              </w:rPr>
              <w:t>94</w:t>
            </w:r>
          </w:p>
        </w:tc>
        <w:tc>
          <w:tcPr>
            <w:tcW w:w="3720" w:type="dxa"/>
            <w:shd w:val="clear" w:color="auto" w:fill="auto"/>
            <w:vAlign w:val="center"/>
          </w:tcPr>
          <w:p>
            <w:pPr>
              <w:jc w:val="left"/>
              <w:rPr>
                <w:rFonts w:hint="default" w:ascii="Times New Roman" w:hAnsi="Times New Roman" w:cs="Times New Roman" w:eastAsiaTheme="minorEastAsia"/>
                <w:i w:val="0"/>
                <w:iCs w:val="0"/>
                <w:color w:val="000000"/>
                <w:sz w:val="20"/>
                <w:szCs w:val="20"/>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atLeast"/>
        <w:jc w:val="both"/>
        <w:textAlignment w:val="auto"/>
        <w:rPr>
          <w:rFonts w:hint="default" w:ascii="Times New Roman Regular" w:hAnsi="Times New Roman Regular" w:eastAsia="仿宋" w:cs="Times New Roman Regular"/>
          <w:b w:val="0"/>
          <w:bCs w:val="0"/>
          <w:sz w:val="31"/>
          <w:szCs w:val="31"/>
          <w:lang w:val="en-US" w:eastAsia="zh-CN"/>
        </w:rPr>
        <w:sectPr>
          <w:headerReference r:id="rId5" w:type="default"/>
          <w:footerReference r:id="rId6" w:type="default"/>
          <w:pgSz w:w="16838" w:h="11906" w:orient="landscape"/>
          <w:pgMar w:top="1389" w:right="986" w:bottom="1389" w:left="986" w:header="567"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rPr>
          <w:rFonts w:hint="default"/>
          <w:lang w:val="en-US" w:eastAsia="zh-CN"/>
        </w:r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2</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widowControl/>
        <w:jc w:val="center"/>
        <w:rPr>
          <w:rFonts w:hint="default" w:ascii="Times New Roman" w:hAnsi="Times New Roman" w:eastAsia="方正小标宋_GBK" w:cs="Times New Roman"/>
          <w:sz w:val="36"/>
          <w:szCs w:val="36"/>
          <w:highlight w:val="none"/>
          <w:lang w:val="en-US" w:eastAsia="zh-CN"/>
        </w:rPr>
      </w:pPr>
      <w:r>
        <w:rPr>
          <w:rFonts w:hint="eastAsia" w:ascii="Times New Roman" w:hAnsi="Times New Roman" w:eastAsia="方正小标宋_GBK" w:cs="Times New Roman"/>
          <w:sz w:val="36"/>
          <w:szCs w:val="36"/>
          <w:highlight w:val="none"/>
          <w:lang w:val="en-US" w:eastAsia="zh-CN"/>
        </w:rPr>
        <w:t>邵阳市北塔区住房和城乡建设局</w:t>
      </w:r>
      <w:r>
        <w:rPr>
          <w:rFonts w:hint="default" w:ascii="Times New Roman" w:hAnsi="Times New Roman" w:eastAsia="方正小标宋_GBK" w:cs="Times New Roman"/>
          <w:sz w:val="36"/>
          <w:szCs w:val="36"/>
          <w:highlight w:val="none"/>
          <w:lang w:val="en-US" w:eastAsia="zh-CN"/>
        </w:rPr>
        <w:t>2022年度部门整体</w:t>
      </w:r>
    </w:p>
    <w:p>
      <w:pPr>
        <w:widowControl/>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支出绩效评价基础数据表</w:t>
      </w:r>
    </w:p>
    <w:tbl>
      <w:tblPr>
        <w:tblStyle w:val="17"/>
        <w:tblW w:w="9111" w:type="dxa"/>
        <w:jc w:val="center"/>
        <w:tblLayout w:type="fixed"/>
        <w:tblCellMar>
          <w:top w:w="0" w:type="dxa"/>
          <w:left w:w="108" w:type="dxa"/>
          <w:bottom w:w="0" w:type="dxa"/>
          <w:right w:w="108" w:type="dxa"/>
        </w:tblCellMar>
      </w:tblPr>
      <w:tblGrid>
        <w:gridCol w:w="3354"/>
        <w:gridCol w:w="1709"/>
        <w:gridCol w:w="5"/>
        <w:gridCol w:w="5"/>
        <w:gridCol w:w="2319"/>
        <w:gridCol w:w="171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编制数</w:t>
            </w:r>
          </w:p>
        </w:tc>
        <w:tc>
          <w:tcPr>
            <w:tcW w:w="232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年末实际在职人数</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c>
          <w:tcPr>
            <w:tcW w:w="1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16</w:t>
            </w:r>
          </w:p>
        </w:tc>
        <w:tc>
          <w:tcPr>
            <w:tcW w:w="232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18</w:t>
            </w:r>
          </w:p>
        </w:tc>
        <w:tc>
          <w:tcPr>
            <w:tcW w:w="1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125%</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当年决算数</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当年预算数</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502.32</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212.12</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338.74</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其中： 1、压缩一般性支出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2、三公经费</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0.5</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其中：公车购置</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公车运行维护</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0.5</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公务接待</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0.5</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出国（境）经费</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11887.16</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16.2</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5951.92</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r>
              <w:rPr>
                <w:rFonts w:hint="eastAsia" w:ascii="Times New Roman" w:hAnsi="Times New Roman" w:cs="Times New Roman" w:eastAsiaTheme="minorEastAsia"/>
                <w:kern w:val="0"/>
                <w:sz w:val="21"/>
                <w:szCs w:val="21"/>
              </w:rPr>
              <w:t>、业务工作专项</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lang w:val="en-US" w:eastAsia="zh-CN"/>
              </w:rPr>
              <w:t>11384.84</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5951.92</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lang w:eastAsia="zh-CN"/>
              </w:rPr>
              <w:t>公共卫生</w:t>
            </w:r>
            <w:r>
              <w:rPr>
                <w:rFonts w:hint="eastAsia" w:ascii="Times New Roman" w:hAnsi="Times New Roman" w:cs="Times New Roman" w:eastAsiaTheme="minorEastAsia"/>
                <w:kern w:val="0"/>
                <w:sz w:val="21"/>
                <w:szCs w:val="21"/>
              </w:rPr>
              <w:t>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73</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73</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lang w:eastAsia="zh-CN"/>
              </w:rPr>
              <w:t>城乡社区</w:t>
            </w:r>
            <w:r>
              <w:rPr>
                <w:rFonts w:hint="eastAsia" w:ascii="Times New Roman" w:hAnsi="Times New Roman" w:cs="Times New Roman" w:eastAsiaTheme="minorEastAsia"/>
                <w:kern w:val="0"/>
                <w:sz w:val="21"/>
                <w:szCs w:val="21"/>
              </w:rPr>
              <w:t>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2952.4</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2952.4</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3307.96</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lang w:eastAsia="zh-CN"/>
              </w:rPr>
              <w:t>住房保障</w:t>
            </w:r>
            <w:r>
              <w:rPr>
                <w:rFonts w:hint="eastAsia" w:ascii="Times New Roman" w:hAnsi="Times New Roman" w:cs="Times New Roman" w:eastAsiaTheme="minorEastAsia"/>
                <w:kern w:val="0"/>
                <w:sz w:val="21"/>
                <w:szCs w:val="21"/>
              </w:rPr>
              <w:t>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3470.48</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3470.48</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2208.81</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lang w:eastAsia="zh-CN"/>
              </w:rPr>
              <w:t>节能环保</w:t>
            </w:r>
            <w:r>
              <w:rPr>
                <w:rFonts w:hint="eastAsia" w:ascii="Times New Roman" w:hAnsi="Times New Roman" w:cs="Times New Roman" w:eastAsiaTheme="minorEastAsia"/>
                <w:kern w:val="0"/>
                <w:sz w:val="21"/>
                <w:szCs w:val="21"/>
              </w:rPr>
              <w:t>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54.44</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54.44</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260.57</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其他支出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4834.52</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4834.52</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174.58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r>
              <w:rPr>
                <w:rFonts w:hint="eastAsia" w:ascii="Times New Roman" w:hAnsi="Times New Roman" w:cs="Times New Roman" w:eastAsiaTheme="minorEastAsia"/>
                <w:kern w:val="0"/>
                <w:sz w:val="21"/>
                <w:szCs w:val="21"/>
              </w:rPr>
              <w:t>、运行维护专项</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502.32</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338.74</w:t>
            </w:r>
          </w:p>
        </w:tc>
      </w:tr>
      <w:tr>
        <w:tblPrEx>
          <w:tblCellMar>
            <w:top w:w="0" w:type="dxa"/>
            <w:left w:w="108" w:type="dxa"/>
            <w:bottom w:w="0" w:type="dxa"/>
            <w:right w:w="108" w:type="dxa"/>
          </w:tblCellMar>
        </w:tblPrEx>
        <w:trPr>
          <w:trHeight w:val="408"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一般公共服务支出</w:t>
            </w:r>
          </w:p>
        </w:tc>
        <w:tc>
          <w:tcPr>
            <w:tcW w:w="170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30.19</w:t>
            </w:r>
          </w:p>
        </w:tc>
        <w:tc>
          <w:tcPr>
            <w:tcW w:w="232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30.19</w:t>
            </w:r>
          </w:p>
        </w:tc>
        <w:tc>
          <w:tcPr>
            <w:tcW w:w="171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12.7</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社会保障和就业支出</w:t>
            </w:r>
          </w:p>
        </w:tc>
        <w:tc>
          <w:tcPr>
            <w:tcW w:w="1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18.46</w:t>
            </w:r>
          </w:p>
        </w:tc>
        <w:tc>
          <w:tcPr>
            <w:tcW w:w="232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18.46</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22.98</w:t>
            </w:r>
          </w:p>
        </w:tc>
      </w:tr>
      <w:tr>
        <w:tblPrEx>
          <w:tblCellMar>
            <w:top w:w="0" w:type="dxa"/>
            <w:left w:w="108" w:type="dxa"/>
            <w:bottom w:w="0" w:type="dxa"/>
            <w:right w:w="108" w:type="dxa"/>
          </w:tblCellMar>
        </w:tblPrEx>
        <w:trPr>
          <w:trHeight w:val="396"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城乡社区支出</w:t>
            </w:r>
          </w:p>
        </w:tc>
        <w:tc>
          <w:tcPr>
            <w:tcW w:w="17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287.55</w:t>
            </w:r>
          </w:p>
        </w:tc>
        <w:tc>
          <w:tcPr>
            <w:tcW w:w="23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287.55</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192.29</w:t>
            </w:r>
          </w:p>
        </w:tc>
      </w:tr>
      <w:tr>
        <w:tblPrEx>
          <w:tblCellMar>
            <w:top w:w="0" w:type="dxa"/>
            <w:left w:w="108" w:type="dxa"/>
            <w:bottom w:w="0" w:type="dxa"/>
            <w:right w:w="108" w:type="dxa"/>
          </w:tblCellMar>
        </w:tblPrEx>
        <w:trPr>
          <w:trHeight w:val="412" w:hRule="atLeast"/>
          <w:jc w:val="center"/>
        </w:trPr>
        <w:tc>
          <w:tcPr>
            <w:tcW w:w="33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lang w:eastAsia="zh-CN"/>
              </w:rPr>
              <w:t>其他</w:t>
            </w:r>
            <w:r>
              <w:rPr>
                <w:rFonts w:hint="eastAsia" w:ascii="Times New Roman" w:hAnsi="Times New Roman" w:cs="Times New Roman" w:eastAsiaTheme="minorEastAsia"/>
                <w:kern w:val="0"/>
                <w:sz w:val="21"/>
                <w:szCs w:val="21"/>
              </w:rPr>
              <w:t>支出</w:t>
            </w:r>
          </w:p>
        </w:tc>
        <w:tc>
          <w:tcPr>
            <w:tcW w:w="17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166.12</w:t>
            </w:r>
          </w:p>
        </w:tc>
        <w:tc>
          <w:tcPr>
            <w:tcW w:w="23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166.12</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110.77</w:t>
            </w:r>
          </w:p>
        </w:tc>
      </w:tr>
      <w:tr>
        <w:tblPrEx>
          <w:tblCellMar>
            <w:top w:w="0" w:type="dxa"/>
            <w:left w:w="108" w:type="dxa"/>
            <w:bottom w:w="0" w:type="dxa"/>
            <w:right w:w="108" w:type="dxa"/>
          </w:tblCellMar>
        </w:tblPrEx>
        <w:trPr>
          <w:trHeight w:val="42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政府采购金额</w:t>
            </w:r>
          </w:p>
        </w:tc>
        <w:tc>
          <w:tcPr>
            <w:tcW w:w="17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1469.75</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10.2</w:t>
            </w:r>
          </w:p>
        </w:tc>
        <w:tc>
          <w:tcPr>
            <w:tcW w:w="171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5951.92</w:t>
            </w:r>
          </w:p>
        </w:tc>
      </w:tr>
      <w:tr>
        <w:tblPrEx>
          <w:tblCellMar>
            <w:top w:w="0" w:type="dxa"/>
            <w:left w:w="108" w:type="dxa"/>
            <w:bottom w:w="0" w:type="dxa"/>
            <w:right w:w="108" w:type="dxa"/>
          </w:tblCellMar>
        </w:tblPrEx>
        <w:trPr>
          <w:trHeight w:val="321"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kern w:val="0"/>
                <w:sz w:val="21"/>
                <w:szCs w:val="21"/>
              </w:rPr>
            </w:pPr>
            <w:r>
              <w:rPr>
                <w:rFonts w:hint="eastAsia" w:ascii="Times New Roman" w:hAnsi="Times New Roman" w:cs="Times New Roman" w:eastAsiaTheme="minorEastAsia"/>
                <w:kern w:val="0"/>
                <w:sz w:val="21"/>
                <w:szCs w:val="21"/>
              </w:rPr>
              <w:t>厉行节约保障措施</w:t>
            </w:r>
          </w:p>
        </w:tc>
        <w:tc>
          <w:tcPr>
            <w:tcW w:w="5757"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lang w:val="en-US" w:eastAsia="zh-CN"/>
              </w:rPr>
              <w:t>严格控制三公经费支出</w:t>
            </w:r>
          </w:p>
        </w:tc>
      </w:tr>
    </w:tbl>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3</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sz w:val="32"/>
          <w:szCs w:val="32"/>
          <w:highlight w:val="none"/>
          <w:lang w:val="en-US" w:eastAsia="zh-CN"/>
        </w:rPr>
      </w:pPr>
      <w:r>
        <w:rPr>
          <w:rFonts w:hint="eastAsia" w:ascii="Times New Roman" w:hAnsi="Times New Roman" w:eastAsia="方正小标宋_GBK" w:cs="Times New Roman"/>
          <w:sz w:val="32"/>
          <w:szCs w:val="32"/>
          <w:highlight w:val="none"/>
          <w:lang w:val="en-US" w:eastAsia="zh-CN"/>
        </w:rPr>
        <w:t>邵阳市北塔区住房和城乡建设局</w:t>
      </w:r>
      <w:r>
        <w:rPr>
          <w:rFonts w:hint="default" w:ascii="Times New Roman" w:hAnsi="Times New Roman" w:eastAsia="方正小标宋_GBK" w:cs="Times New Roman"/>
          <w:sz w:val="32"/>
          <w:szCs w:val="32"/>
          <w:highlight w:val="none"/>
          <w:lang w:val="en-US" w:eastAsia="zh-CN"/>
        </w:rPr>
        <w:t>2022年度部门整体</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sz w:val="32"/>
          <w:szCs w:val="32"/>
          <w:highlight w:val="none"/>
          <w:lang w:val="en-US" w:eastAsia="zh-CN"/>
        </w:rPr>
      </w:pPr>
      <w:r>
        <w:rPr>
          <w:rFonts w:hint="default" w:ascii="Times New Roman" w:hAnsi="Times New Roman" w:eastAsia="方正小标宋_GBK" w:cs="Times New Roman"/>
          <w:sz w:val="32"/>
          <w:szCs w:val="32"/>
          <w:highlight w:val="none"/>
          <w:lang w:val="en-US" w:eastAsia="zh-CN"/>
        </w:rPr>
        <w:t>支出绩效</w:t>
      </w:r>
      <w:r>
        <w:rPr>
          <w:rFonts w:hint="eastAsia" w:ascii="Times New Roman" w:hAnsi="Times New Roman" w:eastAsia="方正小标宋_GBK" w:cs="Times New Roman"/>
          <w:sz w:val="32"/>
          <w:szCs w:val="32"/>
          <w:highlight w:val="none"/>
          <w:lang w:val="en-US" w:eastAsia="zh-CN"/>
        </w:rPr>
        <w:t>评价</w:t>
      </w:r>
      <w:r>
        <w:rPr>
          <w:rFonts w:hint="default" w:ascii="Times New Roman" w:hAnsi="Times New Roman" w:eastAsia="方正小标宋_GBK" w:cs="Times New Roman"/>
          <w:sz w:val="32"/>
          <w:szCs w:val="32"/>
          <w:highlight w:val="none"/>
          <w:lang w:val="en-US" w:eastAsia="zh-CN"/>
        </w:rPr>
        <w:t>自评表</w:t>
      </w:r>
    </w:p>
    <w:tbl>
      <w:tblPr>
        <w:tblStyle w:val="17"/>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900"/>
        <w:gridCol w:w="1050"/>
        <w:gridCol w:w="1005"/>
        <w:gridCol w:w="1125"/>
        <w:gridCol w:w="2091"/>
        <w:gridCol w:w="1466"/>
        <w:gridCol w:w="73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12" w:hRule="atLeast"/>
          <w:jc w:val="center"/>
        </w:trPr>
        <w:tc>
          <w:tcPr>
            <w:tcW w:w="612" w:type="dxa"/>
            <w:vMerge w:val="restart"/>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部门资金（万元）</w:t>
            </w:r>
          </w:p>
        </w:tc>
        <w:tc>
          <w:tcPr>
            <w:tcW w:w="2955" w:type="dxa"/>
            <w:gridSpan w:val="3"/>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12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全年预算数</w:t>
            </w:r>
          </w:p>
        </w:tc>
        <w:tc>
          <w:tcPr>
            <w:tcW w:w="209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全年执行数</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预算执行率</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分值</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0"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955" w:type="dxa"/>
            <w:gridSpan w:val="3"/>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年度资金总额　</w:t>
            </w:r>
          </w:p>
        </w:tc>
        <w:tc>
          <w:tcPr>
            <w:tcW w:w="112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228.32</w:t>
            </w:r>
          </w:p>
        </w:tc>
        <w:tc>
          <w:tcPr>
            <w:tcW w:w="209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11887.16</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5206.39%</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10</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4080"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按收入性质分类</w:t>
            </w:r>
          </w:p>
        </w:tc>
        <w:tc>
          <w:tcPr>
            <w:tcW w:w="5220"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8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955" w:type="dxa"/>
            <w:gridSpan w:val="3"/>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一般公共预算拨款</w:t>
            </w:r>
          </w:p>
        </w:tc>
        <w:tc>
          <w:tcPr>
            <w:tcW w:w="112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6954.05</w:t>
            </w:r>
          </w:p>
        </w:tc>
        <w:tc>
          <w:tcPr>
            <w:tcW w:w="3557"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基本支出</w:t>
            </w:r>
          </w:p>
        </w:tc>
        <w:tc>
          <w:tcPr>
            <w:tcW w:w="1663"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7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955" w:type="dxa"/>
            <w:gridSpan w:val="3"/>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政府性基金拨款</w:t>
            </w:r>
          </w:p>
        </w:tc>
        <w:tc>
          <w:tcPr>
            <w:tcW w:w="112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4200</w:t>
            </w:r>
          </w:p>
        </w:tc>
        <w:tc>
          <w:tcPr>
            <w:tcW w:w="3557"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xml:space="preserve">         1.人员经费</w:t>
            </w:r>
          </w:p>
        </w:tc>
        <w:tc>
          <w:tcPr>
            <w:tcW w:w="1663"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255.97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955" w:type="dxa"/>
            <w:gridSpan w:val="3"/>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纳入管理的非税收入拨款</w:t>
            </w:r>
          </w:p>
        </w:tc>
        <w:tc>
          <w:tcPr>
            <w:tcW w:w="1125" w:type="dxa"/>
            <w:noWrap w:val="0"/>
            <w:vAlign w:val="center"/>
          </w:tcPr>
          <w:p>
            <w:pPr>
              <w:pageBreakBefore w:val="0"/>
              <w:widowControl/>
              <w:kinsoku/>
              <w:wordWrap/>
              <w:overflowPunct/>
              <w:topLinePunct w:val="0"/>
              <w:autoSpaceDE/>
              <w:autoSpaceDN/>
              <w:bidi w:val="0"/>
              <w:spacing w:line="240" w:lineRule="exact"/>
              <w:rPr>
                <w:rFonts w:hint="eastAsia"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0</w:t>
            </w:r>
          </w:p>
        </w:tc>
        <w:tc>
          <w:tcPr>
            <w:tcW w:w="3557"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xml:space="preserve">     </w:t>
            </w:r>
            <w:r>
              <w:rPr>
                <w:rFonts w:hint="eastAsia" w:ascii="Times New Roman" w:hAnsi="Times New Roman" w:cs="Times New Roman" w:eastAsiaTheme="minorEastAsia"/>
                <w:color w:val="000000"/>
                <w:kern w:val="0"/>
                <w:sz w:val="18"/>
                <w:szCs w:val="18"/>
                <w:highlight w:val="none"/>
                <w:lang w:val="en-US" w:eastAsia="zh-CN"/>
              </w:rPr>
              <w:t xml:space="preserve">    </w:t>
            </w:r>
            <w:r>
              <w:rPr>
                <w:rFonts w:hint="default" w:ascii="Times New Roman" w:hAnsi="Times New Roman" w:cs="Times New Roman" w:eastAsiaTheme="minorEastAsia"/>
                <w:color w:val="000000"/>
                <w:kern w:val="0"/>
                <w:sz w:val="18"/>
                <w:szCs w:val="18"/>
                <w:highlight w:val="none"/>
              </w:rPr>
              <w:t>2.公用经费</w:t>
            </w:r>
          </w:p>
        </w:tc>
        <w:tc>
          <w:tcPr>
            <w:tcW w:w="1663"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246.36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5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955" w:type="dxa"/>
            <w:gridSpan w:val="3"/>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……拨款</w:t>
            </w:r>
          </w:p>
        </w:tc>
        <w:tc>
          <w:tcPr>
            <w:tcW w:w="1125" w:type="dxa"/>
            <w:noWrap w:val="0"/>
            <w:vAlign w:val="center"/>
          </w:tcPr>
          <w:p>
            <w:pPr>
              <w:pageBreakBefore w:val="0"/>
              <w:widowControl/>
              <w:kinsoku/>
              <w:wordWrap/>
              <w:overflowPunct/>
              <w:topLinePunct w:val="0"/>
              <w:autoSpaceDE/>
              <w:autoSpaceDN/>
              <w:bidi w:val="0"/>
              <w:spacing w:line="240" w:lineRule="exact"/>
              <w:rPr>
                <w:rFonts w:hint="eastAsia"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0</w:t>
            </w:r>
          </w:p>
        </w:tc>
        <w:tc>
          <w:tcPr>
            <w:tcW w:w="3557"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其中：三公经费</w:t>
            </w:r>
          </w:p>
        </w:tc>
        <w:tc>
          <w:tcPr>
            <w:tcW w:w="1663" w:type="dxa"/>
            <w:gridSpan w:val="2"/>
            <w:noWrap w:val="0"/>
            <w:vAlign w:val="center"/>
          </w:tcPr>
          <w:p>
            <w:pPr>
              <w:pageBreakBefore w:val="0"/>
              <w:widowControl/>
              <w:kinsoku/>
              <w:wordWrap/>
              <w:overflowPunct/>
              <w:topLinePunct w:val="0"/>
              <w:autoSpaceDE/>
              <w:autoSpaceDN/>
              <w:bidi w:val="0"/>
              <w:spacing w:line="240" w:lineRule="exact"/>
              <w:rPr>
                <w:rFonts w:hint="eastAsia"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6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955" w:type="dxa"/>
            <w:gridSpan w:val="3"/>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其他资金</w:t>
            </w:r>
          </w:p>
        </w:tc>
        <w:tc>
          <w:tcPr>
            <w:tcW w:w="1125"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val="en-US" w:eastAsia="zh-CN"/>
              </w:rPr>
              <w:t>733.11</w:t>
            </w:r>
            <w:r>
              <w:rPr>
                <w:rFonts w:hint="default" w:ascii="Times New Roman" w:hAnsi="Times New Roman" w:cs="Times New Roman" w:eastAsiaTheme="minorEastAsia"/>
                <w:color w:val="000000"/>
                <w:kern w:val="0"/>
                <w:sz w:val="18"/>
                <w:szCs w:val="18"/>
                <w:highlight w:val="none"/>
              </w:rPr>
              <w:t>　</w:t>
            </w:r>
          </w:p>
        </w:tc>
        <w:tc>
          <w:tcPr>
            <w:tcW w:w="3557"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项目支出</w:t>
            </w:r>
          </w:p>
        </w:tc>
        <w:tc>
          <w:tcPr>
            <w:tcW w:w="1663"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11384.84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0" w:hRule="atLeast"/>
          <w:jc w:val="center"/>
        </w:trPr>
        <w:tc>
          <w:tcPr>
            <w:tcW w:w="612" w:type="dxa"/>
            <w:vMerge w:val="restart"/>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年度总体目标</w:t>
            </w:r>
          </w:p>
        </w:tc>
        <w:tc>
          <w:tcPr>
            <w:tcW w:w="4080"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年初预期（设定）目标　</w:t>
            </w:r>
          </w:p>
        </w:tc>
        <w:tc>
          <w:tcPr>
            <w:tcW w:w="5220"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48"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4080" w:type="dxa"/>
            <w:gridSpan w:val="4"/>
            <w:noWrap w:val="0"/>
            <w:vAlign w:val="center"/>
          </w:tcPr>
          <w:p>
            <w:pPr>
              <w:pageBreakBefore w:val="0"/>
              <w:widowControl/>
              <w:kinsoku/>
              <w:wordWrap/>
              <w:overflowPunct/>
              <w:topLinePunct w:val="0"/>
              <w:autoSpaceDE/>
              <w:autoSpaceDN/>
              <w:bidi w:val="0"/>
              <w:spacing w:line="240" w:lineRule="exact"/>
              <w:rPr>
                <w:rFonts w:hint="eastAsia"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在本年度收支预算内，确保完成以下整体目标：</w:t>
            </w:r>
          </w:p>
          <w:p>
            <w:pPr>
              <w:pageBreakBefore w:val="0"/>
              <w:widowControl/>
              <w:kinsoku/>
              <w:wordWrap/>
              <w:overflowPunct/>
              <w:topLinePunct w:val="0"/>
              <w:autoSpaceDE/>
              <w:autoSpaceDN/>
              <w:bidi w:val="0"/>
              <w:spacing w:line="240" w:lineRule="exact"/>
              <w:rPr>
                <w:rFonts w:hint="eastAsia"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目标1：人员经费按照相关政策及时发放到位</w:t>
            </w:r>
          </w:p>
          <w:p>
            <w:pPr>
              <w:pageBreakBefore w:val="0"/>
              <w:widowControl/>
              <w:kinsoku/>
              <w:wordWrap/>
              <w:overflowPunct/>
              <w:topLinePunct w:val="0"/>
              <w:autoSpaceDE/>
              <w:autoSpaceDN/>
              <w:bidi w:val="0"/>
              <w:spacing w:line="240" w:lineRule="exact"/>
              <w:rPr>
                <w:rFonts w:hint="eastAsia"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目标2：严格控制三公经费，确保机关正常运行</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rPr>
              <w:t>目标3：做好社会保障工作</w:t>
            </w:r>
          </w:p>
        </w:tc>
        <w:tc>
          <w:tcPr>
            <w:tcW w:w="5220" w:type="dxa"/>
            <w:gridSpan w:val="4"/>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eastAsia" w:ascii="Times New Roman" w:hAnsi="Times New Roman" w:cs="Times New Roman" w:eastAsiaTheme="minorEastAsia"/>
                <w:color w:val="000000"/>
                <w:kern w:val="0"/>
                <w:sz w:val="18"/>
                <w:szCs w:val="18"/>
                <w:highlight w:val="none"/>
                <w:lang w:val="en-US" w:eastAsia="zh-CN"/>
              </w:rPr>
              <w:t>按照财政预算，严控三公经费，2022年本单位正常运行，人员相关经费按照政策及时发放到位。民生支出及时到位，</w:t>
            </w:r>
            <w:r>
              <w:rPr>
                <w:rFonts w:hint="eastAsia" w:ascii="Times New Roman" w:hAnsi="Times New Roman" w:cs="Times New Roman" w:eastAsiaTheme="minorEastAsia"/>
                <w:color w:val="000000"/>
                <w:kern w:val="0"/>
                <w:sz w:val="18"/>
                <w:szCs w:val="18"/>
                <w:highlight w:val="none"/>
              </w:rPr>
              <w:t>本乡经济平稳发展</w:t>
            </w:r>
            <w:r>
              <w:rPr>
                <w:rFonts w:hint="eastAsia" w:ascii="Times New Roman" w:hAnsi="Times New Roman" w:cs="Times New Roman" w:eastAsiaTheme="minorEastAsia"/>
                <w:color w:val="000000"/>
                <w:kern w:val="0"/>
                <w:sz w:val="18"/>
                <w:szCs w:val="18"/>
                <w:highlight w:val="none"/>
                <w:lang w:eastAsia="zh-CN"/>
              </w:rPr>
              <w:t>。</w:t>
            </w:r>
            <w:r>
              <w:rPr>
                <w:rFonts w:hint="eastAsia" w:ascii="Times New Roman" w:hAnsi="Times New Roman" w:cs="Times New Roman" w:eastAsiaTheme="minorEastAsia"/>
                <w:color w:val="000000"/>
                <w:kern w:val="0"/>
                <w:sz w:val="18"/>
                <w:szCs w:val="18"/>
                <w:highlight w:val="none"/>
              </w:rPr>
              <w:t xml:space="preserve"> </w:t>
            </w:r>
            <w:r>
              <w:rPr>
                <w:rFonts w:hint="default" w:ascii="Times New Roman" w:hAnsi="Times New Roman" w:cs="Times New Roman" w:eastAsiaTheme="minorEastAsia"/>
                <w:color w:val="000000"/>
                <w:kern w:val="0"/>
                <w:sz w:val="18"/>
                <w:szCs w:val="18"/>
                <w:highlight w:val="none"/>
              </w:rPr>
              <w:t>　</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02" w:hRule="exact"/>
          <w:jc w:val="center"/>
        </w:trPr>
        <w:tc>
          <w:tcPr>
            <w:tcW w:w="612" w:type="dxa"/>
            <w:vMerge w:val="restart"/>
            <w:noWrap w:val="0"/>
            <w:textDirection w:val="tbRlV"/>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绩效指标</w:t>
            </w:r>
          </w:p>
        </w:tc>
        <w:tc>
          <w:tcPr>
            <w:tcW w:w="90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一级</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tc>
        <w:tc>
          <w:tcPr>
            <w:tcW w:w="10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二级指标</w:t>
            </w:r>
          </w:p>
        </w:tc>
        <w:tc>
          <w:tcPr>
            <w:tcW w:w="2130"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三级指标　</w:t>
            </w:r>
          </w:p>
        </w:tc>
        <w:tc>
          <w:tcPr>
            <w:tcW w:w="209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年度指标值</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实际完成值</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分值</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2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restart"/>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产出</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（50分）</w:t>
            </w:r>
          </w:p>
        </w:tc>
        <w:tc>
          <w:tcPr>
            <w:tcW w:w="1050" w:type="dxa"/>
            <w:vMerge w:val="restart"/>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数量指标</w:t>
            </w:r>
          </w:p>
        </w:tc>
        <w:tc>
          <w:tcPr>
            <w:tcW w:w="2130" w:type="dxa"/>
            <w:gridSpan w:val="2"/>
            <w:noWrap w:val="0"/>
            <w:vAlign w:val="center"/>
          </w:tcPr>
          <w:p>
            <w:pPr>
              <w:pageBreakBefore w:val="0"/>
              <w:widowControl/>
              <w:kinsoku/>
              <w:wordWrap/>
              <w:overflowPunct/>
              <w:topLinePunct w:val="0"/>
              <w:autoSpaceDE/>
              <w:autoSpaceDN/>
              <w:bidi w:val="0"/>
              <w:spacing w:line="240" w:lineRule="exact"/>
              <w:rPr>
                <w:rFonts w:hint="eastAsia"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eastAsia="zh-CN"/>
              </w:rPr>
              <w:t>老旧小区改造</w:t>
            </w:r>
          </w:p>
        </w:tc>
        <w:tc>
          <w:tcPr>
            <w:tcW w:w="209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15个</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15个</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5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130" w:type="dxa"/>
            <w:gridSpan w:val="2"/>
            <w:noWrap w:val="0"/>
            <w:vAlign w:val="center"/>
          </w:tcPr>
          <w:p>
            <w:pPr>
              <w:pageBreakBefore w:val="0"/>
              <w:widowControl/>
              <w:kinsoku/>
              <w:wordWrap/>
              <w:overflowPunct/>
              <w:topLinePunct w:val="0"/>
              <w:autoSpaceDE/>
              <w:autoSpaceDN/>
              <w:bidi w:val="0"/>
              <w:spacing w:line="240" w:lineRule="exact"/>
              <w:rPr>
                <w:rFonts w:hint="eastAsia"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eastAsia="zh-CN"/>
              </w:rPr>
              <w:t>北塔区市政</w:t>
            </w:r>
            <w:r>
              <w:rPr>
                <w:rFonts w:hint="eastAsia" w:ascii="Times New Roman" w:hAnsi="Times New Roman" w:cs="Times New Roman" w:eastAsiaTheme="minorEastAsia"/>
                <w:color w:val="000000"/>
                <w:kern w:val="0"/>
                <w:sz w:val="18"/>
                <w:szCs w:val="18"/>
                <w:highlight w:val="none"/>
                <w:lang w:val="en-US" w:eastAsia="zh-CN"/>
              </w:rPr>
              <w:t>基础设施持续修复更新</w:t>
            </w:r>
          </w:p>
        </w:tc>
        <w:tc>
          <w:tcPr>
            <w:tcW w:w="209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1.5万平方米</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1.65万平方米</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50" w:type="dxa"/>
            <w:vMerge w:val="restart"/>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质量指标</w:t>
            </w:r>
          </w:p>
        </w:tc>
        <w:tc>
          <w:tcPr>
            <w:tcW w:w="2130"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rPr>
              <w:t>各项工作按计划开展，全年工作完成及时率</w:t>
            </w:r>
          </w:p>
        </w:tc>
        <w:tc>
          <w:tcPr>
            <w:tcW w:w="209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100%</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100%</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9</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04" w:hRule="exact"/>
          <w:jc w:val="center"/>
        </w:trPr>
        <w:tc>
          <w:tcPr>
            <w:tcW w:w="612" w:type="dxa"/>
            <w:vMerge w:val="continue"/>
            <w:tcBorders>
              <w:top w:val="nil"/>
            </w:tcBorders>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continue"/>
            <w:tcBorders>
              <w:top w:val="nil"/>
            </w:tcBorders>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50" w:type="dxa"/>
            <w:vMerge w:val="continue"/>
            <w:tcBorders>
              <w:top w:val="nil"/>
            </w:tcBorders>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130" w:type="dxa"/>
            <w:gridSpan w:val="2"/>
            <w:tcBorders>
              <w:top w:val="nil"/>
            </w:tcBorders>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工资津贴发放率</w:t>
            </w:r>
          </w:p>
        </w:tc>
        <w:tc>
          <w:tcPr>
            <w:tcW w:w="209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100%</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100%</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7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时效指标</w:t>
            </w:r>
          </w:p>
        </w:tc>
        <w:tc>
          <w:tcPr>
            <w:tcW w:w="2130"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重点工作办结率</w:t>
            </w:r>
          </w:p>
        </w:tc>
        <w:tc>
          <w:tcPr>
            <w:tcW w:w="209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按时办结100%</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按时办</w:t>
            </w:r>
            <w:r>
              <w:rPr>
                <w:rFonts w:hint="eastAsia" w:ascii="Times New Roman" w:hAnsi="Times New Roman" w:cs="Times New Roman" w:eastAsiaTheme="minorEastAsia"/>
                <w:color w:val="000000"/>
                <w:kern w:val="0"/>
                <w:sz w:val="18"/>
                <w:szCs w:val="18"/>
                <w:highlight w:val="none"/>
                <w:lang w:val="en-US" w:eastAsia="zh-CN"/>
              </w:rPr>
              <w:t>结</w:t>
            </w:r>
            <w:r>
              <w:rPr>
                <w:rFonts w:hint="eastAsia" w:ascii="Times New Roman" w:hAnsi="Times New Roman" w:cs="Times New Roman" w:eastAsiaTheme="minorEastAsia"/>
                <w:color w:val="000000"/>
                <w:kern w:val="0"/>
                <w:sz w:val="18"/>
                <w:szCs w:val="18"/>
                <w:highlight w:val="none"/>
              </w:rPr>
              <w:t>100%</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4" w:hRule="exact"/>
          <w:jc w:val="center"/>
        </w:trPr>
        <w:tc>
          <w:tcPr>
            <w:tcW w:w="612" w:type="dxa"/>
            <w:vMerge w:val="continue"/>
            <w:tcBorders>
              <w:top w:val="nil"/>
            </w:tcBorders>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900" w:type="dxa"/>
            <w:vMerge w:val="continue"/>
            <w:tcBorders>
              <w:top w:val="nil"/>
            </w:tcBorders>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50" w:type="dxa"/>
            <w:tcBorders>
              <w:top w:val="nil"/>
            </w:tcBorders>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成本指标</w:t>
            </w:r>
          </w:p>
        </w:tc>
        <w:tc>
          <w:tcPr>
            <w:tcW w:w="2130"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各项业务经费不超出预算，超支审批</w:t>
            </w:r>
          </w:p>
        </w:tc>
        <w:tc>
          <w:tcPr>
            <w:tcW w:w="209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100%</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100%</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9</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51" w:hRule="exact"/>
          <w:jc w:val="center"/>
        </w:trPr>
        <w:tc>
          <w:tcPr>
            <w:tcW w:w="612" w:type="dxa"/>
            <w:vMerge w:val="restart"/>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绩效指标</w:t>
            </w:r>
          </w:p>
        </w:tc>
        <w:tc>
          <w:tcPr>
            <w:tcW w:w="900" w:type="dxa"/>
            <w:vMerge w:val="restart"/>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效益</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（30分）</w:t>
            </w:r>
          </w:p>
        </w:tc>
        <w:tc>
          <w:tcPr>
            <w:tcW w:w="1050" w:type="dxa"/>
            <w:vMerge w:val="restart"/>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经济效益指标</w:t>
            </w:r>
          </w:p>
        </w:tc>
        <w:tc>
          <w:tcPr>
            <w:tcW w:w="2130"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rPr>
              <w:t>为</w:t>
            </w:r>
            <w:r>
              <w:rPr>
                <w:rFonts w:hint="eastAsia" w:ascii="Times New Roman" w:hAnsi="Times New Roman" w:cs="Times New Roman" w:eastAsiaTheme="minorEastAsia"/>
                <w:color w:val="000000"/>
                <w:kern w:val="0"/>
                <w:sz w:val="18"/>
                <w:szCs w:val="18"/>
                <w:highlight w:val="none"/>
              </w:rPr>
              <w:t>北塔</w:t>
            </w:r>
            <w:r>
              <w:rPr>
                <w:rFonts w:hint="default" w:ascii="Times New Roman" w:hAnsi="Times New Roman" w:cs="Times New Roman" w:eastAsiaTheme="minorEastAsia"/>
                <w:color w:val="000000"/>
                <w:kern w:val="0"/>
                <w:sz w:val="18"/>
                <w:szCs w:val="18"/>
                <w:highlight w:val="none"/>
              </w:rPr>
              <w:t>区经济发展提供好的规划</w:t>
            </w:r>
          </w:p>
        </w:tc>
        <w:tc>
          <w:tcPr>
            <w:tcW w:w="2091" w:type="dxa"/>
            <w:noWrap w:val="0"/>
            <w:vAlign w:val="center"/>
          </w:tcPr>
          <w:p>
            <w:pPr>
              <w:pageBreakBefore w:val="0"/>
              <w:widowControl/>
              <w:kinsoku/>
              <w:wordWrap/>
              <w:overflowPunct/>
              <w:topLinePunct w:val="0"/>
              <w:autoSpaceDE/>
              <w:autoSpaceDN/>
              <w:bidi w:val="0"/>
              <w:spacing w:line="240" w:lineRule="exact"/>
              <w:rPr>
                <w:rFonts w:hint="eastAsia"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eastAsia="zh-CN"/>
              </w:rPr>
              <w:t>逐步提高</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有所提高</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277" w:hRule="exact"/>
          <w:jc w:val="center"/>
        </w:trPr>
        <w:tc>
          <w:tcPr>
            <w:tcW w:w="612" w:type="dxa"/>
            <w:vMerge w:val="continue"/>
            <w:tcBorders>
              <w:top w:val="nil"/>
            </w:tcBorders>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900" w:type="dxa"/>
            <w:vMerge w:val="continue"/>
            <w:tcBorders>
              <w:top w:val="nil"/>
            </w:tcBorders>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50" w:type="dxa"/>
            <w:vMerge w:val="continue"/>
            <w:tcBorders>
              <w:top w:val="nil"/>
            </w:tcBorders>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130" w:type="dxa"/>
            <w:gridSpan w:val="2"/>
            <w:noWrap w:val="0"/>
            <w:vAlign w:val="center"/>
          </w:tcPr>
          <w:p>
            <w:pPr>
              <w:pageBreakBefore w:val="0"/>
              <w:widowControl/>
              <w:kinsoku/>
              <w:wordWrap/>
              <w:overflowPunct/>
              <w:topLinePunct w:val="0"/>
              <w:autoSpaceDE/>
              <w:autoSpaceDN/>
              <w:bidi w:val="0"/>
              <w:spacing w:line="240" w:lineRule="exact"/>
              <w:rPr>
                <w:rFonts w:hint="eastAsia"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eastAsia="zh-CN"/>
              </w:rPr>
              <w:t>提高财政资金使用效益</w:t>
            </w:r>
          </w:p>
        </w:tc>
        <w:tc>
          <w:tcPr>
            <w:tcW w:w="209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较去年有所提高</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有所提高</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50" w:type="dxa"/>
            <w:vMerge w:val="restart"/>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社会效益指标</w:t>
            </w:r>
          </w:p>
        </w:tc>
        <w:tc>
          <w:tcPr>
            <w:tcW w:w="2130" w:type="dxa"/>
            <w:gridSpan w:val="2"/>
            <w:noWrap w:val="0"/>
            <w:vAlign w:val="center"/>
          </w:tcPr>
          <w:p>
            <w:pPr>
              <w:pageBreakBefore w:val="0"/>
              <w:widowControl/>
              <w:kinsoku/>
              <w:wordWrap/>
              <w:overflowPunct/>
              <w:topLinePunct w:val="0"/>
              <w:autoSpaceDE/>
              <w:autoSpaceDN/>
              <w:bidi w:val="0"/>
              <w:spacing w:line="240" w:lineRule="exact"/>
              <w:rPr>
                <w:rFonts w:hint="eastAsia"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eastAsia="zh-CN"/>
              </w:rPr>
              <w:t>改善居民生活环境，提高居民生活质量</w:t>
            </w:r>
          </w:p>
        </w:tc>
        <w:tc>
          <w:tcPr>
            <w:tcW w:w="209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eastAsia="zh-CN"/>
              </w:rPr>
              <w:t>逐步提高</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有所保障</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6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5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130"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道路基础设施建设</w:t>
            </w:r>
          </w:p>
        </w:tc>
        <w:tc>
          <w:tcPr>
            <w:tcW w:w="209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改善</w:t>
            </w:r>
            <w:r>
              <w:rPr>
                <w:rFonts w:hint="eastAsia" w:ascii="Times New Roman" w:hAnsi="Times New Roman" w:cs="Times New Roman" w:eastAsiaTheme="minorEastAsia"/>
                <w:color w:val="000000"/>
                <w:kern w:val="0"/>
                <w:sz w:val="18"/>
                <w:szCs w:val="18"/>
                <w:highlight w:val="none"/>
                <w:lang w:eastAsia="zh-CN"/>
              </w:rPr>
              <w:t>城区</w:t>
            </w:r>
            <w:r>
              <w:rPr>
                <w:rFonts w:hint="eastAsia" w:ascii="Times New Roman" w:hAnsi="Times New Roman" w:cs="Times New Roman" w:eastAsiaTheme="minorEastAsia"/>
                <w:color w:val="000000"/>
                <w:kern w:val="0"/>
                <w:sz w:val="18"/>
                <w:szCs w:val="18"/>
                <w:highlight w:val="none"/>
              </w:rPr>
              <w:t>道路</w:t>
            </w:r>
            <w:r>
              <w:rPr>
                <w:rFonts w:hint="eastAsia" w:ascii="Times New Roman" w:hAnsi="Times New Roman" w:cs="Times New Roman" w:eastAsiaTheme="minorEastAsia"/>
                <w:color w:val="000000"/>
                <w:kern w:val="0"/>
                <w:sz w:val="18"/>
                <w:szCs w:val="18"/>
                <w:highlight w:val="none"/>
                <w:lang w:eastAsia="zh-CN"/>
              </w:rPr>
              <w:t>完善</w:t>
            </w:r>
            <w:r>
              <w:rPr>
                <w:rFonts w:hint="eastAsia" w:ascii="Times New Roman" w:hAnsi="Times New Roman" w:cs="Times New Roman" w:eastAsiaTheme="minorEastAsia"/>
                <w:color w:val="000000"/>
                <w:kern w:val="0"/>
                <w:sz w:val="18"/>
                <w:szCs w:val="18"/>
                <w:highlight w:val="none"/>
              </w:rPr>
              <w:t>基础设施建设</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道路基础设施建设</w:t>
            </w:r>
            <w:r>
              <w:rPr>
                <w:rFonts w:hint="eastAsia" w:ascii="Times New Roman" w:hAnsi="Times New Roman" w:cs="Times New Roman" w:eastAsiaTheme="minorEastAsia"/>
                <w:color w:val="000000"/>
                <w:kern w:val="0"/>
                <w:sz w:val="18"/>
                <w:szCs w:val="18"/>
                <w:highlight w:val="none"/>
                <w:lang w:val="en-US" w:eastAsia="zh-CN"/>
              </w:rPr>
              <w:t>有所优化</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66"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5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130"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安全保障和社会和谐</w:t>
            </w:r>
          </w:p>
        </w:tc>
        <w:tc>
          <w:tcPr>
            <w:tcW w:w="209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通过排查化解安全隐患、矛盾纠纷，确保社会安定和谐</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社会和谐</w:t>
            </w:r>
            <w:r>
              <w:rPr>
                <w:rFonts w:hint="eastAsia" w:ascii="Times New Roman" w:hAnsi="Times New Roman" w:cs="Times New Roman" w:eastAsiaTheme="minorEastAsia"/>
                <w:color w:val="000000"/>
                <w:kern w:val="0"/>
                <w:sz w:val="18"/>
                <w:szCs w:val="18"/>
                <w:highlight w:val="none"/>
                <w:lang w:val="en-US" w:eastAsia="zh-CN"/>
              </w:rPr>
              <w:t>稳定</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29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50"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生态效益指标</w:t>
            </w:r>
          </w:p>
        </w:tc>
        <w:tc>
          <w:tcPr>
            <w:tcW w:w="2130"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生态文明</w:t>
            </w:r>
          </w:p>
        </w:tc>
        <w:tc>
          <w:tcPr>
            <w:tcW w:w="209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将卫生环境保护贯穿到辖区村（社区）、丰富文化生活，加强乡风文明建设，着力建设生态环保，节能高效的社会环境</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有所提升</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07"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50" w:type="dxa"/>
            <w:tcBorders>
              <w:top w:val="nil"/>
            </w:tcBorders>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可持续影响指标</w:t>
            </w:r>
          </w:p>
        </w:tc>
        <w:tc>
          <w:tcPr>
            <w:tcW w:w="2130"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文明环境</w:t>
            </w:r>
          </w:p>
        </w:tc>
        <w:tc>
          <w:tcPr>
            <w:tcW w:w="2091" w:type="dxa"/>
            <w:tcBorders>
              <w:bottom w:val="nil"/>
            </w:tcBorders>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通过乡风文明建设逐步提高民众思想文化素养，创造持续的文明环境</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民众思想文化素养</w:t>
            </w:r>
            <w:r>
              <w:rPr>
                <w:rFonts w:hint="eastAsia" w:ascii="Times New Roman" w:hAnsi="Times New Roman" w:cs="Times New Roman" w:eastAsiaTheme="minorEastAsia"/>
                <w:color w:val="000000"/>
                <w:kern w:val="0"/>
                <w:sz w:val="18"/>
                <w:szCs w:val="18"/>
                <w:highlight w:val="none"/>
                <w:lang w:val="en-US" w:eastAsia="zh-CN"/>
              </w:rPr>
              <w:t>提高，文明环境持续加强</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031"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900" w:type="dxa"/>
            <w:vMerge w:val="restart"/>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满意度</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（10分）</w:t>
            </w:r>
          </w:p>
        </w:tc>
        <w:tc>
          <w:tcPr>
            <w:tcW w:w="1050" w:type="dxa"/>
            <w:vMerge w:val="restart"/>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社会公众或服务对象满意度指标</w:t>
            </w:r>
          </w:p>
        </w:tc>
        <w:tc>
          <w:tcPr>
            <w:tcW w:w="2130"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干部职工满意度</w:t>
            </w:r>
          </w:p>
        </w:tc>
        <w:tc>
          <w:tcPr>
            <w:tcW w:w="209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员工满意度≥95%</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98%</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93"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1050" w:type="dxa"/>
            <w:vMerge w:val="continue"/>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p>
        </w:tc>
        <w:tc>
          <w:tcPr>
            <w:tcW w:w="2130" w:type="dxa"/>
            <w:gridSpan w:val="2"/>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社会公众</w:t>
            </w:r>
            <w:r>
              <w:rPr>
                <w:rFonts w:hint="eastAsia" w:ascii="Times New Roman" w:hAnsi="Times New Roman" w:cs="Times New Roman" w:eastAsiaTheme="minorEastAsia"/>
                <w:color w:val="000000"/>
                <w:kern w:val="0"/>
                <w:sz w:val="18"/>
                <w:szCs w:val="18"/>
                <w:highlight w:val="none"/>
                <w:lang w:val="en-US" w:eastAsia="zh-CN"/>
              </w:rPr>
              <w:t>或</w:t>
            </w:r>
            <w:r>
              <w:rPr>
                <w:rFonts w:hint="eastAsia" w:ascii="Times New Roman" w:hAnsi="Times New Roman" w:cs="Times New Roman" w:eastAsiaTheme="minorEastAsia"/>
                <w:color w:val="000000"/>
                <w:kern w:val="0"/>
                <w:sz w:val="18"/>
                <w:szCs w:val="18"/>
                <w:highlight w:val="none"/>
              </w:rPr>
              <w:t>服务对象满意度</w:t>
            </w:r>
          </w:p>
        </w:tc>
        <w:tc>
          <w:tcPr>
            <w:tcW w:w="209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rPr>
              <w:t>社会公众或服务对象满意度≥95%</w:t>
            </w:r>
          </w:p>
        </w:tc>
        <w:tc>
          <w:tcPr>
            <w:tcW w:w="1466"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98%</w:t>
            </w:r>
          </w:p>
        </w:tc>
        <w:tc>
          <w:tcPr>
            <w:tcW w:w="732"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w:t>
            </w:r>
          </w:p>
        </w:tc>
        <w:tc>
          <w:tcPr>
            <w:tcW w:w="931" w:type="dxa"/>
            <w:noWrap w:val="0"/>
            <w:vAlign w:val="center"/>
          </w:tcPr>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w:t>
            </w:r>
          </w:p>
        </w:tc>
      </w:tr>
    </w:tbl>
    <w:p>
      <w:pPr>
        <w:pStyle w:val="2"/>
        <w:ind w:left="0" w:leftChars="0" w:firstLine="0" w:firstLineChars="0"/>
        <w:rPr>
          <w:rFonts w:hint="default"/>
          <w:lang w:val="en-US" w:eastAsia="zh-CN"/>
        </w:r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4-1</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jc w:val="center"/>
        <w:rPr>
          <w:rFonts w:hint="eastAsia" w:ascii="Times New Roman" w:hAnsi="Times New Roman" w:eastAsia="方正小标宋_GBK" w:cs="Times New Roman"/>
          <w:sz w:val="28"/>
          <w:szCs w:val="22"/>
          <w:lang w:val="en-US" w:eastAsia="zh-CN"/>
        </w:rPr>
      </w:pPr>
      <w:r>
        <w:rPr>
          <w:rFonts w:hint="eastAsia" w:ascii="Times New Roman Regular" w:hAnsi="Times New Roman Regular" w:eastAsia="方正小标宋_GBK" w:cs="Times New Roman Regular"/>
          <w:color w:val="000000"/>
          <w:kern w:val="0"/>
          <w:sz w:val="36"/>
          <w:szCs w:val="36"/>
          <w:highlight w:val="none"/>
          <w:lang w:val="en-US" w:eastAsia="zh-CN"/>
        </w:rPr>
        <w:t>2022</w:t>
      </w:r>
      <w:r>
        <w:rPr>
          <w:rFonts w:hint="default" w:ascii="Times New Roman Regular" w:hAnsi="Times New Roman Regular" w:eastAsia="方正小标宋_GBK" w:cs="Times New Roman Regular"/>
          <w:color w:val="000000"/>
          <w:kern w:val="0"/>
          <w:sz w:val="36"/>
          <w:szCs w:val="36"/>
          <w:highlight w:val="none"/>
          <w:lang w:val="en-US" w:eastAsia="zh-CN"/>
        </w:rPr>
        <w:t>年度项目支出绩效自评表</w:t>
      </w:r>
    </w:p>
    <w:tbl>
      <w:tblPr>
        <w:tblStyle w:val="1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北塔区市政维修及建设</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邵阳市北塔区住房和城乡建设局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邵阳市北塔区住房和城乡建设局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项目资金</w:t>
            </w:r>
            <w:r>
              <w:rPr>
                <w:rFonts w:hint="default" w:ascii="Times New Roman" w:hAnsi="Times New Roman" w:cs="Times New Roman" w:eastAsiaTheme="minorEastAsia"/>
                <w:color w:val="000000"/>
                <w:kern w:val="0"/>
                <w:sz w:val="18"/>
                <w:szCs w:val="18"/>
                <w:highlight w:val="none"/>
                <w:shd w:val="clear" w:color="auto" w:fill="auto"/>
                <w:lang w:val="en-US" w:eastAsia="zh-CN"/>
              </w:rPr>
              <w:br w:type="textWrapping"/>
            </w:r>
            <w:r>
              <w:rPr>
                <w:rFonts w:hint="default" w:ascii="Times New Roman" w:hAnsi="Times New Roman" w:cs="Times New Roman" w:eastAsiaTheme="minorEastAsia"/>
                <w:color w:val="000000"/>
                <w:kern w:val="0"/>
                <w:sz w:val="18"/>
                <w:szCs w:val="18"/>
                <w:highlight w:val="none"/>
                <w:shd w:val="clear" w:color="auto" w:fill="auto"/>
                <w:lang w:val="en-US" w:eastAsia="zh-CN"/>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1971.55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1971.55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1971.55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1971.55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1971.55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1971.55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修缮区内破损井盖、小街小巷破损道路、人行道、路沿石等。</w:t>
            </w: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完成</w:t>
            </w:r>
          </w:p>
        </w:tc>
      </w:tr>
      <w:tr>
        <w:tblPrEx>
          <w:tblCellMar>
            <w:top w:w="0" w:type="dxa"/>
            <w:left w:w="108" w:type="dxa"/>
            <w:bottom w:w="0" w:type="dxa"/>
            <w:right w:w="108" w:type="dxa"/>
          </w:tblCellMar>
        </w:tblPrEx>
        <w:trPr>
          <w:trHeight w:val="820"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偏差原因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分析及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日常巡检区内井盖破损情况</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40次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43次</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日常巡检区内道路、人行道、路沿石破损情况</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40次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43次</w:t>
            </w: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保障及时发现及时整改</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各项工作完成日件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2022年12月31日</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2022年12月31日</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所有指标不超出预算安排</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≤1971.55万元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≤1971.55万元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效益指标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（30分）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优化资源，提高财政资金使用效益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逐步提高</w:t>
            </w: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逐步提高</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节约财政资金</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持续节约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持续节约</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提高环境保护资金使用效益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持续提高</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持续提高</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w:t>
            </w: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标</w:t>
            </w:r>
          </w:p>
        </w:tc>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节约财政资金，提升服务质量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（10分）</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社会公众或服务对象满意度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满意度≥ 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 xml:space="preserve"> 98%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bl>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4-2</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pStyle w:val="2"/>
        <w:ind w:firstLine="1800" w:firstLineChars="500"/>
        <w:rPr>
          <w:rFonts w:hint="eastAsia"/>
          <w:lang w:val="en-US" w:eastAsia="zh-CN"/>
        </w:rPr>
      </w:pPr>
      <w:r>
        <w:rPr>
          <w:rFonts w:hint="eastAsia" w:ascii="Times New Roman Regular" w:hAnsi="Times New Roman Regular" w:eastAsia="方正小标宋_GBK" w:cs="Times New Roman Regular"/>
          <w:color w:val="000000"/>
          <w:kern w:val="0"/>
          <w:sz w:val="36"/>
          <w:szCs w:val="36"/>
          <w:highlight w:val="none"/>
          <w:lang w:val="en-US" w:eastAsia="zh-CN"/>
        </w:rPr>
        <w:t>2022</w:t>
      </w:r>
      <w:r>
        <w:rPr>
          <w:rFonts w:hint="default" w:ascii="Times New Roman Regular" w:hAnsi="Times New Roman Regular" w:eastAsia="方正小标宋_GBK" w:cs="Times New Roman Regular"/>
          <w:color w:val="000000"/>
          <w:kern w:val="0"/>
          <w:sz w:val="36"/>
          <w:szCs w:val="36"/>
          <w:highlight w:val="none"/>
          <w:lang w:val="en-US" w:eastAsia="zh-CN"/>
        </w:rPr>
        <w:t>年度项目支出绩效自评表</w:t>
      </w:r>
    </w:p>
    <w:tbl>
      <w:tblPr>
        <w:tblStyle w:val="1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危房改造</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项目资金</w:t>
            </w:r>
            <w:r>
              <w:rPr>
                <w:rFonts w:hint="default" w:ascii="Times New Roman" w:hAnsi="Times New Roman" w:cs="Times New Roman" w:eastAsiaTheme="minorEastAsia"/>
                <w:color w:val="000000"/>
                <w:kern w:val="0"/>
                <w:sz w:val="18"/>
                <w:szCs w:val="18"/>
                <w:highlight w:val="none"/>
                <w:shd w:val="clear" w:color="auto" w:fill="auto"/>
                <w:lang w:val="en-US" w:eastAsia="zh-CN"/>
              </w:rPr>
              <w:br w:type="textWrapping"/>
            </w:r>
            <w:r>
              <w:rPr>
                <w:rFonts w:hint="default" w:ascii="Times New Roman" w:hAnsi="Times New Roman" w:cs="Times New Roman" w:eastAsiaTheme="minorEastAsia"/>
                <w:color w:val="000000"/>
                <w:kern w:val="0"/>
                <w:sz w:val="18"/>
                <w:szCs w:val="18"/>
                <w:highlight w:val="none"/>
                <w:shd w:val="clear" w:color="auto" w:fill="auto"/>
                <w:lang w:val="en-US" w:eastAsia="zh-CN"/>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76.5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76.5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76.5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76.5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76.5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76.5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偏差原因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分析及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指标1：改造户数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76户</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76户</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指标2：</w:t>
            </w:r>
            <w:r>
              <w:rPr>
                <w:rFonts w:hint="eastAsia" w:ascii="Times New Roman" w:hAnsi="Times New Roman" w:cs="Times New Roman" w:eastAsiaTheme="minorEastAsia"/>
                <w:color w:val="000000"/>
                <w:kern w:val="0"/>
                <w:sz w:val="18"/>
                <w:szCs w:val="18"/>
                <w:highlight w:val="none"/>
                <w:shd w:val="clear" w:color="auto" w:fill="auto"/>
                <w:lang w:val="en-US" w:eastAsia="zh-CN"/>
              </w:rPr>
              <w:t>危房检查次数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 4次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住房质量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改造完成时限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2023年11月30日前</w:t>
            </w: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按期完成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项目总成本</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平均每户不超过1.5万元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没有超支</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效益指标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（30分）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提升资金效益，保障低收入人群住房安全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逐步提高</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有所提高</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节约资金</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持续节约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持续节约</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加强建设中生态保护</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持续提高</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持续提高</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标</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制止浪费，提升效益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持续提高</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持续提高</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 xml:space="preserve"> 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（10分）</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群众满意度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bl>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p>
    <w:p>
      <w:pPr>
        <w:pStyle w:val="2"/>
        <w:rPr>
          <w:rFonts w:hint="eastAsia" w:ascii="Times New Roman" w:hAnsi="Times New Roman" w:cs="Times New Roman" w:eastAsiaTheme="minorEastAsia"/>
          <w:color w:val="000000"/>
          <w:kern w:val="0"/>
          <w:sz w:val="18"/>
          <w:szCs w:val="18"/>
          <w:highlight w:val="none"/>
          <w:shd w:val="clear" w:color="auto" w:fill="auto"/>
          <w:lang w:val="en-US" w:eastAsia="zh-CN"/>
        </w:rPr>
      </w:pPr>
    </w:p>
    <w:p>
      <w:pPr>
        <w:pStyle w:val="2"/>
        <w:rPr>
          <w:rFonts w:hint="eastAsia" w:ascii="Times New Roman" w:hAnsi="Times New Roman" w:cs="Times New Roman" w:eastAsiaTheme="minorEastAsia"/>
          <w:color w:val="000000"/>
          <w:kern w:val="0"/>
          <w:sz w:val="18"/>
          <w:szCs w:val="18"/>
          <w:highlight w:val="none"/>
          <w:shd w:val="clear" w:color="auto" w:fill="auto"/>
          <w:lang w:val="en-US" w:eastAsia="zh-CN"/>
        </w:rPr>
      </w:pPr>
    </w:p>
    <w:p>
      <w:pPr>
        <w:pStyle w:val="2"/>
        <w:rPr>
          <w:rFonts w:hint="eastAsia" w:ascii="Times New Roman" w:hAnsi="Times New Roman" w:cs="Times New Roman" w:eastAsiaTheme="minorEastAsia"/>
          <w:color w:val="000000"/>
          <w:kern w:val="0"/>
          <w:sz w:val="18"/>
          <w:szCs w:val="18"/>
          <w:highlight w:val="none"/>
          <w:shd w:val="clear" w:color="auto" w:fill="auto"/>
          <w:lang w:val="en-US" w:eastAsia="zh-CN"/>
        </w:rPr>
      </w:pPr>
    </w:p>
    <w:p>
      <w:pPr>
        <w:pStyle w:val="2"/>
        <w:rPr>
          <w:rFonts w:hint="eastAsia" w:ascii="Times New Roman" w:hAnsi="Times New Roman" w:cs="Times New Roman" w:eastAsiaTheme="minorEastAsia"/>
          <w:color w:val="000000"/>
          <w:kern w:val="0"/>
          <w:sz w:val="18"/>
          <w:szCs w:val="18"/>
          <w:highlight w:val="none"/>
          <w:shd w:val="clear" w:color="auto" w:fill="auto"/>
          <w:lang w:val="en-US" w:eastAsia="zh-CN"/>
        </w:rPr>
      </w:pPr>
    </w:p>
    <w:p>
      <w:pPr>
        <w:widowControl/>
        <w:kinsoku w:val="0"/>
        <w:autoSpaceDE w:val="0"/>
        <w:autoSpaceDN w:val="0"/>
        <w:adjustRightInd w:val="0"/>
        <w:snapToGrid w:val="0"/>
        <w:spacing w:before="55" w:line="222" w:lineRule="auto"/>
        <w:ind w:left="35"/>
        <w:jc w:val="left"/>
        <w:textAlignment w:val="baseline"/>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4-3</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pStyle w:val="2"/>
        <w:ind w:firstLine="1800" w:firstLineChars="500"/>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Regular" w:hAnsi="Times New Roman Regular" w:eastAsia="方正小标宋_GBK" w:cs="Times New Roman Regular"/>
          <w:color w:val="000000"/>
          <w:kern w:val="0"/>
          <w:sz w:val="36"/>
          <w:szCs w:val="36"/>
          <w:highlight w:val="none"/>
          <w:lang w:val="en-US" w:eastAsia="zh-CN"/>
        </w:rPr>
        <w:t>2022</w:t>
      </w:r>
      <w:r>
        <w:rPr>
          <w:rFonts w:hint="default" w:ascii="Times New Roman Regular" w:hAnsi="Times New Roman Regular" w:eastAsia="方正小标宋_GBK" w:cs="Times New Roman Regular"/>
          <w:color w:val="000000"/>
          <w:kern w:val="0"/>
          <w:sz w:val="36"/>
          <w:szCs w:val="36"/>
          <w:highlight w:val="none"/>
          <w:lang w:val="en-US" w:eastAsia="zh-CN"/>
        </w:rPr>
        <w:t>年度项目支出绩效自评表</w:t>
      </w:r>
    </w:p>
    <w:tbl>
      <w:tblPr>
        <w:tblStyle w:val="1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83"/>
        <w:gridCol w:w="818"/>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居民自建房安全整治</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项目资金</w:t>
            </w:r>
            <w:r>
              <w:rPr>
                <w:rFonts w:hint="default" w:ascii="Times New Roman" w:hAnsi="Times New Roman" w:cs="Times New Roman" w:eastAsiaTheme="minorEastAsia"/>
                <w:color w:val="000000"/>
                <w:kern w:val="0"/>
                <w:sz w:val="18"/>
                <w:szCs w:val="18"/>
                <w:highlight w:val="none"/>
                <w:shd w:val="clear" w:color="auto" w:fill="auto"/>
                <w:lang w:val="en-US" w:eastAsia="zh-CN"/>
              </w:rPr>
              <w:br w:type="textWrapping"/>
            </w:r>
            <w:r>
              <w:rPr>
                <w:rFonts w:hint="default" w:ascii="Times New Roman" w:hAnsi="Times New Roman" w:cs="Times New Roman" w:eastAsiaTheme="minorEastAsia"/>
                <w:color w:val="000000"/>
                <w:kern w:val="0"/>
                <w:sz w:val="18"/>
                <w:szCs w:val="18"/>
                <w:highlight w:val="none"/>
                <w:shd w:val="clear" w:color="auto" w:fill="auto"/>
                <w:lang w:val="en-US" w:eastAsia="zh-CN"/>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执行数</w:t>
            </w:r>
          </w:p>
        </w:tc>
        <w:tc>
          <w:tcPr>
            <w:tcW w:w="8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分值</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56.94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56.94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56.94</w:t>
            </w:r>
          </w:p>
        </w:tc>
        <w:tc>
          <w:tcPr>
            <w:tcW w:w="8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10</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56.94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56.94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56.94</w:t>
            </w:r>
          </w:p>
        </w:tc>
        <w:tc>
          <w:tcPr>
            <w:tcW w:w="8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完成值</w:t>
            </w:r>
          </w:p>
        </w:tc>
        <w:tc>
          <w:tcPr>
            <w:tcW w:w="8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分值</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偏差原因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分析及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安全整治数量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拆除隐患房屋2万平方米</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2.015万平方米</w:t>
            </w:r>
          </w:p>
        </w:tc>
        <w:tc>
          <w:tcPr>
            <w:tcW w:w="8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指标2：</w:t>
            </w:r>
            <w:r>
              <w:rPr>
                <w:rFonts w:hint="eastAsia" w:ascii="Times New Roman" w:hAnsi="Times New Roman" w:cs="Times New Roman" w:eastAsiaTheme="minorEastAsia"/>
                <w:color w:val="000000"/>
                <w:kern w:val="0"/>
                <w:sz w:val="18"/>
                <w:szCs w:val="18"/>
                <w:highlight w:val="none"/>
                <w:shd w:val="clear" w:color="auto" w:fill="auto"/>
                <w:lang w:val="en-US" w:eastAsia="zh-CN"/>
              </w:rPr>
              <w:t>整治排查次数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w:t>
            </w:r>
          </w:p>
        </w:tc>
        <w:tc>
          <w:tcPr>
            <w:tcW w:w="8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安全整治质量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8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限期完成整治</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12月30日前完成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如期完成</w:t>
            </w:r>
          </w:p>
        </w:tc>
        <w:tc>
          <w:tcPr>
            <w:tcW w:w="8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指标不超过预算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没有超支</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没有超支</w:t>
            </w: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效益指标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（30分）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节约财政支出</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持续节约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持续节约</w:t>
            </w:r>
          </w:p>
        </w:tc>
        <w:tc>
          <w:tcPr>
            <w:tcW w:w="8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人居环境改善</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持续优化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持续优化</w:t>
            </w:r>
          </w:p>
        </w:tc>
        <w:tc>
          <w:tcPr>
            <w:tcW w:w="8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改善农村环境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持续改善</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持续改善</w:t>
            </w:r>
          </w:p>
        </w:tc>
        <w:tc>
          <w:tcPr>
            <w:tcW w:w="8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5</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标</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提升土利用率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持续提升</w:t>
            </w:r>
          </w:p>
        </w:tc>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5</w:t>
            </w:r>
          </w:p>
        </w:tc>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指标1：</w:t>
            </w:r>
            <w:r>
              <w:rPr>
                <w:rFonts w:hint="eastAsia" w:ascii="Times New Roman" w:hAnsi="Times New Roman" w:cs="Times New Roman" w:eastAsiaTheme="minorEastAsia"/>
                <w:color w:val="000000"/>
                <w:kern w:val="0"/>
                <w:sz w:val="18"/>
                <w:szCs w:val="18"/>
                <w:highlight w:val="none"/>
                <w:shd w:val="clear" w:color="auto" w:fill="auto"/>
                <w:lang w:val="en-US" w:eastAsia="zh-CN"/>
              </w:rPr>
              <w:t>群众满意度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98%</w:t>
            </w: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总分</w:t>
            </w:r>
          </w:p>
        </w:tc>
        <w:tc>
          <w:tcPr>
            <w:tcW w:w="88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bl>
    <w:p>
      <w:pPr>
        <w:bidi w:val="0"/>
        <w:rPr>
          <w:rFonts w:hint="default"/>
          <w:lang w:val="en-US" w:eastAsia="zh-CN"/>
        </w:rPr>
      </w:pPr>
    </w:p>
    <w:p>
      <w:pPr>
        <w:bidi w:val="0"/>
        <w:rPr>
          <w:rFonts w:hint="default"/>
          <w:lang w:val="en-US" w:eastAsia="zh-CN"/>
        </w:rPr>
      </w:pPr>
    </w:p>
    <w:p>
      <w:pPr>
        <w:bidi w:val="0"/>
        <w:jc w:val="left"/>
        <w:rPr>
          <w:rFonts w:hint="default"/>
          <w:lang w:val="en-US" w:eastAsia="zh-CN"/>
        </w:rPr>
      </w:pPr>
    </w:p>
    <w:sectPr>
      <w:headerReference r:id="rId7" w:type="default"/>
      <w:pgSz w:w="11906" w:h="16838"/>
      <w:pgMar w:top="986" w:right="1389" w:bottom="986" w:left="1389" w:header="170"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邵阳市北塔区住房和城乡建设局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邵阳市北塔区住房和城乡建设局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邵阳市北塔区住房和城乡建设局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00000000"/>
    <w:rsid w:val="001E1412"/>
    <w:rsid w:val="00276FCD"/>
    <w:rsid w:val="003449EF"/>
    <w:rsid w:val="003D21B2"/>
    <w:rsid w:val="00A83AD0"/>
    <w:rsid w:val="00D42B17"/>
    <w:rsid w:val="00D64AE1"/>
    <w:rsid w:val="01031033"/>
    <w:rsid w:val="01070A50"/>
    <w:rsid w:val="01141165"/>
    <w:rsid w:val="015107AC"/>
    <w:rsid w:val="015D63FC"/>
    <w:rsid w:val="01722330"/>
    <w:rsid w:val="019138A1"/>
    <w:rsid w:val="0194120E"/>
    <w:rsid w:val="01941529"/>
    <w:rsid w:val="01984B71"/>
    <w:rsid w:val="01B54127"/>
    <w:rsid w:val="01DD36AA"/>
    <w:rsid w:val="01DE3C65"/>
    <w:rsid w:val="01FD29C4"/>
    <w:rsid w:val="01FD7E4B"/>
    <w:rsid w:val="02092C94"/>
    <w:rsid w:val="021653B1"/>
    <w:rsid w:val="023A2E4D"/>
    <w:rsid w:val="024C0DD3"/>
    <w:rsid w:val="02533F0F"/>
    <w:rsid w:val="02663C42"/>
    <w:rsid w:val="02A62291"/>
    <w:rsid w:val="02A767F1"/>
    <w:rsid w:val="02B4470B"/>
    <w:rsid w:val="02BD79F4"/>
    <w:rsid w:val="02CF7A3A"/>
    <w:rsid w:val="02D3485F"/>
    <w:rsid w:val="030A17AF"/>
    <w:rsid w:val="034C2738"/>
    <w:rsid w:val="035B53EC"/>
    <w:rsid w:val="03685798"/>
    <w:rsid w:val="037B7F18"/>
    <w:rsid w:val="039E5752"/>
    <w:rsid w:val="03A04F32"/>
    <w:rsid w:val="03CD3298"/>
    <w:rsid w:val="04293179"/>
    <w:rsid w:val="0486237A"/>
    <w:rsid w:val="049329AF"/>
    <w:rsid w:val="049F51EA"/>
    <w:rsid w:val="04A44EF6"/>
    <w:rsid w:val="04CB4231"/>
    <w:rsid w:val="04D46306"/>
    <w:rsid w:val="04EF3743"/>
    <w:rsid w:val="04F33A06"/>
    <w:rsid w:val="050D470B"/>
    <w:rsid w:val="05310411"/>
    <w:rsid w:val="05A16753"/>
    <w:rsid w:val="05E11832"/>
    <w:rsid w:val="05E30782"/>
    <w:rsid w:val="05FD4158"/>
    <w:rsid w:val="06021276"/>
    <w:rsid w:val="060317A8"/>
    <w:rsid w:val="061D0ABC"/>
    <w:rsid w:val="06540256"/>
    <w:rsid w:val="0664493D"/>
    <w:rsid w:val="06BE710D"/>
    <w:rsid w:val="06DC2725"/>
    <w:rsid w:val="06E04E17"/>
    <w:rsid w:val="06E25862"/>
    <w:rsid w:val="06ED486D"/>
    <w:rsid w:val="06F2601B"/>
    <w:rsid w:val="07283BBC"/>
    <w:rsid w:val="072B6F49"/>
    <w:rsid w:val="07342561"/>
    <w:rsid w:val="073E6F3C"/>
    <w:rsid w:val="0762282F"/>
    <w:rsid w:val="07667BB2"/>
    <w:rsid w:val="078828AD"/>
    <w:rsid w:val="079A2388"/>
    <w:rsid w:val="07BE1E2B"/>
    <w:rsid w:val="07F47FD5"/>
    <w:rsid w:val="082223BA"/>
    <w:rsid w:val="087A7807"/>
    <w:rsid w:val="08E41D65"/>
    <w:rsid w:val="093A3733"/>
    <w:rsid w:val="09AF2373"/>
    <w:rsid w:val="0A41622F"/>
    <w:rsid w:val="0A4C309B"/>
    <w:rsid w:val="0A79472F"/>
    <w:rsid w:val="0A7964DD"/>
    <w:rsid w:val="0AB32F67"/>
    <w:rsid w:val="0AC2018B"/>
    <w:rsid w:val="0AD86622"/>
    <w:rsid w:val="0AFA5870"/>
    <w:rsid w:val="0B247F12"/>
    <w:rsid w:val="0B440899"/>
    <w:rsid w:val="0B554854"/>
    <w:rsid w:val="0B7D3DAB"/>
    <w:rsid w:val="0B8F4572"/>
    <w:rsid w:val="0BC419DA"/>
    <w:rsid w:val="0C8373CF"/>
    <w:rsid w:val="0C8B3692"/>
    <w:rsid w:val="0CB51A76"/>
    <w:rsid w:val="0D614217"/>
    <w:rsid w:val="0D7825C8"/>
    <w:rsid w:val="0DA91778"/>
    <w:rsid w:val="0DB53CD0"/>
    <w:rsid w:val="0DF57489"/>
    <w:rsid w:val="0E625C06"/>
    <w:rsid w:val="0E871098"/>
    <w:rsid w:val="0EAE1417"/>
    <w:rsid w:val="0F3E4E43"/>
    <w:rsid w:val="0F4B669A"/>
    <w:rsid w:val="0F503CB0"/>
    <w:rsid w:val="0FAF0E26"/>
    <w:rsid w:val="0FB35646"/>
    <w:rsid w:val="0FD038C7"/>
    <w:rsid w:val="0FDD4B1F"/>
    <w:rsid w:val="0FE8038D"/>
    <w:rsid w:val="0FF52AA9"/>
    <w:rsid w:val="10262C63"/>
    <w:rsid w:val="103435D2"/>
    <w:rsid w:val="105709C9"/>
    <w:rsid w:val="105E41AB"/>
    <w:rsid w:val="10B77D5F"/>
    <w:rsid w:val="10BA0895"/>
    <w:rsid w:val="10C84C25"/>
    <w:rsid w:val="10D64689"/>
    <w:rsid w:val="10F16DCD"/>
    <w:rsid w:val="11075191"/>
    <w:rsid w:val="11145517"/>
    <w:rsid w:val="111D5D5A"/>
    <w:rsid w:val="111E1B8C"/>
    <w:rsid w:val="1162031D"/>
    <w:rsid w:val="11A036CE"/>
    <w:rsid w:val="123A47A4"/>
    <w:rsid w:val="124A1847"/>
    <w:rsid w:val="125F76F2"/>
    <w:rsid w:val="12962DFA"/>
    <w:rsid w:val="12FB1166"/>
    <w:rsid w:val="12FE566B"/>
    <w:rsid w:val="134F2A5F"/>
    <w:rsid w:val="13616C00"/>
    <w:rsid w:val="13A30C34"/>
    <w:rsid w:val="13AD711E"/>
    <w:rsid w:val="13E21B19"/>
    <w:rsid w:val="144558A6"/>
    <w:rsid w:val="144831DD"/>
    <w:rsid w:val="14494352"/>
    <w:rsid w:val="14520243"/>
    <w:rsid w:val="149763D6"/>
    <w:rsid w:val="14A867BA"/>
    <w:rsid w:val="14C83B63"/>
    <w:rsid w:val="14E56EB1"/>
    <w:rsid w:val="151A3A77"/>
    <w:rsid w:val="156644E7"/>
    <w:rsid w:val="157601E9"/>
    <w:rsid w:val="157F52EF"/>
    <w:rsid w:val="158D5230"/>
    <w:rsid w:val="159927CF"/>
    <w:rsid w:val="15D95C1C"/>
    <w:rsid w:val="15DF178B"/>
    <w:rsid w:val="160C28FB"/>
    <w:rsid w:val="162D4C24"/>
    <w:rsid w:val="16445B83"/>
    <w:rsid w:val="165A5414"/>
    <w:rsid w:val="167D1103"/>
    <w:rsid w:val="16A3500D"/>
    <w:rsid w:val="16C17241"/>
    <w:rsid w:val="16D52CED"/>
    <w:rsid w:val="16FB6BF7"/>
    <w:rsid w:val="170F4451"/>
    <w:rsid w:val="17252384"/>
    <w:rsid w:val="174001E4"/>
    <w:rsid w:val="176B182A"/>
    <w:rsid w:val="17740758"/>
    <w:rsid w:val="179A45B6"/>
    <w:rsid w:val="17A75370"/>
    <w:rsid w:val="17B07586"/>
    <w:rsid w:val="17B7378B"/>
    <w:rsid w:val="17BA172D"/>
    <w:rsid w:val="17DF2A99"/>
    <w:rsid w:val="17F17FFA"/>
    <w:rsid w:val="181F0F4A"/>
    <w:rsid w:val="18334F9A"/>
    <w:rsid w:val="183C062F"/>
    <w:rsid w:val="184719C8"/>
    <w:rsid w:val="185C1EE0"/>
    <w:rsid w:val="185E6EB6"/>
    <w:rsid w:val="18AE6DE7"/>
    <w:rsid w:val="18CC15ED"/>
    <w:rsid w:val="18E84F59"/>
    <w:rsid w:val="190C4F45"/>
    <w:rsid w:val="1969191D"/>
    <w:rsid w:val="196B4518"/>
    <w:rsid w:val="198A392A"/>
    <w:rsid w:val="19A20B4F"/>
    <w:rsid w:val="19B72B7E"/>
    <w:rsid w:val="19C5236C"/>
    <w:rsid w:val="1A00180A"/>
    <w:rsid w:val="1AB1581F"/>
    <w:rsid w:val="1AC0098C"/>
    <w:rsid w:val="1AFD2812"/>
    <w:rsid w:val="1B0758FD"/>
    <w:rsid w:val="1B204EAB"/>
    <w:rsid w:val="1B2F5A7F"/>
    <w:rsid w:val="1B423001"/>
    <w:rsid w:val="1B440441"/>
    <w:rsid w:val="1B813443"/>
    <w:rsid w:val="1BF0744A"/>
    <w:rsid w:val="1C1E7511"/>
    <w:rsid w:val="1C60574F"/>
    <w:rsid w:val="1C754516"/>
    <w:rsid w:val="1C96585A"/>
    <w:rsid w:val="1CAA0778"/>
    <w:rsid w:val="1CC57360"/>
    <w:rsid w:val="1CC64099"/>
    <w:rsid w:val="1CE9788F"/>
    <w:rsid w:val="1D496DC2"/>
    <w:rsid w:val="1D534E24"/>
    <w:rsid w:val="1E073968"/>
    <w:rsid w:val="1E2527AC"/>
    <w:rsid w:val="1E2E729A"/>
    <w:rsid w:val="1E591960"/>
    <w:rsid w:val="1E5D6DE0"/>
    <w:rsid w:val="1E5E4D57"/>
    <w:rsid w:val="1E69544E"/>
    <w:rsid w:val="1EC10726"/>
    <w:rsid w:val="1EC30786"/>
    <w:rsid w:val="1ED16490"/>
    <w:rsid w:val="1EF77EF6"/>
    <w:rsid w:val="1EFF4D1E"/>
    <w:rsid w:val="1F4D78E4"/>
    <w:rsid w:val="1F503DF8"/>
    <w:rsid w:val="1F5E41C7"/>
    <w:rsid w:val="1FA228EE"/>
    <w:rsid w:val="200B777F"/>
    <w:rsid w:val="2034767B"/>
    <w:rsid w:val="20710D0B"/>
    <w:rsid w:val="209F6845"/>
    <w:rsid w:val="20F72930"/>
    <w:rsid w:val="21352A19"/>
    <w:rsid w:val="21467810"/>
    <w:rsid w:val="21985D98"/>
    <w:rsid w:val="21A26717"/>
    <w:rsid w:val="21C32917"/>
    <w:rsid w:val="21FF14CD"/>
    <w:rsid w:val="223E5BEA"/>
    <w:rsid w:val="22433200"/>
    <w:rsid w:val="2267625F"/>
    <w:rsid w:val="22A85759"/>
    <w:rsid w:val="22E845A7"/>
    <w:rsid w:val="22F10B70"/>
    <w:rsid w:val="23027D5E"/>
    <w:rsid w:val="2303007B"/>
    <w:rsid w:val="239758BD"/>
    <w:rsid w:val="23A06601"/>
    <w:rsid w:val="23AE4FF1"/>
    <w:rsid w:val="23AF6E65"/>
    <w:rsid w:val="23BF0FAD"/>
    <w:rsid w:val="23E17901"/>
    <w:rsid w:val="23E50309"/>
    <w:rsid w:val="24090F26"/>
    <w:rsid w:val="24197AF2"/>
    <w:rsid w:val="24233E34"/>
    <w:rsid w:val="243A0633"/>
    <w:rsid w:val="2496290D"/>
    <w:rsid w:val="249A2430"/>
    <w:rsid w:val="24B12ABC"/>
    <w:rsid w:val="24B228BF"/>
    <w:rsid w:val="250C0222"/>
    <w:rsid w:val="25441520"/>
    <w:rsid w:val="254D7F7A"/>
    <w:rsid w:val="258E50DA"/>
    <w:rsid w:val="25D41548"/>
    <w:rsid w:val="25D66AB7"/>
    <w:rsid w:val="25E371D4"/>
    <w:rsid w:val="25E53A4B"/>
    <w:rsid w:val="26095B77"/>
    <w:rsid w:val="26146435"/>
    <w:rsid w:val="26154EB4"/>
    <w:rsid w:val="26326A45"/>
    <w:rsid w:val="264D28A0"/>
    <w:rsid w:val="26521602"/>
    <w:rsid w:val="2677738A"/>
    <w:rsid w:val="26A338B2"/>
    <w:rsid w:val="271C503E"/>
    <w:rsid w:val="27201D62"/>
    <w:rsid w:val="272E1482"/>
    <w:rsid w:val="27612030"/>
    <w:rsid w:val="27624C01"/>
    <w:rsid w:val="276F7F3A"/>
    <w:rsid w:val="27A110F5"/>
    <w:rsid w:val="27AC7A9A"/>
    <w:rsid w:val="27D55D47"/>
    <w:rsid w:val="27E15995"/>
    <w:rsid w:val="27F07987"/>
    <w:rsid w:val="27FD4DB1"/>
    <w:rsid w:val="281D55C8"/>
    <w:rsid w:val="28CF4308"/>
    <w:rsid w:val="28DD7B11"/>
    <w:rsid w:val="28FDE4DE"/>
    <w:rsid w:val="29354D1A"/>
    <w:rsid w:val="29390408"/>
    <w:rsid w:val="293D2493"/>
    <w:rsid w:val="296C5733"/>
    <w:rsid w:val="29AA1DB7"/>
    <w:rsid w:val="29B641A3"/>
    <w:rsid w:val="29D6788E"/>
    <w:rsid w:val="29FA2D3E"/>
    <w:rsid w:val="29FD282F"/>
    <w:rsid w:val="2A0F07CB"/>
    <w:rsid w:val="2A42251A"/>
    <w:rsid w:val="2A672779"/>
    <w:rsid w:val="2ACB65A8"/>
    <w:rsid w:val="2ACF5971"/>
    <w:rsid w:val="2AF46052"/>
    <w:rsid w:val="2B58241A"/>
    <w:rsid w:val="2BB60EE7"/>
    <w:rsid w:val="2BC538CE"/>
    <w:rsid w:val="2BC64379"/>
    <w:rsid w:val="2BD903BF"/>
    <w:rsid w:val="2BE42114"/>
    <w:rsid w:val="2BF0285A"/>
    <w:rsid w:val="2C025EDA"/>
    <w:rsid w:val="2C153E60"/>
    <w:rsid w:val="2C2B7E03"/>
    <w:rsid w:val="2C817A09"/>
    <w:rsid w:val="2C877DC8"/>
    <w:rsid w:val="2CB40717"/>
    <w:rsid w:val="2CD8457F"/>
    <w:rsid w:val="2D293ED8"/>
    <w:rsid w:val="2D4369C9"/>
    <w:rsid w:val="2D4B16D2"/>
    <w:rsid w:val="2D8D5C78"/>
    <w:rsid w:val="2E294458"/>
    <w:rsid w:val="2E9F3EB4"/>
    <w:rsid w:val="2EB3170E"/>
    <w:rsid w:val="2F0D5D93"/>
    <w:rsid w:val="2F406891"/>
    <w:rsid w:val="2FD91648"/>
    <w:rsid w:val="2FE21531"/>
    <w:rsid w:val="2FE91CEC"/>
    <w:rsid w:val="30634296"/>
    <w:rsid w:val="306E0B42"/>
    <w:rsid w:val="307B199E"/>
    <w:rsid w:val="30A36FF1"/>
    <w:rsid w:val="30BC4A8F"/>
    <w:rsid w:val="30C23098"/>
    <w:rsid w:val="30EB45DA"/>
    <w:rsid w:val="30FF1132"/>
    <w:rsid w:val="30FF63EF"/>
    <w:rsid w:val="310D4304"/>
    <w:rsid w:val="312525F7"/>
    <w:rsid w:val="314D2F38"/>
    <w:rsid w:val="317E24A7"/>
    <w:rsid w:val="318A2BFA"/>
    <w:rsid w:val="31AF08B2"/>
    <w:rsid w:val="31CC4FC0"/>
    <w:rsid w:val="31F7433A"/>
    <w:rsid w:val="3253409F"/>
    <w:rsid w:val="325E6415"/>
    <w:rsid w:val="32803FFD"/>
    <w:rsid w:val="328A4FE6"/>
    <w:rsid w:val="32953ED5"/>
    <w:rsid w:val="32961B0D"/>
    <w:rsid w:val="32C75788"/>
    <w:rsid w:val="33193D6E"/>
    <w:rsid w:val="3321758E"/>
    <w:rsid w:val="33790831"/>
    <w:rsid w:val="33916868"/>
    <w:rsid w:val="33CB74FA"/>
    <w:rsid w:val="341255D2"/>
    <w:rsid w:val="342C7F98"/>
    <w:rsid w:val="344D7F0F"/>
    <w:rsid w:val="344F012B"/>
    <w:rsid w:val="345E3ECA"/>
    <w:rsid w:val="346F60D7"/>
    <w:rsid w:val="34894BBA"/>
    <w:rsid w:val="34A02734"/>
    <w:rsid w:val="34B044FD"/>
    <w:rsid w:val="34F34F5A"/>
    <w:rsid w:val="34F82570"/>
    <w:rsid w:val="352300D8"/>
    <w:rsid w:val="3546372A"/>
    <w:rsid w:val="355157DD"/>
    <w:rsid w:val="355E0625"/>
    <w:rsid w:val="357C0AAC"/>
    <w:rsid w:val="35AA13E6"/>
    <w:rsid w:val="35B71AE4"/>
    <w:rsid w:val="35BB0252"/>
    <w:rsid w:val="35BE2E72"/>
    <w:rsid w:val="35D8677A"/>
    <w:rsid w:val="360B0496"/>
    <w:rsid w:val="36211653"/>
    <w:rsid w:val="36780E50"/>
    <w:rsid w:val="36B71B8E"/>
    <w:rsid w:val="36BF4B72"/>
    <w:rsid w:val="36C62378"/>
    <w:rsid w:val="36E91C82"/>
    <w:rsid w:val="36F92F47"/>
    <w:rsid w:val="3715740A"/>
    <w:rsid w:val="376A752C"/>
    <w:rsid w:val="37904CE2"/>
    <w:rsid w:val="38031EDD"/>
    <w:rsid w:val="38033923"/>
    <w:rsid w:val="38051BB9"/>
    <w:rsid w:val="38080D1C"/>
    <w:rsid w:val="3819279E"/>
    <w:rsid w:val="38204CD5"/>
    <w:rsid w:val="38366EFB"/>
    <w:rsid w:val="383E029A"/>
    <w:rsid w:val="38481E21"/>
    <w:rsid w:val="384B29B7"/>
    <w:rsid w:val="38BC1BDC"/>
    <w:rsid w:val="38C05153"/>
    <w:rsid w:val="38D01994"/>
    <w:rsid w:val="38E87BBB"/>
    <w:rsid w:val="390239BE"/>
    <w:rsid w:val="390C2146"/>
    <w:rsid w:val="390E32F6"/>
    <w:rsid w:val="3914549F"/>
    <w:rsid w:val="39250755"/>
    <w:rsid w:val="392D1322"/>
    <w:rsid w:val="39AB434B"/>
    <w:rsid w:val="39B4157B"/>
    <w:rsid w:val="39BD44BE"/>
    <w:rsid w:val="39E41149"/>
    <w:rsid w:val="39EB26A4"/>
    <w:rsid w:val="39FC6ECE"/>
    <w:rsid w:val="3A0502FB"/>
    <w:rsid w:val="3A3F654C"/>
    <w:rsid w:val="3A5A25A6"/>
    <w:rsid w:val="3A726921"/>
    <w:rsid w:val="3AD575DA"/>
    <w:rsid w:val="3AEE41FA"/>
    <w:rsid w:val="3B1D4ADF"/>
    <w:rsid w:val="3B7010B2"/>
    <w:rsid w:val="3BAF0C04"/>
    <w:rsid w:val="3C030EA1"/>
    <w:rsid w:val="3C073192"/>
    <w:rsid w:val="3C0B3260"/>
    <w:rsid w:val="3C26744A"/>
    <w:rsid w:val="3C2C3893"/>
    <w:rsid w:val="3C430575"/>
    <w:rsid w:val="3C4349FB"/>
    <w:rsid w:val="3C5B6705"/>
    <w:rsid w:val="3CB472A8"/>
    <w:rsid w:val="3CE44D6B"/>
    <w:rsid w:val="3D0D1C09"/>
    <w:rsid w:val="3D101FEB"/>
    <w:rsid w:val="3D1B75AF"/>
    <w:rsid w:val="3D251A29"/>
    <w:rsid w:val="3DE96EFA"/>
    <w:rsid w:val="3E187A13"/>
    <w:rsid w:val="3E1C107E"/>
    <w:rsid w:val="3EB9054F"/>
    <w:rsid w:val="3EC86B10"/>
    <w:rsid w:val="3ED41E38"/>
    <w:rsid w:val="3EEECE1A"/>
    <w:rsid w:val="3F044634"/>
    <w:rsid w:val="3F9904AC"/>
    <w:rsid w:val="3FF35426"/>
    <w:rsid w:val="401C181E"/>
    <w:rsid w:val="40560AE5"/>
    <w:rsid w:val="409E1999"/>
    <w:rsid w:val="40B528CE"/>
    <w:rsid w:val="40CD48B8"/>
    <w:rsid w:val="40E340D5"/>
    <w:rsid w:val="40F005A0"/>
    <w:rsid w:val="41063629"/>
    <w:rsid w:val="410C00CF"/>
    <w:rsid w:val="414C1C7A"/>
    <w:rsid w:val="41582048"/>
    <w:rsid w:val="41653AC2"/>
    <w:rsid w:val="41A25F3E"/>
    <w:rsid w:val="41AC70DE"/>
    <w:rsid w:val="41B0748D"/>
    <w:rsid w:val="41F2582A"/>
    <w:rsid w:val="42274FA6"/>
    <w:rsid w:val="42D15F96"/>
    <w:rsid w:val="42EF1C2D"/>
    <w:rsid w:val="432B3B11"/>
    <w:rsid w:val="43503F67"/>
    <w:rsid w:val="436B215F"/>
    <w:rsid w:val="43807133"/>
    <w:rsid w:val="438644B5"/>
    <w:rsid w:val="44544A76"/>
    <w:rsid w:val="445554E0"/>
    <w:rsid w:val="448E1010"/>
    <w:rsid w:val="44A0505B"/>
    <w:rsid w:val="44D8794C"/>
    <w:rsid w:val="44E4666D"/>
    <w:rsid w:val="45877724"/>
    <w:rsid w:val="45AC4E6E"/>
    <w:rsid w:val="45B20519"/>
    <w:rsid w:val="45F90867"/>
    <w:rsid w:val="460C7193"/>
    <w:rsid w:val="4642189D"/>
    <w:rsid w:val="467C4DAF"/>
    <w:rsid w:val="46805F22"/>
    <w:rsid w:val="4683047E"/>
    <w:rsid w:val="46A3775F"/>
    <w:rsid w:val="46E04F92"/>
    <w:rsid w:val="47541888"/>
    <w:rsid w:val="479A2668"/>
    <w:rsid w:val="47AA2B40"/>
    <w:rsid w:val="47AC326C"/>
    <w:rsid w:val="47C415B1"/>
    <w:rsid w:val="47E0136E"/>
    <w:rsid w:val="48DF33D4"/>
    <w:rsid w:val="492F31C0"/>
    <w:rsid w:val="49301E81"/>
    <w:rsid w:val="494557C4"/>
    <w:rsid w:val="49966F85"/>
    <w:rsid w:val="49C8593B"/>
    <w:rsid w:val="4A110D60"/>
    <w:rsid w:val="4A5E6401"/>
    <w:rsid w:val="4A7D10F6"/>
    <w:rsid w:val="4AAC42E7"/>
    <w:rsid w:val="4AD221CC"/>
    <w:rsid w:val="4AD64F49"/>
    <w:rsid w:val="4AE47A91"/>
    <w:rsid w:val="4B9934BC"/>
    <w:rsid w:val="4BA234C7"/>
    <w:rsid w:val="4BE62CCB"/>
    <w:rsid w:val="4BEF12BE"/>
    <w:rsid w:val="4C34368B"/>
    <w:rsid w:val="4CB701C3"/>
    <w:rsid w:val="4CBE72DA"/>
    <w:rsid w:val="4CF542D3"/>
    <w:rsid w:val="4D021D86"/>
    <w:rsid w:val="4D066599"/>
    <w:rsid w:val="4D9218E1"/>
    <w:rsid w:val="4DC64B62"/>
    <w:rsid w:val="4DC95567"/>
    <w:rsid w:val="4DD42A2F"/>
    <w:rsid w:val="4E2078E8"/>
    <w:rsid w:val="4E3C6D60"/>
    <w:rsid w:val="4E4C6AC5"/>
    <w:rsid w:val="4E5E7C38"/>
    <w:rsid w:val="4E685B94"/>
    <w:rsid w:val="4E8005CA"/>
    <w:rsid w:val="4F226D6F"/>
    <w:rsid w:val="4F6E725F"/>
    <w:rsid w:val="4FC43C9F"/>
    <w:rsid w:val="4FD176D0"/>
    <w:rsid w:val="4FE51205"/>
    <w:rsid w:val="4FF43314"/>
    <w:rsid w:val="5026374E"/>
    <w:rsid w:val="505910FD"/>
    <w:rsid w:val="505D1E8E"/>
    <w:rsid w:val="507E55A3"/>
    <w:rsid w:val="50877CF3"/>
    <w:rsid w:val="508D5E0B"/>
    <w:rsid w:val="509B1CB1"/>
    <w:rsid w:val="50B37D27"/>
    <w:rsid w:val="50BE1397"/>
    <w:rsid w:val="50C40DD7"/>
    <w:rsid w:val="50E25C3F"/>
    <w:rsid w:val="50EA2AF2"/>
    <w:rsid w:val="510631F8"/>
    <w:rsid w:val="511802D6"/>
    <w:rsid w:val="515F190B"/>
    <w:rsid w:val="518A2886"/>
    <w:rsid w:val="51E7446B"/>
    <w:rsid w:val="51EB15D5"/>
    <w:rsid w:val="51EE6435"/>
    <w:rsid w:val="5273781C"/>
    <w:rsid w:val="528D62B1"/>
    <w:rsid w:val="52952D55"/>
    <w:rsid w:val="52ED0DE3"/>
    <w:rsid w:val="52F925D0"/>
    <w:rsid w:val="53204D14"/>
    <w:rsid w:val="532E399E"/>
    <w:rsid w:val="53364538"/>
    <w:rsid w:val="53782DBB"/>
    <w:rsid w:val="53AE40CE"/>
    <w:rsid w:val="53C54A7E"/>
    <w:rsid w:val="540006A2"/>
    <w:rsid w:val="54024923"/>
    <w:rsid w:val="546E1924"/>
    <w:rsid w:val="5474356A"/>
    <w:rsid w:val="549C78FF"/>
    <w:rsid w:val="54AA19A7"/>
    <w:rsid w:val="54C54DE0"/>
    <w:rsid w:val="54F503EE"/>
    <w:rsid w:val="550B7056"/>
    <w:rsid w:val="552F3210"/>
    <w:rsid w:val="55364B38"/>
    <w:rsid w:val="555D52FB"/>
    <w:rsid w:val="55603AEE"/>
    <w:rsid w:val="559534D4"/>
    <w:rsid w:val="55A703FF"/>
    <w:rsid w:val="55A84374"/>
    <w:rsid w:val="55AB1785"/>
    <w:rsid w:val="55DF7D0D"/>
    <w:rsid w:val="55E04545"/>
    <w:rsid w:val="55EA5046"/>
    <w:rsid w:val="561B003C"/>
    <w:rsid w:val="561D19DF"/>
    <w:rsid w:val="56200FBF"/>
    <w:rsid w:val="562821FE"/>
    <w:rsid w:val="566E5D97"/>
    <w:rsid w:val="568832FC"/>
    <w:rsid w:val="56A44031"/>
    <w:rsid w:val="56A85AB0"/>
    <w:rsid w:val="56B714EC"/>
    <w:rsid w:val="56DC53F6"/>
    <w:rsid w:val="56FC2A7A"/>
    <w:rsid w:val="57047689"/>
    <w:rsid w:val="572333E8"/>
    <w:rsid w:val="57533BD6"/>
    <w:rsid w:val="57713D91"/>
    <w:rsid w:val="579E28D1"/>
    <w:rsid w:val="57AC6B77"/>
    <w:rsid w:val="57D77FF0"/>
    <w:rsid w:val="57F77651"/>
    <w:rsid w:val="583E7E63"/>
    <w:rsid w:val="584056FE"/>
    <w:rsid w:val="584766AC"/>
    <w:rsid w:val="58692219"/>
    <w:rsid w:val="58887411"/>
    <w:rsid w:val="58F632BA"/>
    <w:rsid w:val="594B0611"/>
    <w:rsid w:val="59653481"/>
    <w:rsid w:val="59C44A38"/>
    <w:rsid w:val="59D16D68"/>
    <w:rsid w:val="59FA694D"/>
    <w:rsid w:val="5A8C6946"/>
    <w:rsid w:val="5AA601F5"/>
    <w:rsid w:val="5AA93841"/>
    <w:rsid w:val="5AD70D66"/>
    <w:rsid w:val="5AEB5C08"/>
    <w:rsid w:val="5AFB5A70"/>
    <w:rsid w:val="5B043B8C"/>
    <w:rsid w:val="5B700A53"/>
    <w:rsid w:val="5B914A01"/>
    <w:rsid w:val="5B9F1014"/>
    <w:rsid w:val="5BF27270"/>
    <w:rsid w:val="5C0E0752"/>
    <w:rsid w:val="5C0F4C20"/>
    <w:rsid w:val="5C383A38"/>
    <w:rsid w:val="5CC02802"/>
    <w:rsid w:val="5CE84836"/>
    <w:rsid w:val="5D0E613A"/>
    <w:rsid w:val="5D4635C9"/>
    <w:rsid w:val="5D535CE6"/>
    <w:rsid w:val="5D536BE5"/>
    <w:rsid w:val="5D6071CC"/>
    <w:rsid w:val="5D791FAA"/>
    <w:rsid w:val="5DAE574E"/>
    <w:rsid w:val="5DEA2501"/>
    <w:rsid w:val="5DEF1EB3"/>
    <w:rsid w:val="5DFB476A"/>
    <w:rsid w:val="5E331DA0"/>
    <w:rsid w:val="5E4D76A5"/>
    <w:rsid w:val="5E5166CA"/>
    <w:rsid w:val="5E5835B4"/>
    <w:rsid w:val="5E780E5B"/>
    <w:rsid w:val="5EB50A07"/>
    <w:rsid w:val="5EC2182D"/>
    <w:rsid w:val="5EE412EC"/>
    <w:rsid w:val="5EE94600"/>
    <w:rsid w:val="5F36141C"/>
    <w:rsid w:val="5F447FDD"/>
    <w:rsid w:val="5F60062F"/>
    <w:rsid w:val="5F70492E"/>
    <w:rsid w:val="5F721217"/>
    <w:rsid w:val="5F8B1768"/>
    <w:rsid w:val="5F985888"/>
    <w:rsid w:val="5FB9602A"/>
    <w:rsid w:val="5FC34395"/>
    <w:rsid w:val="5FF94923"/>
    <w:rsid w:val="602337DF"/>
    <w:rsid w:val="60827C2A"/>
    <w:rsid w:val="60CA4515"/>
    <w:rsid w:val="60FF33FF"/>
    <w:rsid w:val="61110B23"/>
    <w:rsid w:val="61164429"/>
    <w:rsid w:val="614C769B"/>
    <w:rsid w:val="614F743B"/>
    <w:rsid w:val="615B3196"/>
    <w:rsid w:val="616D0E9D"/>
    <w:rsid w:val="6181227D"/>
    <w:rsid w:val="61D95824"/>
    <w:rsid w:val="61DF4F25"/>
    <w:rsid w:val="622639C9"/>
    <w:rsid w:val="623615CA"/>
    <w:rsid w:val="6239194F"/>
    <w:rsid w:val="623B528F"/>
    <w:rsid w:val="624E2A9B"/>
    <w:rsid w:val="62824F6D"/>
    <w:rsid w:val="62AF7F3F"/>
    <w:rsid w:val="62B337E3"/>
    <w:rsid w:val="62CF7BBD"/>
    <w:rsid w:val="630272DB"/>
    <w:rsid w:val="63225184"/>
    <w:rsid w:val="634702E2"/>
    <w:rsid w:val="63617B43"/>
    <w:rsid w:val="63857C95"/>
    <w:rsid w:val="638F08E8"/>
    <w:rsid w:val="641E63C8"/>
    <w:rsid w:val="649102B0"/>
    <w:rsid w:val="64AD2180"/>
    <w:rsid w:val="64AF5EF8"/>
    <w:rsid w:val="64BA66CA"/>
    <w:rsid w:val="64C34049"/>
    <w:rsid w:val="65513A47"/>
    <w:rsid w:val="65652A5B"/>
    <w:rsid w:val="658E038D"/>
    <w:rsid w:val="659C3ABC"/>
    <w:rsid w:val="659F2386"/>
    <w:rsid w:val="661F2C0A"/>
    <w:rsid w:val="661F4759"/>
    <w:rsid w:val="66402BC6"/>
    <w:rsid w:val="66430AE1"/>
    <w:rsid w:val="66835660"/>
    <w:rsid w:val="66AF21DF"/>
    <w:rsid w:val="66B405E1"/>
    <w:rsid w:val="66D60585"/>
    <w:rsid w:val="66D86EEC"/>
    <w:rsid w:val="67034F8B"/>
    <w:rsid w:val="67691A21"/>
    <w:rsid w:val="6795184E"/>
    <w:rsid w:val="679F2254"/>
    <w:rsid w:val="67CA42A6"/>
    <w:rsid w:val="67D320AA"/>
    <w:rsid w:val="67F56318"/>
    <w:rsid w:val="68150176"/>
    <w:rsid w:val="683913C9"/>
    <w:rsid w:val="683A27FC"/>
    <w:rsid w:val="68B27D65"/>
    <w:rsid w:val="69203A0B"/>
    <w:rsid w:val="694638A8"/>
    <w:rsid w:val="69C2588F"/>
    <w:rsid w:val="69DF38CB"/>
    <w:rsid w:val="69FC6B39"/>
    <w:rsid w:val="6A190855"/>
    <w:rsid w:val="6A1D029D"/>
    <w:rsid w:val="6A2309CD"/>
    <w:rsid w:val="6A582B8E"/>
    <w:rsid w:val="6A615EE7"/>
    <w:rsid w:val="6A701C86"/>
    <w:rsid w:val="6A9A4F55"/>
    <w:rsid w:val="6AA45DD3"/>
    <w:rsid w:val="6AA933EA"/>
    <w:rsid w:val="6AFF6C91"/>
    <w:rsid w:val="6B5748D8"/>
    <w:rsid w:val="6B834666"/>
    <w:rsid w:val="6B881251"/>
    <w:rsid w:val="6B916DF5"/>
    <w:rsid w:val="6C103720"/>
    <w:rsid w:val="6C1C5489"/>
    <w:rsid w:val="6C2F7E97"/>
    <w:rsid w:val="6C3F5DB4"/>
    <w:rsid w:val="6CC0205D"/>
    <w:rsid w:val="6CC91D04"/>
    <w:rsid w:val="6CEC143C"/>
    <w:rsid w:val="6D09032B"/>
    <w:rsid w:val="6D0931DE"/>
    <w:rsid w:val="6D404752"/>
    <w:rsid w:val="6D6668C3"/>
    <w:rsid w:val="6D7B106D"/>
    <w:rsid w:val="6D9051A0"/>
    <w:rsid w:val="6D9914F3"/>
    <w:rsid w:val="6DB279DA"/>
    <w:rsid w:val="6DD5082B"/>
    <w:rsid w:val="6E327D9D"/>
    <w:rsid w:val="6E393953"/>
    <w:rsid w:val="6E644211"/>
    <w:rsid w:val="6E7B0A0C"/>
    <w:rsid w:val="6EA21699"/>
    <w:rsid w:val="6EB04B41"/>
    <w:rsid w:val="6EEF24A9"/>
    <w:rsid w:val="6F027AF7"/>
    <w:rsid w:val="6F26325B"/>
    <w:rsid w:val="6F3843F0"/>
    <w:rsid w:val="6F651FD5"/>
    <w:rsid w:val="6F6F69B0"/>
    <w:rsid w:val="6F8F06D9"/>
    <w:rsid w:val="6F9C351D"/>
    <w:rsid w:val="6F9E2305"/>
    <w:rsid w:val="6FAA0C45"/>
    <w:rsid w:val="6FCC337B"/>
    <w:rsid w:val="6FE729EA"/>
    <w:rsid w:val="6FE80510"/>
    <w:rsid w:val="6FEF189F"/>
    <w:rsid w:val="700B6747"/>
    <w:rsid w:val="70801449"/>
    <w:rsid w:val="70933881"/>
    <w:rsid w:val="709F4389"/>
    <w:rsid w:val="70AE65AA"/>
    <w:rsid w:val="70B5428E"/>
    <w:rsid w:val="70D93F49"/>
    <w:rsid w:val="70E128AC"/>
    <w:rsid w:val="70E1634E"/>
    <w:rsid w:val="70FF2AA0"/>
    <w:rsid w:val="71017ADB"/>
    <w:rsid w:val="71107D1F"/>
    <w:rsid w:val="71316D8D"/>
    <w:rsid w:val="715F4802"/>
    <w:rsid w:val="71654D19"/>
    <w:rsid w:val="717F6C52"/>
    <w:rsid w:val="71904F75"/>
    <w:rsid w:val="71A768D5"/>
    <w:rsid w:val="71E66C33"/>
    <w:rsid w:val="72205CFE"/>
    <w:rsid w:val="72336342"/>
    <w:rsid w:val="7237216F"/>
    <w:rsid w:val="72676064"/>
    <w:rsid w:val="72842772"/>
    <w:rsid w:val="72844C7D"/>
    <w:rsid w:val="72A36BE8"/>
    <w:rsid w:val="72D54ABB"/>
    <w:rsid w:val="72E421B6"/>
    <w:rsid w:val="72FF3958"/>
    <w:rsid w:val="73193F46"/>
    <w:rsid w:val="731D4975"/>
    <w:rsid w:val="732B4F01"/>
    <w:rsid w:val="734903DF"/>
    <w:rsid w:val="73BE7F06"/>
    <w:rsid w:val="73CD3228"/>
    <w:rsid w:val="73E3796C"/>
    <w:rsid w:val="74134DFB"/>
    <w:rsid w:val="7419513C"/>
    <w:rsid w:val="742D3D9C"/>
    <w:rsid w:val="74387CB8"/>
    <w:rsid w:val="745B25CA"/>
    <w:rsid w:val="74A06616"/>
    <w:rsid w:val="74AE1D28"/>
    <w:rsid w:val="74C55995"/>
    <w:rsid w:val="74FD49B7"/>
    <w:rsid w:val="7586788F"/>
    <w:rsid w:val="75C86411"/>
    <w:rsid w:val="75F52E16"/>
    <w:rsid w:val="76237386"/>
    <w:rsid w:val="762B7F17"/>
    <w:rsid w:val="76317141"/>
    <w:rsid w:val="765B1A3C"/>
    <w:rsid w:val="76A50F09"/>
    <w:rsid w:val="76C177B7"/>
    <w:rsid w:val="76DB2A57"/>
    <w:rsid w:val="771147F0"/>
    <w:rsid w:val="778D36DC"/>
    <w:rsid w:val="783B1B25"/>
    <w:rsid w:val="784328C1"/>
    <w:rsid w:val="78DA1D7B"/>
    <w:rsid w:val="78EA52F9"/>
    <w:rsid w:val="78F13662"/>
    <w:rsid w:val="793E7C5B"/>
    <w:rsid w:val="7955517B"/>
    <w:rsid w:val="79560DFC"/>
    <w:rsid w:val="79570BE0"/>
    <w:rsid w:val="79674B9C"/>
    <w:rsid w:val="79825532"/>
    <w:rsid w:val="798B6ADC"/>
    <w:rsid w:val="79A25BD4"/>
    <w:rsid w:val="79AC1FDF"/>
    <w:rsid w:val="79B53B59"/>
    <w:rsid w:val="79BA4CCB"/>
    <w:rsid w:val="79BC1425"/>
    <w:rsid w:val="79C773E8"/>
    <w:rsid w:val="79D55FA9"/>
    <w:rsid w:val="7A1C75A3"/>
    <w:rsid w:val="7A27170C"/>
    <w:rsid w:val="7A394769"/>
    <w:rsid w:val="7A6A4943"/>
    <w:rsid w:val="7A7F7C39"/>
    <w:rsid w:val="7AE71AF0"/>
    <w:rsid w:val="7B413F7E"/>
    <w:rsid w:val="7B885D10"/>
    <w:rsid w:val="7BE74CFC"/>
    <w:rsid w:val="7BEE6B88"/>
    <w:rsid w:val="7BF7570B"/>
    <w:rsid w:val="7C2E345F"/>
    <w:rsid w:val="7C3A20F4"/>
    <w:rsid w:val="7C5424A5"/>
    <w:rsid w:val="7C5A2796"/>
    <w:rsid w:val="7C605268"/>
    <w:rsid w:val="7C6A0C2B"/>
    <w:rsid w:val="7CB70DC7"/>
    <w:rsid w:val="7CF46746"/>
    <w:rsid w:val="7DAB236C"/>
    <w:rsid w:val="7DB86548"/>
    <w:rsid w:val="7DFF6215"/>
    <w:rsid w:val="7E5D00E7"/>
    <w:rsid w:val="7E9F7825"/>
    <w:rsid w:val="7E9F78B3"/>
    <w:rsid w:val="7EC9775F"/>
    <w:rsid w:val="7F36E46C"/>
    <w:rsid w:val="7F376DBE"/>
    <w:rsid w:val="7F7162F6"/>
    <w:rsid w:val="7F9A7019"/>
    <w:rsid w:val="7FB81CAD"/>
    <w:rsid w:val="7FBB179D"/>
    <w:rsid w:val="7FC85D75"/>
    <w:rsid w:val="7FD5583B"/>
    <w:rsid w:val="7FDE196C"/>
    <w:rsid w:val="7FE138D8"/>
    <w:rsid w:val="7FE31449"/>
    <w:rsid w:val="7FE405C7"/>
    <w:rsid w:val="7FEA2C5C"/>
    <w:rsid w:val="7FF52F01"/>
    <w:rsid w:val="BAFFCB35"/>
    <w:rsid w:val="BD6DBFFE"/>
    <w:rsid w:val="CFFD2D04"/>
    <w:rsid w:val="DF7742C2"/>
    <w:rsid w:val="EC9F2BC5"/>
    <w:rsid w:val="EF9D2393"/>
    <w:rsid w:val="FFF954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4"/>
    <w:autoRedefine/>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character" w:default="1" w:styleId="19">
    <w:name w:val="Default Paragraph Font"/>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First Indent"/>
    <w:basedOn w:val="5"/>
    <w:autoRedefine/>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5">
    <w:name w:val="Body Text"/>
    <w:basedOn w:val="1"/>
    <w:autoRedefine/>
    <w:unhideWhenUsed/>
    <w:qFormat/>
    <w:uiPriority w:val="99"/>
    <w:pPr>
      <w:spacing w:after="120"/>
    </w:pPr>
  </w:style>
  <w:style w:type="paragraph" w:styleId="6">
    <w:name w:val="annotation text"/>
    <w:basedOn w:val="1"/>
    <w:autoRedefine/>
    <w:qFormat/>
    <w:uiPriority w:val="0"/>
    <w:pPr>
      <w:jc w:val="left"/>
    </w:pPr>
  </w:style>
  <w:style w:type="paragraph" w:styleId="7">
    <w:name w:val="Body Text Indent"/>
    <w:basedOn w:val="1"/>
    <w:autoRedefine/>
    <w:unhideWhenUsed/>
    <w:qFormat/>
    <w:uiPriority w:val="99"/>
    <w:pPr>
      <w:spacing w:after="120"/>
      <w:ind w:left="420" w:leftChars="200"/>
    </w:pPr>
  </w:style>
  <w:style w:type="paragraph" w:styleId="8">
    <w:name w:val="Body Text Indent 2"/>
    <w:basedOn w:val="1"/>
    <w:next w:val="9"/>
    <w:autoRedefine/>
    <w:unhideWhenUsed/>
    <w:qFormat/>
    <w:uiPriority w:val="99"/>
    <w:pPr>
      <w:spacing w:after="120" w:line="480" w:lineRule="auto"/>
      <w:ind w:left="420" w:leftChars="200"/>
    </w:pPr>
  </w:style>
  <w:style w:type="paragraph" w:customStyle="1" w:styleId="9">
    <w:name w:val="p0"/>
    <w:next w:val="10"/>
    <w:autoRedefine/>
    <w:qFormat/>
    <w:uiPriority w:val="0"/>
    <w:pPr>
      <w:spacing w:line="365" w:lineRule="atLeast"/>
      <w:ind w:left="1"/>
    </w:pPr>
    <w:rPr>
      <w:rFonts w:ascii="Times New Roman" w:hAnsi="Times New Roman" w:eastAsia="宋体" w:cs="Times New Roman"/>
      <w:sz w:val="24"/>
      <w:lang w:val="en-US" w:eastAsia="zh-CN" w:bidi="ar-SA"/>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toc 1"/>
    <w:basedOn w:val="1"/>
    <w:next w:val="1"/>
    <w:autoRedefine/>
    <w:qFormat/>
    <w:uiPriority w:val="0"/>
  </w:style>
  <w:style w:type="paragraph" w:styleId="13">
    <w:name w:val="footnote text"/>
    <w:basedOn w:val="1"/>
    <w:autoRedefine/>
    <w:unhideWhenUsed/>
    <w:qFormat/>
    <w:uiPriority w:val="99"/>
    <w:pPr>
      <w:widowControl w:val="0"/>
      <w:snapToGrid w:val="0"/>
    </w:pPr>
    <w:rPr>
      <w:rFonts w:ascii="Calibri" w:hAnsi="Calibri" w:cs="Times New Roman"/>
      <w:kern w:val="2"/>
      <w:sz w:val="18"/>
      <w:szCs w:val="18"/>
    </w:rPr>
  </w:style>
  <w:style w:type="paragraph" w:styleId="14">
    <w:name w:val="toc 2"/>
    <w:basedOn w:val="1"/>
    <w:next w:val="1"/>
    <w:autoRedefine/>
    <w:qFormat/>
    <w:uiPriority w:val="0"/>
    <w:pPr>
      <w:ind w:left="420" w:leftChars="200"/>
    </w:p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7"/>
    <w:autoRedefine/>
    <w:unhideWhenUsed/>
    <w:qFormat/>
    <w:uiPriority w:val="99"/>
    <w:pPr>
      <w:spacing w:after="0" w:line="660" w:lineRule="exact"/>
      <w:ind w:left="0" w:leftChars="0" w:firstLine="420" w:firstLineChars="200"/>
    </w:pPr>
    <w:rPr>
      <w:rFonts w:ascii="仿宋_GB2312" w:eastAsia="仿宋_GB2312"/>
      <w:snapToGrid w:val="0"/>
      <w:sz w:val="32"/>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WPSOffice手动目录 1"/>
    <w:autoRedefine/>
    <w:qFormat/>
    <w:uiPriority w:val="0"/>
    <w:pPr>
      <w:ind w:leftChars="0"/>
    </w:pPr>
    <w:rPr>
      <w:rFonts w:ascii="Times New Roman" w:hAnsi="Times New Roman" w:eastAsia="宋体" w:cs="Times New Roman"/>
      <w:sz w:val="20"/>
      <w:szCs w:val="20"/>
    </w:rPr>
  </w:style>
  <w:style w:type="paragraph" w:customStyle="1" w:styleId="22">
    <w:name w:val="WPSOffice手动目录 2"/>
    <w:autoRedefine/>
    <w:qFormat/>
    <w:uiPriority w:val="0"/>
    <w:pPr>
      <w:ind w:leftChars="200"/>
    </w:pPr>
    <w:rPr>
      <w:rFonts w:ascii="Times New Roman" w:hAnsi="Times New Roman" w:eastAsia="宋体" w:cs="Times New Roman"/>
      <w:sz w:val="20"/>
      <w:szCs w:val="20"/>
    </w:rPr>
  </w:style>
  <w:style w:type="paragraph" w:styleId="23">
    <w:name w:val="List Paragraph"/>
    <w:basedOn w:val="1"/>
    <w:autoRedefine/>
    <w:qFormat/>
    <w:uiPriority w:val="34"/>
    <w:pPr>
      <w:ind w:firstLine="420" w:firstLineChars="200"/>
    </w:pPr>
  </w:style>
  <w:style w:type="paragraph" w:customStyle="1" w:styleId="24">
    <w:name w:val="正文1"/>
    <w:basedOn w:val="1"/>
    <w:autoRedefine/>
    <w:qFormat/>
    <w:uiPriority w:val="0"/>
    <w:pPr>
      <w:spacing w:line="360" w:lineRule="auto"/>
      <w:ind w:firstLine="480" w:firstLineChars="200"/>
    </w:pPr>
    <w:rPr>
      <w:sz w:val="24"/>
    </w:rPr>
  </w:style>
  <w:style w:type="character" w:customStyle="1" w:styleId="25">
    <w:name w:val="font21"/>
    <w:autoRedefine/>
    <w:qFormat/>
    <w:uiPriority w:val="0"/>
    <w:rPr>
      <w:rFonts w:ascii="宋体" w:hAnsi="宋体" w:eastAsia="宋体" w:cs="宋体"/>
      <w:color w:val="000000"/>
      <w:sz w:val="20"/>
      <w:szCs w:val="20"/>
      <w:u w:val="none"/>
    </w:rPr>
  </w:style>
  <w:style w:type="character" w:customStyle="1" w:styleId="26">
    <w:name w:val="font11"/>
    <w:basedOn w:val="19"/>
    <w:autoRedefine/>
    <w:qFormat/>
    <w:uiPriority w:val="0"/>
    <w:rPr>
      <w:rFonts w:hint="eastAsia" w:ascii="仿宋" w:hAnsi="仿宋" w:eastAsia="仿宋" w:cs="仿宋"/>
      <w:b/>
      <w:bCs/>
      <w:color w:val="000000"/>
      <w:sz w:val="21"/>
      <w:szCs w:val="21"/>
      <w:u w:val="none"/>
    </w:rPr>
  </w:style>
  <w:style w:type="character" w:customStyle="1" w:styleId="27">
    <w:name w:val="font31"/>
    <w:basedOn w:val="19"/>
    <w:autoRedefine/>
    <w:qFormat/>
    <w:uiPriority w:val="0"/>
    <w:rPr>
      <w:rFonts w:hint="default" w:ascii="Times New Roman" w:hAnsi="Times New Roman" w:cs="Times New Roman"/>
      <w:color w:val="000000"/>
      <w:sz w:val="18"/>
      <w:szCs w:val="18"/>
      <w:u w:val="none"/>
    </w:rPr>
  </w:style>
  <w:style w:type="character" w:customStyle="1" w:styleId="28">
    <w:name w:val="font41"/>
    <w:basedOn w:val="19"/>
    <w:autoRedefine/>
    <w:qFormat/>
    <w:uiPriority w:val="0"/>
    <w:rPr>
      <w:rFonts w:hint="eastAsia" w:ascii="仿宋" w:hAnsi="仿宋" w:eastAsia="仿宋" w:cs="仿宋"/>
      <w:color w:val="000000"/>
      <w:sz w:val="22"/>
      <w:szCs w:val="22"/>
      <w:u w:val="none"/>
    </w:rPr>
  </w:style>
  <w:style w:type="character" w:customStyle="1" w:styleId="29">
    <w:name w:val="font61"/>
    <w:basedOn w:val="19"/>
    <w:autoRedefine/>
    <w:qFormat/>
    <w:uiPriority w:val="0"/>
    <w:rPr>
      <w:rFonts w:hint="default" w:ascii="Times New Roman" w:hAnsi="Times New Roman" w:cs="Times New Roman"/>
      <w:color w:val="000000"/>
      <w:sz w:val="22"/>
      <w:szCs w:val="22"/>
      <w:u w:val="none"/>
    </w:rPr>
  </w:style>
  <w:style w:type="character" w:customStyle="1" w:styleId="30">
    <w:name w:val="font81"/>
    <w:basedOn w:val="19"/>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9568</Words>
  <Characters>10841</Characters>
  <Lines>0</Lines>
  <Paragraphs>0</Paragraphs>
  <TotalTime>3</TotalTime>
  <ScaleCrop>false</ScaleCrop>
  <LinksUpToDate>false</LinksUpToDate>
  <CharactersWithSpaces>12265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2023-10-12T08:39:00Z</dcterms:created>
  <dc:creator>银鹏会计事务所</dc:creator>
  <cp:lastModifiedBy>财正</cp:lastModifiedBy>
  <dcterms:modified xsi:type="dcterms:W3CDTF">2023-12-16T02:43:42Z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1AF3AB6E691E4AF780BAC573758626F5_13</vt:lpwstr>
  </property>
</Properties>
</file>