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i w:val="0"/>
          <w:iCs w:val="0"/>
          <w:caps w:val="0"/>
          <w:color w:val="000000"/>
          <w:spacing w:val="0"/>
          <w:sz w:val="31"/>
          <w:szCs w:val="31"/>
          <w:shd w:val="clear" w:fill="FFFFFF"/>
        </w:rPr>
      </w:pPr>
      <w:r>
        <w:rPr>
          <w:rFonts w:hint="eastAsia" w:ascii="方正小标宋_GBK" w:hAnsi="方正小标宋_GBK" w:eastAsia="方正小标宋_GBK" w:cs="方正小标宋_GBK"/>
          <w:sz w:val="28"/>
          <w:szCs w:val="28"/>
          <w:lang w:eastAsia="zh-CN"/>
        </w:rPr>
        <w:t>北塔区住建局</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整体支出绩效评价报</w:t>
      </w:r>
      <w:r>
        <w:rPr>
          <w:rFonts w:hint="eastAsia"/>
          <w:i w:val="0"/>
          <w:iCs w:val="0"/>
          <w:caps w:val="0"/>
          <w:color w:val="000000"/>
          <w:spacing w:val="0"/>
          <w:sz w:val="31"/>
          <w:szCs w:val="31"/>
          <w:shd w:val="clear" w:fill="FFFFFF"/>
          <w:lang w:val="en-US" w:eastAsia="zh-CN"/>
        </w:rPr>
        <w:t>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rightChars="0" w:firstLine="562" w:firstLineChars="20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b/>
          <w:bCs/>
          <w:i w:val="0"/>
          <w:iCs w:val="0"/>
          <w:caps w:val="0"/>
          <w:color w:val="444444"/>
          <w:spacing w:val="0"/>
          <w:sz w:val="28"/>
          <w:szCs w:val="28"/>
          <w:shd w:val="clear" w:fill="FFFFFF"/>
          <w:lang w:val="en-US" w:eastAsia="zh-CN"/>
        </w:rPr>
        <w:t>1.</w:t>
      </w:r>
      <w:r>
        <w:rPr>
          <w:rFonts w:hint="eastAsia" w:ascii="宋体" w:hAnsi="宋体" w:eastAsia="宋体" w:cs="宋体"/>
          <w:color w:val="444444"/>
          <w:kern w:val="0"/>
          <w:sz w:val="28"/>
          <w:szCs w:val="28"/>
          <w:shd w:val="clear" w:fill="FFFFFF"/>
        </w:rPr>
        <w:t>机构情况。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i w:val="0"/>
          <w:iCs w:val="0"/>
          <w:caps w:val="0"/>
          <w:color w:val="1E1E1E"/>
          <w:spacing w:val="0"/>
          <w:sz w:val="28"/>
          <w:szCs w:val="28"/>
          <w:shd w:val="clear" w:fill="FFFFFF"/>
        </w:rPr>
        <w:t>北塔区住建局包含北塔区住建局机关，二级机构北塔区建筑工程管理站和北塔区人民防空工程质量监督站。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rightChars="0" w:firstLine="560" w:firstLineChars="20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人员情况。</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560" w:firstLineChars="200"/>
        <w:jc w:val="left"/>
        <w:rPr>
          <w:rFonts w:hint="eastAsia" w:ascii="宋体" w:hAnsi="宋体" w:eastAsia="宋体" w:cs="宋体"/>
          <w:color w:val="444444"/>
          <w:kern w:val="0"/>
          <w:sz w:val="28"/>
          <w:szCs w:val="28"/>
          <w:highlight w:val="none"/>
          <w:shd w:val="clear" w:fill="FFFFFF"/>
        </w:rPr>
      </w:pPr>
      <w:r>
        <w:rPr>
          <w:rFonts w:hint="eastAsia" w:ascii="宋体" w:hAnsi="宋体" w:eastAsia="宋体" w:cs="宋体"/>
          <w:i w:val="0"/>
          <w:iCs w:val="0"/>
          <w:caps w:val="0"/>
          <w:color w:val="1E1E1E"/>
          <w:spacing w:val="0"/>
          <w:sz w:val="28"/>
          <w:szCs w:val="28"/>
          <w:highlight w:val="none"/>
          <w:shd w:val="clear" w:fill="FFFFFF"/>
        </w:rPr>
        <w:t>住建局</w:t>
      </w:r>
      <w:r>
        <w:rPr>
          <w:rFonts w:hint="eastAsia" w:ascii="宋体" w:hAnsi="宋体" w:eastAsia="宋体" w:cs="宋体"/>
          <w:i w:val="0"/>
          <w:iCs w:val="0"/>
          <w:caps w:val="0"/>
          <w:color w:val="1E1E1E"/>
          <w:spacing w:val="0"/>
          <w:sz w:val="28"/>
          <w:szCs w:val="28"/>
          <w:highlight w:val="none"/>
          <w:shd w:val="clear" w:fill="FFFFFF"/>
          <w:lang w:eastAsia="zh-CN"/>
        </w:rPr>
        <w:t>共有</w:t>
      </w:r>
      <w:r>
        <w:rPr>
          <w:rFonts w:hint="eastAsia" w:ascii="宋体" w:hAnsi="宋体" w:eastAsia="宋体" w:cs="宋体"/>
          <w:i w:val="0"/>
          <w:iCs w:val="0"/>
          <w:caps w:val="0"/>
          <w:color w:val="1E1E1E"/>
          <w:spacing w:val="0"/>
          <w:sz w:val="28"/>
          <w:szCs w:val="28"/>
          <w:highlight w:val="none"/>
          <w:shd w:val="clear" w:fill="FFFFFF"/>
        </w:rPr>
        <w:t>编制</w:t>
      </w:r>
      <w:r>
        <w:rPr>
          <w:rFonts w:hint="eastAsia" w:ascii="宋体" w:hAnsi="宋体" w:eastAsia="宋体" w:cs="宋体"/>
          <w:i w:val="0"/>
          <w:iCs w:val="0"/>
          <w:caps w:val="0"/>
          <w:color w:val="1E1E1E"/>
          <w:spacing w:val="0"/>
          <w:sz w:val="28"/>
          <w:szCs w:val="28"/>
          <w:highlight w:val="none"/>
          <w:shd w:val="clear" w:fill="FFFFFF"/>
          <w:lang w:eastAsia="zh-CN"/>
        </w:rPr>
        <w:t>人数</w:t>
      </w:r>
      <w:r>
        <w:rPr>
          <w:rFonts w:hint="eastAsia" w:ascii="宋体" w:hAnsi="宋体" w:eastAsia="宋体" w:cs="宋体"/>
          <w:i w:val="0"/>
          <w:iCs w:val="0"/>
          <w:caps w:val="0"/>
          <w:color w:val="1E1E1E"/>
          <w:spacing w:val="0"/>
          <w:sz w:val="28"/>
          <w:szCs w:val="28"/>
          <w:highlight w:val="none"/>
          <w:shd w:val="clear" w:fill="FFFFFF"/>
        </w:rPr>
        <w:t>8人，实际人数</w:t>
      </w:r>
      <w:r>
        <w:rPr>
          <w:rFonts w:hint="eastAsia" w:ascii="宋体" w:hAnsi="宋体" w:eastAsia="宋体" w:cs="宋体"/>
          <w:i w:val="0"/>
          <w:iCs w:val="0"/>
          <w:caps w:val="0"/>
          <w:color w:val="1E1E1E"/>
          <w:spacing w:val="0"/>
          <w:sz w:val="28"/>
          <w:szCs w:val="28"/>
          <w:highlight w:val="none"/>
          <w:shd w:val="clear" w:fill="FFFFFF"/>
          <w:lang w:val="en-US" w:eastAsia="zh-CN"/>
        </w:rPr>
        <w:t>18</w:t>
      </w:r>
      <w:r>
        <w:rPr>
          <w:rFonts w:hint="eastAsia" w:ascii="宋体" w:hAnsi="宋体" w:eastAsia="宋体" w:cs="宋体"/>
          <w:i w:val="0"/>
          <w:iCs w:val="0"/>
          <w:caps w:val="0"/>
          <w:color w:val="1E1E1E"/>
          <w:spacing w:val="0"/>
          <w:sz w:val="28"/>
          <w:szCs w:val="28"/>
          <w:highlight w:val="none"/>
          <w:shd w:val="clear" w:fill="FFFFFF"/>
        </w:rPr>
        <w:t>人，离退休</w:t>
      </w:r>
      <w:r>
        <w:rPr>
          <w:rFonts w:hint="eastAsia" w:ascii="宋体" w:hAnsi="宋体" w:eastAsia="宋体" w:cs="宋体"/>
          <w:i w:val="0"/>
          <w:iCs w:val="0"/>
          <w:caps w:val="0"/>
          <w:color w:val="1E1E1E"/>
          <w:spacing w:val="0"/>
          <w:sz w:val="28"/>
          <w:szCs w:val="28"/>
          <w:highlight w:val="none"/>
          <w:shd w:val="clear" w:fill="FFFFFF"/>
          <w:lang w:val="en-US" w:eastAsia="zh-CN"/>
        </w:rPr>
        <w:t>6</w:t>
      </w:r>
      <w:r>
        <w:rPr>
          <w:rFonts w:hint="eastAsia" w:ascii="宋体" w:hAnsi="宋体" w:eastAsia="宋体" w:cs="宋体"/>
          <w:i w:val="0"/>
          <w:iCs w:val="0"/>
          <w:caps w:val="0"/>
          <w:color w:val="1E1E1E"/>
          <w:spacing w:val="0"/>
          <w:sz w:val="28"/>
          <w:szCs w:val="28"/>
          <w:highlight w:val="none"/>
          <w:shd w:val="clear" w:fill="FFFFFF"/>
        </w:rPr>
        <w:t>人，遗属补助人数0人，小车编制数0台，实际无，房屋租用面积147平方米。</w:t>
      </w:r>
    </w:p>
    <w:p>
      <w:pPr>
        <w:numPr>
          <w:ilvl w:val="0"/>
          <w:numId w:val="0"/>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（二）主要工作职责</w:t>
      </w:r>
    </w:p>
    <w:p>
      <w:pPr>
        <w:keepNext w:val="0"/>
        <w:keepLines w:val="0"/>
        <w:widowControl/>
        <w:suppressLineNumbers w:val="0"/>
        <w:shd w:val="clear" w:fill="FFFFFF"/>
        <w:spacing w:before="0" w:beforeAutospacing="1" w:after="0" w:afterAutospacing="1" w:line="480" w:lineRule="atLeast"/>
        <w:ind w:left="0" w:right="0" w:firstLine="480"/>
        <w:jc w:val="left"/>
        <w:rPr>
          <w:rFonts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1、宣传、贯彻和执行国家、省、市、区关于住房和城乡建设事业的方针、政策和法规，拟订全区住房和城乡建设相关行业发展战略、中长期规划、年度计划及政策和规章制度并监督执行。</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2、综合管理城市建设和城建监察工作；研究提出新城发展规划，参与编制新城发展计划，负责城区基础设施建设管理，指导集镇扩建管理工作。</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3、负责全区住房制度政策规定、改革方案的拟定和实施，全区住房保障规划的制度和落实，经济适用房和廉租住房的建设和管理。</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4、负责管理全区建筑市场（包括建筑劳务市场、勘察设计市场、房地产市场、招投标市场和施工现场等），负责全区建筑施工监督管理和查处建筑市场违法违规行为，组织建设工程质量事故和安全事故的调查处理，参与重点工程建设管理。</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5、负责区内的各类建设项目的报建审批，代理颁发全市统一编号的《中标通知书》和《建设施工许可证》。</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6、依法依规归集应用于住房和城乡建设的各类资金，具体负责城乡建设项目资金计划、管理和使用。</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7、加强和推进建筑节能，负责和指导全区规划、建设和管理工作；负责城市标志性建筑的保护工作。</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8、研究制订全区建设行业教育的发展规划、人才培养规划，负责建设职工队伍培训和继续教育。</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宋体" w:hAnsi="宋体" w:eastAsia="宋体" w:cs="宋体"/>
          <w:color w:val="444444"/>
          <w:kern w:val="0"/>
          <w:sz w:val="28"/>
          <w:szCs w:val="28"/>
          <w:shd w:val="clear" w:fill="FFFFFF"/>
        </w:rPr>
      </w:pPr>
      <w:r>
        <w:rPr>
          <w:rFonts w:hint="eastAsia" w:ascii="宋体" w:hAnsi="宋体" w:eastAsia="宋体" w:cs="宋体"/>
          <w:i w:val="0"/>
          <w:iCs w:val="0"/>
          <w:caps w:val="0"/>
          <w:color w:val="1E1E1E"/>
          <w:spacing w:val="0"/>
          <w:kern w:val="0"/>
          <w:sz w:val="28"/>
          <w:szCs w:val="28"/>
          <w:shd w:val="clear" w:fill="FFFFFF"/>
          <w:lang w:val="en-US" w:eastAsia="zh-CN" w:bidi="ar"/>
        </w:rPr>
        <w:t>9、完成区委、区政府交办的其他工作。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360" w:lineRule="auto"/>
        <w:ind w:right="0"/>
        <w:jc w:val="left"/>
        <w:textAlignment w:val="auto"/>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b/>
          <w:bCs/>
          <w:i w:val="0"/>
          <w:iCs w:val="0"/>
          <w:caps w:val="0"/>
          <w:color w:val="auto"/>
          <w:spacing w:val="0"/>
          <w:sz w:val="28"/>
          <w:szCs w:val="28"/>
          <w:shd w:val="clear" w:fill="FFFFFF"/>
          <w:lang w:val="en-US" w:eastAsia="zh-CN"/>
        </w:rPr>
      </w:pPr>
      <w:r>
        <w:rPr>
          <w:rFonts w:hint="eastAsia" w:ascii="宋体" w:hAnsi="宋体" w:eastAsia="宋体" w:cs="宋体"/>
          <w:kern w:val="2"/>
          <w:sz w:val="28"/>
          <w:szCs w:val="28"/>
          <w:lang w:val="en-US" w:eastAsia="zh-CN" w:bidi="ar"/>
        </w:rPr>
        <w:t>2022年本部门全年预算数11887.16万元，本年实际支出</w:t>
      </w:r>
      <w:r>
        <w:rPr>
          <w:rFonts w:hint="eastAsia" w:ascii="宋体" w:hAnsi="宋体" w:eastAsia="宋体" w:cs="宋体"/>
          <w:i w:val="0"/>
          <w:iCs w:val="0"/>
          <w:caps w:val="0"/>
          <w:color w:val="000000"/>
          <w:spacing w:val="0"/>
          <w:sz w:val="28"/>
          <w:szCs w:val="28"/>
          <w:lang w:val="en-US" w:eastAsia="zh-CN"/>
        </w:rPr>
        <w:t>11887.16</w:t>
      </w:r>
      <w:r>
        <w:rPr>
          <w:rFonts w:hint="eastAsia" w:ascii="宋体" w:hAnsi="宋体" w:eastAsia="宋体" w:cs="宋体"/>
          <w:i w:val="0"/>
          <w:iCs w:val="0"/>
          <w:caps w:val="0"/>
          <w:color w:val="000000"/>
          <w:spacing w:val="0"/>
          <w:sz w:val="28"/>
          <w:szCs w:val="28"/>
        </w:rPr>
        <w:t>万元</w:t>
      </w:r>
      <w:r>
        <w:rPr>
          <w:rFonts w:hint="eastAsia" w:ascii="宋体" w:hAnsi="宋体" w:eastAsia="宋体" w:cs="宋体"/>
          <w:i w:val="0"/>
          <w:iCs w:val="0"/>
          <w:caps w:val="0"/>
          <w:color w:val="000000"/>
          <w:spacing w:val="0"/>
          <w:sz w:val="28"/>
          <w:szCs w:val="28"/>
          <w:lang w:eastAsia="zh-CN"/>
        </w:rPr>
        <w:t>，完成全年预算的</w:t>
      </w:r>
      <w:r>
        <w:rPr>
          <w:rFonts w:hint="eastAsia" w:ascii="宋体" w:hAnsi="宋体" w:eastAsia="宋体" w:cs="宋体"/>
          <w:i w:val="0"/>
          <w:iCs w:val="0"/>
          <w:caps w:val="0"/>
          <w:color w:val="000000"/>
          <w:spacing w:val="0"/>
          <w:sz w:val="28"/>
          <w:szCs w:val="28"/>
          <w:lang w:val="en-US" w:eastAsia="zh-CN"/>
        </w:rPr>
        <w:t>100%</w:t>
      </w:r>
      <w:r>
        <w:rPr>
          <w:rFonts w:hint="eastAsia" w:ascii="宋体" w:hAnsi="宋体" w:eastAsia="宋体" w:cs="宋体"/>
          <w:i w:val="0"/>
          <w:iCs w:val="0"/>
          <w:caps w:val="0"/>
          <w:color w:val="000000"/>
          <w:spacing w:val="0"/>
          <w:sz w:val="28"/>
          <w:szCs w:val="28"/>
        </w:rPr>
        <w:t>。与上一年度相比，</w:t>
      </w:r>
      <w:r>
        <w:rPr>
          <w:rFonts w:hint="eastAsia" w:ascii="宋体" w:hAnsi="宋体" w:eastAsia="宋体" w:cs="宋体"/>
          <w:i w:val="0"/>
          <w:iCs w:val="0"/>
          <w:caps w:val="0"/>
          <w:color w:val="000000"/>
          <w:spacing w:val="0"/>
          <w:sz w:val="28"/>
          <w:szCs w:val="28"/>
          <w:lang w:eastAsia="zh-CN"/>
        </w:rPr>
        <w:t>实际支出增加</w:t>
      </w:r>
      <w:r>
        <w:rPr>
          <w:rFonts w:hint="eastAsia" w:ascii="宋体" w:hAnsi="宋体" w:eastAsia="宋体" w:cs="宋体"/>
          <w:i w:val="0"/>
          <w:iCs w:val="0"/>
          <w:caps w:val="0"/>
          <w:color w:val="000000"/>
          <w:spacing w:val="0"/>
          <w:sz w:val="28"/>
          <w:szCs w:val="28"/>
          <w:lang w:val="en-US" w:eastAsia="zh-CN"/>
        </w:rPr>
        <w:t>5596.5</w:t>
      </w:r>
      <w:r>
        <w:rPr>
          <w:rFonts w:hint="eastAsia" w:ascii="宋体" w:hAnsi="宋体" w:eastAsia="宋体" w:cs="宋体"/>
          <w:i w:val="0"/>
          <w:iCs w:val="0"/>
          <w:caps w:val="0"/>
          <w:color w:val="000000"/>
          <w:spacing w:val="0"/>
          <w:sz w:val="28"/>
          <w:szCs w:val="28"/>
        </w:rPr>
        <w:t>万元</w:t>
      </w:r>
      <w:r>
        <w:rPr>
          <w:rFonts w:hint="eastAsia" w:ascii="宋体" w:hAnsi="宋体" w:eastAsia="宋体" w:cs="宋体"/>
          <w:i w:val="0"/>
          <w:iCs w:val="0"/>
          <w:caps w:val="0"/>
          <w:color w:val="000000"/>
          <w:spacing w:val="0"/>
          <w:sz w:val="28"/>
          <w:szCs w:val="28"/>
          <w:lang w:eastAsia="zh-CN"/>
        </w:rPr>
        <w:t>，增加</w:t>
      </w:r>
      <w:r>
        <w:rPr>
          <w:rFonts w:hint="eastAsia" w:ascii="宋体" w:hAnsi="宋体" w:eastAsia="宋体" w:cs="宋体"/>
          <w:i w:val="0"/>
          <w:iCs w:val="0"/>
          <w:caps w:val="0"/>
          <w:color w:val="000000"/>
          <w:spacing w:val="0"/>
          <w:sz w:val="28"/>
          <w:szCs w:val="28"/>
          <w:lang w:val="en-US" w:eastAsia="zh-CN"/>
        </w:rPr>
        <w:t>88.97</w:t>
      </w:r>
      <w:r>
        <w:rPr>
          <w:rFonts w:hint="eastAsia" w:ascii="宋体" w:hAnsi="宋体" w:eastAsia="宋体" w:cs="宋体"/>
          <w:i w:val="0"/>
          <w:iCs w:val="0"/>
          <w:caps w:val="0"/>
          <w:color w:val="000000"/>
          <w:spacing w:val="0"/>
          <w:sz w:val="28"/>
          <w:szCs w:val="28"/>
        </w:rPr>
        <w:t>%。主要原因是</w:t>
      </w:r>
      <w:r>
        <w:rPr>
          <w:rFonts w:hint="eastAsia" w:ascii="宋体" w:hAnsi="宋体" w:eastAsia="宋体" w:cs="宋体"/>
          <w:i w:val="0"/>
          <w:iCs w:val="0"/>
          <w:caps w:val="0"/>
          <w:color w:val="000000"/>
          <w:spacing w:val="0"/>
          <w:sz w:val="28"/>
          <w:szCs w:val="28"/>
          <w:lang w:eastAsia="zh-CN"/>
        </w:rPr>
        <w:t>本年度增加了老旧小区改造及居民自建房安全整治项目，项目资金增加。</w:t>
      </w:r>
    </w:p>
    <w:p>
      <w:pPr>
        <w:spacing w:line="480" w:lineRule="auto"/>
        <w:ind w:firstLine="560" w:firstLineChars="20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rPr>
        <w:t>2022年度收入合计</w:t>
      </w:r>
      <w:r>
        <w:rPr>
          <w:rFonts w:hint="eastAsia" w:ascii="宋体" w:hAnsi="宋体" w:eastAsia="宋体" w:cs="宋体"/>
          <w:kern w:val="2"/>
          <w:sz w:val="28"/>
          <w:szCs w:val="28"/>
          <w:lang w:val="en-US" w:eastAsia="zh-CN" w:bidi="ar"/>
        </w:rPr>
        <w:t>11887.16</w:t>
      </w:r>
      <w:r>
        <w:rPr>
          <w:rFonts w:hint="eastAsia" w:ascii="宋体" w:hAnsi="宋体" w:eastAsia="宋体" w:cs="宋体"/>
          <w:i w:val="0"/>
          <w:iCs w:val="0"/>
          <w:caps w:val="0"/>
          <w:color w:val="000000"/>
          <w:spacing w:val="0"/>
          <w:sz w:val="28"/>
          <w:szCs w:val="28"/>
        </w:rPr>
        <w:t>万元，其中：财政拨款收入</w:t>
      </w:r>
      <w:r>
        <w:rPr>
          <w:rFonts w:hint="eastAsia" w:ascii="宋体" w:hAnsi="宋体" w:eastAsia="宋体" w:cs="宋体"/>
          <w:i w:val="0"/>
          <w:iCs w:val="0"/>
          <w:caps w:val="0"/>
          <w:color w:val="000000"/>
          <w:spacing w:val="0"/>
          <w:sz w:val="28"/>
          <w:szCs w:val="28"/>
          <w:lang w:val="en-US" w:eastAsia="zh-CN"/>
        </w:rPr>
        <w:t>11154.05</w:t>
      </w:r>
      <w:r>
        <w:rPr>
          <w:rFonts w:hint="eastAsia" w:ascii="宋体" w:hAnsi="宋体" w:eastAsia="宋体" w:cs="宋体"/>
          <w:i w:val="0"/>
          <w:iCs w:val="0"/>
          <w:caps w:val="0"/>
          <w:color w:val="000000"/>
          <w:spacing w:val="0"/>
          <w:sz w:val="28"/>
          <w:szCs w:val="28"/>
        </w:rPr>
        <w:t>万元，占</w:t>
      </w:r>
      <w:r>
        <w:rPr>
          <w:rFonts w:hint="eastAsia" w:ascii="宋体" w:hAnsi="宋体" w:eastAsia="宋体" w:cs="宋体"/>
          <w:i w:val="0"/>
          <w:iCs w:val="0"/>
          <w:caps w:val="0"/>
          <w:color w:val="000000"/>
          <w:spacing w:val="0"/>
          <w:sz w:val="28"/>
          <w:szCs w:val="28"/>
          <w:lang w:val="en-US" w:eastAsia="zh-CN"/>
        </w:rPr>
        <w:t>93.83</w:t>
      </w:r>
      <w:r>
        <w:rPr>
          <w:rFonts w:hint="eastAsia" w:ascii="宋体" w:hAnsi="宋体" w:eastAsia="宋体" w:cs="宋体"/>
          <w:i w:val="0"/>
          <w:iCs w:val="0"/>
          <w:caps w:val="0"/>
          <w:color w:val="000000"/>
          <w:spacing w:val="0"/>
          <w:sz w:val="28"/>
          <w:szCs w:val="28"/>
        </w:rPr>
        <w:t>%；上级补助收入0万元，占0%；事业收入0万元，占0%；经营收入0万元，占0%；附属单位上缴收入0万元，占0%；其他收入</w:t>
      </w:r>
      <w:r>
        <w:rPr>
          <w:rFonts w:hint="eastAsia" w:ascii="宋体" w:hAnsi="宋体" w:eastAsia="宋体" w:cs="宋体"/>
          <w:i w:val="0"/>
          <w:iCs w:val="0"/>
          <w:caps w:val="0"/>
          <w:color w:val="000000"/>
          <w:spacing w:val="0"/>
          <w:sz w:val="28"/>
          <w:szCs w:val="28"/>
          <w:lang w:val="en-US" w:eastAsia="zh-CN"/>
        </w:rPr>
        <w:t>733.11</w:t>
      </w:r>
      <w:r>
        <w:rPr>
          <w:rFonts w:hint="eastAsia" w:ascii="宋体" w:hAnsi="宋体" w:eastAsia="宋体" w:cs="宋体"/>
          <w:i w:val="0"/>
          <w:iCs w:val="0"/>
          <w:caps w:val="0"/>
          <w:color w:val="000000"/>
          <w:spacing w:val="0"/>
          <w:sz w:val="28"/>
          <w:szCs w:val="28"/>
        </w:rPr>
        <w:t>万元，占</w:t>
      </w:r>
      <w:r>
        <w:rPr>
          <w:rFonts w:hint="eastAsia" w:ascii="宋体" w:hAnsi="宋体" w:eastAsia="宋体" w:cs="宋体"/>
          <w:i w:val="0"/>
          <w:iCs w:val="0"/>
          <w:caps w:val="0"/>
          <w:color w:val="000000"/>
          <w:spacing w:val="0"/>
          <w:sz w:val="28"/>
          <w:szCs w:val="28"/>
          <w:lang w:val="en-US" w:eastAsia="zh-CN"/>
        </w:rPr>
        <w:t>6.17</w:t>
      </w:r>
      <w:r>
        <w:rPr>
          <w:rFonts w:hint="eastAsia" w:ascii="宋体" w:hAnsi="宋体" w:eastAsia="宋体" w:cs="宋体"/>
          <w:i w:val="0"/>
          <w:iCs w:val="0"/>
          <w:caps w:val="0"/>
          <w:color w:val="000000"/>
          <w:spacing w:val="0"/>
          <w:sz w:val="28"/>
          <w:szCs w:val="28"/>
        </w:rPr>
        <w:t>%</w:t>
      </w:r>
    </w:p>
    <w:p>
      <w:pPr>
        <w:spacing w:line="480" w:lineRule="auto"/>
        <w:ind w:firstLine="560" w:firstLineChars="200"/>
        <w:jc w:val="left"/>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rPr>
        <w:t>2022年度支出合计</w:t>
      </w:r>
      <w:r>
        <w:rPr>
          <w:rFonts w:hint="eastAsia" w:ascii="宋体" w:hAnsi="宋体" w:eastAsia="宋体" w:cs="宋体"/>
          <w:kern w:val="2"/>
          <w:sz w:val="28"/>
          <w:szCs w:val="28"/>
          <w:lang w:val="en-US" w:eastAsia="zh-CN" w:bidi="ar"/>
        </w:rPr>
        <w:t>11887.16</w:t>
      </w:r>
      <w:r>
        <w:rPr>
          <w:rFonts w:hint="eastAsia" w:ascii="宋体" w:hAnsi="宋体" w:eastAsia="宋体" w:cs="宋体"/>
          <w:i w:val="0"/>
          <w:iCs w:val="0"/>
          <w:caps w:val="0"/>
          <w:color w:val="000000"/>
          <w:spacing w:val="0"/>
          <w:sz w:val="28"/>
          <w:szCs w:val="28"/>
        </w:rPr>
        <w:t>万元，其中：基本支出</w:t>
      </w:r>
      <w:r>
        <w:rPr>
          <w:rFonts w:hint="eastAsia" w:ascii="宋体" w:hAnsi="宋体" w:eastAsia="宋体" w:cs="宋体"/>
          <w:i w:val="0"/>
          <w:iCs w:val="0"/>
          <w:caps w:val="0"/>
          <w:color w:val="000000"/>
          <w:spacing w:val="0"/>
          <w:sz w:val="28"/>
          <w:szCs w:val="28"/>
          <w:lang w:val="en-US" w:eastAsia="zh-CN"/>
        </w:rPr>
        <w:t>502.32</w:t>
      </w:r>
      <w:r>
        <w:rPr>
          <w:rFonts w:hint="eastAsia" w:ascii="宋体" w:hAnsi="宋体" w:eastAsia="宋体" w:cs="宋体"/>
          <w:i w:val="0"/>
          <w:iCs w:val="0"/>
          <w:caps w:val="0"/>
          <w:color w:val="000000"/>
          <w:spacing w:val="0"/>
          <w:sz w:val="28"/>
          <w:szCs w:val="28"/>
        </w:rPr>
        <w:t>万元，占</w:t>
      </w:r>
      <w:r>
        <w:rPr>
          <w:rFonts w:hint="eastAsia" w:ascii="宋体" w:hAnsi="宋体" w:eastAsia="宋体" w:cs="宋体"/>
          <w:i w:val="0"/>
          <w:iCs w:val="0"/>
          <w:caps w:val="0"/>
          <w:color w:val="000000"/>
          <w:spacing w:val="0"/>
          <w:sz w:val="28"/>
          <w:szCs w:val="28"/>
          <w:lang w:val="en-US" w:eastAsia="zh-CN"/>
        </w:rPr>
        <w:t>4.23</w:t>
      </w:r>
      <w:r>
        <w:rPr>
          <w:rFonts w:hint="eastAsia" w:ascii="宋体" w:hAnsi="宋体" w:eastAsia="宋体" w:cs="宋体"/>
          <w:i w:val="0"/>
          <w:iCs w:val="0"/>
          <w:caps w:val="0"/>
          <w:color w:val="000000"/>
          <w:spacing w:val="0"/>
          <w:sz w:val="28"/>
          <w:szCs w:val="28"/>
        </w:rPr>
        <w:t>%；项目支出</w:t>
      </w:r>
      <w:r>
        <w:rPr>
          <w:rFonts w:hint="eastAsia" w:ascii="宋体" w:hAnsi="宋体" w:eastAsia="宋体" w:cs="宋体"/>
          <w:i w:val="0"/>
          <w:iCs w:val="0"/>
          <w:caps w:val="0"/>
          <w:color w:val="000000"/>
          <w:spacing w:val="0"/>
          <w:sz w:val="28"/>
          <w:szCs w:val="28"/>
          <w:lang w:val="en-US" w:eastAsia="zh-CN"/>
        </w:rPr>
        <w:t>11384.84</w:t>
      </w:r>
      <w:r>
        <w:rPr>
          <w:rFonts w:hint="eastAsia" w:ascii="宋体" w:hAnsi="宋体" w:eastAsia="宋体" w:cs="宋体"/>
          <w:i w:val="0"/>
          <w:iCs w:val="0"/>
          <w:caps w:val="0"/>
          <w:color w:val="000000"/>
          <w:spacing w:val="0"/>
          <w:sz w:val="28"/>
          <w:szCs w:val="28"/>
        </w:rPr>
        <w:t>万元，占</w:t>
      </w:r>
      <w:r>
        <w:rPr>
          <w:rFonts w:hint="eastAsia" w:ascii="宋体" w:hAnsi="宋体" w:eastAsia="宋体" w:cs="宋体"/>
          <w:i w:val="0"/>
          <w:iCs w:val="0"/>
          <w:caps w:val="0"/>
          <w:color w:val="000000"/>
          <w:spacing w:val="0"/>
          <w:sz w:val="28"/>
          <w:szCs w:val="28"/>
          <w:lang w:val="en-US" w:eastAsia="zh-CN"/>
        </w:rPr>
        <w:t>95.77</w:t>
      </w:r>
      <w:r>
        <w:rPr>
          <w:rFonts w:hint="eastAsia" w:ascii="宋体" w:hAnsi="宋体" w:eastAsia="宋体" w:cs="宋体"/>
          <w:i w:val="0"/>
          <w:iCs w:val="0"/>
          <w:caps w:val="0"/>
          <w:color w:val="000000"/>
          <w:spacing w:val="0"/>
          <w:sz w:val="28"/>
          <w:szCs w:val="28"/>
        </w:rPr>
        <w:t>%；上缴上级支出0万元，占0%；经营支出0万元，占0%；对附属单位补助支出0万元，占0%。</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2022年度北塔区住建局基本支出年初预算安排为502.32万元，本年实际支出为502.32万元，主要为人员经费支出和公用经费支出，其中人员经费支出255.97万元、公用经费支出246.35万元。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w:t>
      </w:r>
      <w:r>
        <w:rPr>
          <w:rFonts w:hint="eastAsia" w:ascii="宋体" w:hAnsi="宋体" w:eastAsia="宋体" w:cs="宋体"/>
          <w:i w:val="0"/>
          <w:iCs w:val="0"/>
          <w:caps w:val="0"/>
          <w:color w:val="000000"/>
          <w:spacing w:val="0"/>
          <w:sz w:val="28"/>
          <w:szCs w:val="28"/>
          <w:lang w:val="en-US" w:eastAsia="zh-CN"/>
        </w:rPr>
        <w:t>11384.84</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万元，本年实际支出为</w:t>
      </w:r>
      <w:r>
        <w:rPr>
          <w:rFonts w:hint="eastAsia" w:ascii="宋体" w:hAnsi="宋体" w:eastAsia="宋体" w:cs="宋体"/>
          <w:i w:val="0"/>
          <w:iCs w:val="0"/>
          <w:caps w:val="0"/>
          <w:color w:val="000000"/>
          <w:spacing w:val="0"/>
          <w:sz w:val="28"/>
          <w:szCs w:val="28"/>
          <w:lang w:val="en-US" w:eastAsia="zh-CN"/>
        </w:rPr>
        <w:t>11384.84</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万元，主要为北塔区</w:t>
      </w:r>
      <w:r>
        <w:rPr>
          <w:rFonts w:hint="eastAsia" w:ascii="宋体" w:hAnsi="宋体" w:eastAsia="宋体" w:cs="宋体"/>
          <w:i w:val="0"/>
          <w:iCs w:val="0"/>
          <w:caps w:val="0"/>
          <w:color w:val="000000"/>
          <w:spacing w:val="0"/>
          <w:sz w:val="28"/>
          <w:szCs w:val="28"/>
          <w:lang w:eastAsia="zh-CN"/>
        </w:rPr>
        <w:t>老旧小区改造及居民自建房安全整治项目支出</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1、预算执行情况。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840" w:firstLineChars="30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 2022年财政拨款预算执行数11154.04万元，预算安排数11154.04万元，预算执行率为100%；⑵公用经费预算178.17万元，实际支出178.17万元，公用经费控制率为100%；、（3）“三公经费”年初预算安排0万元，实际支出0万元，“三公经费”控制率为0%。（4）政府采购年初预算10.2万元，实际政府采购金额1469.75万元，政府采购执行率1459.55%。</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预决算信息公开情况。</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Theme="minorEastAsia" w:hAnsiTheme="minorEastAsia" w:eastAsiaTheme="minorEastAsia" w:cstheme="minorEastAsia"/>
          <w:sz w:val="28"/>
          <w:szCs w:val="28"/>
          <w:lang w:eastAsia="zh-CN"/>
        </w:rPr>
        <w:t>北</w:t>
      </w:r>
      <w:r>
        <w:rPr>
          <w:rFonts w:hint="eastAsia" w:asciiTheme="minorEastAsia" w:hAnsiTheme="minorEastAsia" w:eastAsiaTheme="minorEastAsia" w:cstheme="minorEastAsia"/>
          <w:b w:val="0"/>
          <w:bCs w:val="0"/>
          <w:sz w:val="28"/>
          <w:szCs w:val="28"/>
          <w:lang w:eastAsia="zh-CN"/>
        </w:rPr>
        <w:t>塔区</w:t>
      </w:r>
      <w:r>
        <w:rPr>
          <w:rFonts w:hint="eastAsia" w:asciiTheme="minorEastAsia" w:hAnsiTheme="minorEastAsia" w:cstheme="minorEastAsia"/>
          <w:b w:val="0"/>
          <w:bCs w:val="0"/>
          <w:sz w:val="28"/>
          <w:szCs w:val="28"/>
          <w:lang w:eastAsia="zh-CN"/>
        </w:rPr>
        <w:t>住建局</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leftChars="0" w:right="0" w:firstLine="420" w:firstLineChars="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资产管理情况。</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420" w:leftChars="0" w:right="0" w:rightChars="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b w:val="0"/>
          <w:bCs w:val="0"/>
          <w:sz w:val="28"/>
          <w:szCs w:val="28"/>
          <w:lang w:eastAsia="zh-CN"/>
        </w:rPr>
        <w:t>北塔区住建局</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拥有各类资产总额402.03万元，其中流动资产328.7万元，固定资产8.52万元。单位为加强资产管理，内部制定了资产管理制度，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numPr>
          <w:ilvl w:val="0"/>
          <w:numId w:val="2"/>
        </w:num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职责覆行和主要绩效情况</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color w:val="444444"/>
          <w:kern w:val="0"/>
          <w:sz w:val="28"/>
          <w:szCs w:val="28"/>
          <w:shd w:val="clear" w:fill="FFFFFF"/>
          <w:lang w:eastAsia="zh-CN"/>
        </w:rPr>
        <w:t>202</w:t>
      </w: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年，</w:t>
      </w:r>
      <w:r>
        <w:rPr>
          <w:rFonts w:hint="eastAsia" w:ascii="宋体" w:hAnsi="宋体" w:eastAsia="宋体" w:cs="宋体"/>
          <w:color w:val="444444"/>
          <w:kern w:val="0"/>
          <w:sz w:val="28"/>
          <w:szCs w:val="28"/>
          <w:shd w:val="clear" w:fill="FFFFFF"/>
          <w:lang w:eastAsia="zh-CN"/>
        </w:rPr>
        <w:t>单位</w:t>
      </w:r>
      <w:r>
        <w:rPr>
          <w:rFonts w:hint="eastAsia" w:ascii="宋体" w:hAnsi="宋体" w:eastAsia="宋体" w:cs="宋体"/>
          <w:color w:val="444444"/>
          <w:kern w:val="0"/>
          <w:sz w:val="28"/>
          <w:szCs w:val="28"/>
          <w:shd w:val="clear" w:fill="FFFFFF"/>
        </w:rPr>
        <w:t>充分履行职责职能，严格执行各项管理制度，经济、社会等效益显著、社会公众满意度上升，较好地完成了全年工作目标。</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firstLine="280" w:firstLineChars="100"/>
        <w:jc w:val="left"/>
        <w:textAlignment w:val="auto"/>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i w:val="0"/>
          <w:iCs w:val="0"/>
          <w:caps w:val="0"/>
          <w:color w:val="232323"/>
          <w:spacing w:val="0"/>
          <w:kern w:val="0"/>
          <w:sz w:val="28"/>
          <w:szCs w:val="28"/>
          <w:shd w:val="clear" w:color="auto" w:fill="FFFFFF"/>
          <w:lang w:val="en-US" w:eastAsia="zh-CN" w:bidi="ar"/>
        </w:rPr>
        <w:t>1.预算执行</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firstLine="280" w:firstLineChars="100"/>
        <w:jc w:val="left"/>
        <w:textAlignment w:val="auto"/>
        <w:rPr>
          <w:rFonts w:hint="eastAsia" w:ascii="宋体" w:hAnsi="宋体" w:eastAsia="宋体" w:cs="宋体"/>
          <w:i w:val="0"/>
          <w:iCs w:val="0"/>
          <w:caps w:val="0"/>
          <w:color w:val="232323"/>
          <w:spacing w:val="0"/>
          <w:kern w:val="0"/>
          <w:sz w:val="28"/>
          <w:szCs w:val="28"/>
          <w:shd w:val="clear" w:color="auto" w:fill="FFFFFF"/>
          <w:lang w:val="en-US" w:eastAsia="zh-CN" w:bidi="ar"/>
        </w:rPr>
      </w:pPr>
      <w:r>
        <w:rPr>
          <w:rFonts w:hint="eastAsia" w:ascii="宋体" w:hAnsi="宋体" w:eastAsia="宋体" w:cs="宋体"/>
          <w:i w:val="0"/>
          <w:iCs w:val="0"/>
          <w:caps w:val="0"/>
          <w:color w:val="232323"/>
          <w:spacing w:val="0"/>
          <w:kern w:val="0"/>
          <w:sz w:val="28"/>
          <w:szCs w:val="28"/>
          <w:shd w:val="clear" w:color="auto" w:fill="FFFFFF"/>
          <w:lang w:val="en-US" w:eastAsia="zh-CN" w:bidi="ar"/>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北塔区政府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firstLine="280" w:firstLineChars="100"/>
        <w:jc w:val="left"/>
        <w:textAlignment w:val="auto"/>
        <w:rPr>
          <w:rFonts w:hint="eastAsia" w:ascii="宋体" w:hAnsi="宋体" w:eastAsia="宋体" w:cs="宋体"/>
          <w:i w:val="0"/>
          <w:iCs w:val="0"/>
          <w:caps w:val="0"/>
          <w:color w:val="232323"/>
          <w:spacing w:val="0"/>
          <w:kern w:val="0"/>
          <w:sz w:val="28"/>
          <w:szCs w:val="28"/>
          <w:shd w:val="clear" w:color="auto" w:fill="FFFFFF"/>
          <w:lang w:val="en-US" w:eastAsia="zh-CN" w:bidi="ar"/>
        </w:rPr>
      </w:pPr>
      <w:r>
        <w:rPr>
          <w:rFonts w:hint="eastAsia" w:ascii="宋体" w:hAnsi="宋体" w:eastAsia="宋体" w:cs="宋体"/>
          <w:i w:val="0"/>
          <w:iCs w:val="0"/>
          <w:caps w:val="0"/>
          <w:color w:val="232323"/>
          <w:spacing w:val="0"/>
          <w:kern w:val="0"/>
          <w:sz w:val="28"/>
          <w:szCs w:val="28"/>
          <w:shd w:val="clear" w:color="auto" w:fill="FFFFFF"/>
          <w:lang w:val="en-US" w:eastAsia="zh-CN" w:bidi="ar"/>
        </w:rPr>
        <w:t>2.预算管理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jc w:val="left"/>
        <w:textAlignment w:val="auto"/>
        <w:rPr>
          <w:rFonts w:hint="eastAsia" w:ascii="宋体" w:hAnsi="宋体" w:eastAsia="宋体" w:cs="宋体"/>
          <w:i w:val="0"/>
          <w:iCs w:val="0"/>
          <w:caps w:val="0"/>
          <w:color w:val="232323"/>
          <w:spacing w:val="0"/>
          <w:kern w:val="0"/>
          <w:sz w:val="28"/>
          <w:szCs w:val="28"/>
          <w:shd w:val="clear" w:color="auto" w:fill="FFFFFF"/>
          <w:lang w:val="en-US" w:eastAsia="zh-CN" w:bidi="ar"/>
        </w:rPr>
      </w:pPr>
      <w:r>
        <w:rPr>
          <w:rFonts w:hint="eastAsia" w:ascii="宋体" w:hAnsi="宋体" w:eastAsia="宋体" w:cs="宋体"/>
          <w:i w:val="0"/>
          <w:iCs w:val="0"/>
          <w:caps w:val="0"/>
          <w:color w:val="232323"/>
          <w:spacing w:val="0"/>
          <w:kern w:val="0"/>
          <w:sz w:val="28"/>
          <w:szCs w:val="28"/>
          <w:shd w:val="clear" w:color="auto" w:fill="FFFFFF"/>
          <w:lang w:val="en-US" w:eastAsia="zh-CN" w:bidi="ar"/>
        </w:rPr>
        <w:t>   为规范机关财务管理，建立健全财务管理制度，住建局制订了《北塔区住建局财务管理办法》、《北塔区住建局财务内控制度（试行）》、《北塔区住建局财务集中会审实施办法》等一系列合法合规、较为完整的、具有很强的可操作性财务管理制度。坚持经费预算科学化、精细化，执行控制规范化、责任化，监督检查常态化、同步化。</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right="0" w:rightChars="0" w:firstLine="280" w:firstLineChars="100"/>
        <w:jc w:val="left"/>
        <w:textAlignment w:val="auto"/>
        <w:rPr>
          <w:rFonts w:hint="eastAsia" w:ascii="宋体" w:hAnsi="宋体" w:eastAsia="宋体" w:cs="宋体"/>
          <w:i w:val="0"/>
          <w:iCs w:val="0"/>
          <w:caps w:val="0"/>
          <w:color w:val="232323"/>
          <w:spacing w:val="0"/>
          <w:kern w:val="0"/>
          <w:sz w:val="28"/>
          <w:szCs w:val="28"/>
          <w:shd w:val="clear" w:color="auto" w:fill="FFFFFF"/>
          <w:lang w:val="en-US" w:eastAsia="zh-CN" w:bidi="ar"/>
        </w:rPr>
      </w:pPr>
      <w:r>
        <w:rPr>
          <w:rFonts w:hint="eastAsia" w:ascii="宋体" w:hAnsi="宋体" w:eastAsia="宋体" w:cs="宋体"/>
          <w:i w:val="0"/>
          <w:iCs w:val="0"/>
          <w:caps w:val="0"/>
          <w:color w:val="232323"/>
          <w:spacing w:val="0"/>
          <w:kern w:val="0"/>
          <w:sz w:val="28"/>
          <w:szCs w:val="28"/>
          <w:shd w:val="clear" w:color="auto" w:fill="FFFFFF"/>
          <w:lang w:val="en-US" w:eastAsia="zh-CN" w:bidi="ar"/>
        </w:rPr>
        <w:t xml:space="preserve"> 资金的支付符合国家财经法规和财务管理制度规定，以及有关专项资金管理办法的规定；资金拨付有完整的审批程序和手续；支出符合部门预算批复的用途；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overflowPunct/>
        <w:topLinePunct w:val="0"/>
        <w:autoSpaceDE/>
        <w:autoSpaceDN/>
        <w:bidi w:val="0"/>
        <w:adjustRightInd/>
        <w:snapToGrid w:val="0"/>
        <w:spacing w:before="0" w:beforeAutospacing="0" w:after="0" w:afterAutospacing="0" w:line="360" w:lineRule="auto"/>
        <w:ind w:leftChars="0" w:right="0" w:rightChars="0" w:firstLine="280" w:firstLineChars="100"/>
        <w:jc w:val="left"/>
        <w:textAlignment w:val="auto"/>
        <w:rPr>
          <w:rFonts w:hint="eastAsia" w:ascii="宋体" w:hAnsi="宋体" w:eastAsia="宋体" w:cs="宋体"/>
          <w:i w:val="0"/>
          <w:iCs w:val="0"/>
          <w:caps w:val="0"/>
          <w:color w:val="232323"/>
          <w:spacing w:val="0"/>
          <w:kern w:val="0"/>
          <w:sz w:val="28"/>
          <w:szCs w:val="28"/>
          <w:shd w:val="clear" w:color="auto" w:fill="FFFFFF"/>
          <w:lang w:val="en-US" w:eastAsia="zh-CN" w:bidi="ar"/>
        </w:rPr>
      </w:pPr>
      <w:r>
        <w:rPr>
          <w:rFonts w:hint="eastAsia" w:ascii="宋体" w:hAnsi="宋体" w:eastAsia="宋体" w:cs="宋体"/>
          <w:i w:val="0"/>
          <w:iCs w:val="0"/>
          <w:caps w:val="0"/>
          <w:color w:val="232323"/>
          <w:spacing w:val="0"/>
          <w:kern w:val="0"/>
          <w:sz w:val="28"/>
          <w:szCs w:val="28"/>
          <w:shd w:val="clear" w:color="auto" w:fill="FFFFFF"/>
          <w:lang w:val="en-US" w:eastAsia="zh-CN" w:bidi="ar"/>
        </w:rPr>
        <w:t>3.提升支出绩效</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overflowPunct/>
        <w:topLinePunct w:val="0"/>
        <w:autoSpaceDE/>
        <w:autoSpaceDN/>
        <w:bidi w:val="0"/>
        <w:adjustRightInd/>
        <w:snapToGrid w:val="0"/>
        <w:spacing w:before="0" w:beforeAutospacing="0" w:after="0" w:afterAutospacing="0" w:line="360" w:lineRule="auto"/>
        <w:ind w:right="0" w:rightChars="0" w:firstLine="560" w:firstLineChars="200"/>
        <w:jc w:val="left"/>
        <w:textAlignment w:val="auto"/>
        <w:rPr>
          <w:rFonts w:hint="eastAsia" w:ascii="宋体" w:hAnsi="宋体" w:eastAsia="宋体" w:cs="宋体"/>
          <w:i w:val="0"/>
          <w:iCs w:val="0"/>
          <w:caps w:val="0"/>
          <w:color w:val="232323"/>
          <w:spacing w:val="0"/>
          <w:kern w:val="0"/>
          <w:sz w:val="28"/>
          <w:szCs w:val="28"/>
          <w:shd w:val="clear" w:color="auto" w:fill="FFFFFF"/>
          <w:lang w:val="en-US" w:eastAsia="zh-CN" w:bidi="ar"/>
        </w:rPr>
      </w:pPr>
      <w:r>
        <w:rPr>
          <w:rFonts w:hint="eastAsia" w:ascii="宋体" w:hAnsi="宋体" w:eastAsia="宋体" w:cs="宋体"/>
          <w:i w:val="0"/>
          <w:iCs w:val="0"/>
          <w:caps w:val="0"/>
          <w:color w:val="232323"/>
          <w:spacing w:val="0"/>
          <w:kern w:val="0"/>
          <w:sz w:val="28"/>
          <w:szCs w:val="28"/>
          <w:shd w:val="clear" w:color="auto" w:fill="FFFFFF"/>
          <w:lang w:val="en-US" w:eastAsia="zh-CN" w:bidi="ar"/>
        </w:rPr>
        <w:t>2022年，住建局全面落实省委、省政府和市委、市政府及区政府的工作部署，</w:t>
      </w:r>
      <w:r>
        <w:rPr>
          <w:rFonts w:hint="eastAsia" w:ascii="宋体" w:hAnsi="宋体" w:eastAsia="宋体" w:cs="宋体"/>
          <w:sz w:val="28"/>
          <w:szCs w:val="28"/>
          <w:lang w:eastAsia="zh-CN"/>
        </w:rPr>
        <w:t>紧紧围绕全年工作目标</w:t>
      </w:r>
      <w:r>
        <w:rPr>
          <w:rFonts w:hint="eastAsia" w:ascii="宋体" w:hAnsi="宋体" w:eastAsia="宋体" w:cs="宋体"/>
          <w:i w:val="0"/>
          <w:caps w:val="0"/>
          <w:color w:val="auto"/>
          <w:spacing w:val="0"/>
          <w:kern w:val="0"/>
          <w:sz w:val="28"/>
          <w:szCs w:val="28"/>
          <w:vertAlign w:val="baseline"/>
          <w:lang w:val="en-US" w:eastAsia="zh-CN"/>
        </w:rPr>
        <w:t>，</w:t>
      </w:r>
      <w:r>
        <w:rPr>
          <w:rFonts w:hint="eastAsia" w:ascii="宋体" w:hAnsi="宋体" w:eastAsia="宋体" w:cs="宋体"/>
          <w:b w:val="0"/>
          <w:bCs w:val="0"/>
          <w:sz w:val="28"/>
          <w:szCs w:val="28"/>
          <w:lang w:val="en-US" w:eastAsia="zh-CN"/>
        </w:rPr>
        <w:t>科学谋划，开拓进取，</w:t>
      </w:r>
      <w:r>
        <w:rPr>
          <w:rFonts w:hint="eastAsia" w:ascii="宋体" w:hAnsi="宋体" w:eastAsia="宋体" w:cs="宋体"/>
          <w:i w:val="0"/>
          <w:iCs w:val="0"/>
          <w:caps w:val="0"/>
          <w:color w:val="232323"/>
          <w:spacing w:val="0"/>
          <w:kern w:val="0"/>
          <w:sz w:val="28"/>
          <w:szCs w:val="28"/>
          <w:shd w:val="clear" w:color="auto" w:fill="FFFFFF"/>
          <w:lang w:val="en-US" w:eastAsia="zh-CN" w:bidi="ar"/>
        </w:rPr>
        <w:t>各项工作任务全面完成，财务管理规范，单位行政运行稳定有序。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overflowPunct/>
        <w:topLinePunct w:val="0"/>
        <w:autoSpaceDE/>
        <w:autoSpaceDN/>
        <w:bidi w:val="0"/>
        <w:adjustRightInd/>
        <w:snapToGrid w:val="0"/>
        <w:spacing w:before="0" w:beforeAutospacing="0" w:after="0" w:afterAutospacing="0" w:line="360" w:lineRule="auto"/>
        <w:ind w:right="0" w:rightChars="0"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通过前述对我局整体支出情况的分析，反映出目前在整体支出的预算编制、执行和管理过程中，依然存在一些问题和不足。一是由于我局担负全区整体城市基础设施建设，项目建设较多，随时性变动较大，不可预测性较大；二是预算编制项目与实际支出项目资金有差异；三是预算项目申报的前瞻性不足，基础资料的收集和整理不到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Autospacing="0" w:line="360" w:lineRule="auto"/>
        <w:ind w:right="0" w:rightChars="0"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Chars="0" w:right="0" w:rightChars="0"/>
        <w:jc w:val="left"/>
        <w:textAlignment w:val="auto"/>
        <w:rPr>
          <w:rFonts w:hint="eastAsia" w:ascii="宋体" w:hAnsi="宋体" w:eastAsia="宋体" w:cs="宋体"/>
          <w:i w:val="0"/>
          <w:iCs w:val="0"/>
          <w:caps w:val="0"/>
          <w:color w:val="232323"/>
          <w:spacing w:val="0"/>
          <w:kern w:val="0"/>
          <w:sz w:val="28"/>
          <w:szCs w:val="28"/>
          <w:shd w:val="clear" w:color="auto" w:fill="FFFFFF"/>
          <w:lang w:val="en-US" w:eastAsia="zh-CN" w:bidi="ar"/>
        </w:rPr>
      </w:pPr>
      <w:r>
        <w:rPr>
          <w:rFonts w:hint="eastAsia" w:ascii="宋体" w:hAnsi="宋体" w:eastAsia="宋体" w:cs="宋体"/>
          <w:i w:val="0"/>
          <w:iCs w:val="0"/>
          <w:caps w:val="0"/>
          <w:color w:val="232323"/>
          <w:spacing w:val="0"/>
          <w:kern w:val="0"/>
          <w:sz w:val="28"/>
          <w:szCs w:val="28"/>
          <w:shd w:val="clear" w:color="auto" w:fill="FFFFFF"/>
          <w:lang w:val="en-US" w:eastAsia="zh-CN" w:bidi="ar"/>
        </w:rPr>
        <w:t>（一）进一步加强项目资金管理</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Chars="0" w:right="0" w:rightChars="0"/>
        <w:jc w:val="left"/>
        <w:textAlignment w:val="auto"/>
        <w:rPr>
          <w:rFonts w:hint="eastAsia" w:ascii="宋体" w:hAnsi="宋体" w:eastAsia="宋体" w:cs="宋体"/>
          <w:i w:val="0"/>
          <w:iCs w:val="0"/>
          <w:caps w:val="0"/>
          <w:color w:val="232323"/>
          <w:spacing w:val="0"/>
          <w:kern w:val="0"/>
          <w:sz w:val="28"/>
          <w:szCs w:val="28"/>
          <w:shd w:val="clear" w:color="auto" w:fill="FFFFFF"/>
          <w:lang w:val="en-US" w:eastAsia="zh-CN" w:bidi="ar"/>
        </w:rPr>
      </w:pPr>
      <w:r>
        <w:rPr>
          <w:rFonts w:hint="eastAsia" w:ascii="宋体" w:hAnsi="宋体" w:eastAsia="宋体" w:cs="宋体"/>
          <w:i w:val="0"/>
          <w:iCs w:val="0"/>
          <w:caps w:val="0"/>
          <w:color w:val="232323"/>
          <w:spacing w:val="0"/>
          <w:kern w:val="0"/>
          <w:sz w:val="28"/>
          <w:szCs w:val="28"/>
          <w:shd w:val="clear" w:color="auto" w:fill="FFFFFF"/>
          <w:lang w:val="en-US" w:eastAsia="zh-CN" w:bidi="ar"/>
        </w:rPr>
        <w:t>    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Chars="0" w:right="0" w:rightChars="0"/>
        <w:jc w:val="left"/>
        <w:textAlignment w:val="auto"/>
        <w:rPr>
          <w:rFonts w:hint="eastAsia" w:ascii="宋体" w:hAnsi="宋体" w:eastAsia="宋体" w:cs="宋体"/>
          <w:i w:val="0"/>
          <w:iCs w:val="0"/>
          <w:caps w:val="0"/>
          <w:color w:val="232323"/>
          <w:spacing w:val="0"/>
          <w:kern w:val="0"/>
          <w:sz w:val="28"/>
          <w:szCs w:val="28"/>
          <w:shd w:val="clear" w:color="auto" w:fill="FFFFFF"/>
          <w:lang w:val="en-US" w:eastAsia="zh-CN" w:bidi="ar"/>
        </w:rPr>
      </w:pPr>
      <w:r>
        <w:rPr>
          <w:rFonts w:hint="eastAsia" w:ascii="宋体" w:hAnsi="宋体" w:eastAsia="宋体" w:cs="宋体"/>
          <w:i w:val="0"/>
          <w:iCs w:val="0"/>
          <w:caps w:val="0"/>
          <w:color w:val="232323"/>
          <w:spacing w:val="0"/>
          <w:kern w:val="0"/>
          <w:sz w:val="28"/>
          <w:szCs w:val="28"/>
          <w:shd w:val="clear" w:color="auto" w:fill="FFFFFF"/>
          <w:lang w:val="en-US" w:eastAsia="zh-CN" w:bidi="ar"/>
        </w:rPr>
        <w:t>（二）进一步提高绩效管理水平</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Chars="0" w:right="0" w:rightChars="0"/>
        <w:jc w:val="left"/>
        <w:textAlignment w:val="auto"/>
        <w:rPr>
          <w:rFonts w:hint="eastAsia" w:ascii="宋体" w:hAnsi="宋体" w:eastAsia="宋体" w:cs="宋体"/>
          <w:i w:val="0"/>
          <w:iCs w:val="0"/>
          <w:caps w:val="0"/>
          <w:color w:val="232323"/>
          <w:spacing w:val="0"/>
          <w:kern w:val="0"/>
          <w:sz w:val="28"/>
          <w:szCs w:val="28"/>
          <w:shd w:val="clear" w:color="auto" w:fill="FFFFFF"/>
          <w:lang w:val="en-US" w:eastAsia="zh-CN" w:bidi="ar"/>
        </w:rPr>
      </w:pPr>
      <w:r>
        <w:rPr>
          <w:rFonts w:hint="eastAsia" w:ascii="宋体" w:hAnsi="宋体" w:eastAsia="宋体" w:cs="宋体"/>
          <w:i w:val="0"/>
          <w:iCs w:val="0"/>
          <w:caps w:val="0"/>
          <w:color w:val="232323"/>
          <w:spacing w:val="0"/>
          <w:kern w:val="0"/>
          <w:sz w:val="28"/>
          <w:szCs w:val="28"/>
          <w:shd w:val="clear" w:color="auto" w:fill="FFFFFF"/>
          <w:lang w:val="en-US" w:eastAsia="zh-CN" w:bidi="ar"/>
        </w:rPr>
        <w:t>    加强预算执行的准确性，开展好支出绩效管理工作，运用好绩效评价结果，不断提升绩效管理水平。</w:t>
      </w: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94</w:t>
            </w:r>
          </w:p>
        </w:tc>
      </w:tr>
    </w:tbl>
    <w:p>
      <w:pPr>
        <w:spacing w:line="600" w:lineRule="exact"/>
        <w:rPr>
          <w:rFonts w:ascii="宋体" w:hAnsi="宋体" w:cs="宋体"/>
          <w:kern w:val="0"/>
          <w:sz w:val="32"/>
          <w:szCs w:val="32"/>
        </w:rPr>
      </w:pPr>
      <w:bookmarkStart w:id="1" w:name="_GoBack"/>
      <w:bookmarkEnd w:id="1"/>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360" w:lineRule="auto"/>
        <w:ind w:leftChars="0" w:right="0" w:rightChars="0"/>
        <w:jc w:val="left"/>
        <w:textAlignment w:val="auto"/>
        <w:rPr>
          <w:rFonts w:hint="eastAsia" w:ascii="宋体" w:hAnsi="宋体" w:eastAsia="宋体" w:cs="宋体"/>
          <w:i w:val="0"/>
          <w:iCs w:val="0"/>
          <w:caps w:val="0"/>
          <w:color w:val="232323"/>
          <w:spacing w:val="0"/>
          <w:kern w:val="0"/>
          <w:sz w:val="28"/>
          <w:szCs w:val="28"/>
          <w:shd w:val="clear" w:color="auto" w:fill="FFFFFF"/>
          <w:lang w:val="en-US" w:eastAsia="zh-CN" w:bidi="ar"/>
        </w:rPr>
      </w:pPr>
    </w:p>
    <w:p>
      <w:pPr>
        <w:pStyle w:val="2"/>
        <w:numPr>
          <w:ilvl w:val="0"/>
          <w:numId w:val="0"/>
        </w:numPr>
        <w:ind w:left="420" w:leftChars="0"/>
        <w:rPr>
          <w:rFonts w:hint="eastAsia"/>
          <w:lang w:val="en-US" w:eastAsia="zh-CN"/>
        </w:rPr>
      </w:pPr>
    </w:p>
    <w:p>
      <w:pPr>
        <w:pStyle w:val="10"/>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1CED5"/>
    <w:multiLevelType w:val="singleLevel"/>
    <w:tmpl w:val="4E01CED5"/>
    <w:lvl w:ilvl="0" w:tentative="0">
      <w:start w:val="2"/>
      <w:numFmt w:val="chineseCounting"/>
      <w:suff w:val="nothing"/>
      <w:lvlText w:val="（%1）"/>
      <w:lvlJc w:val="left"/>
      <w:rPr>
        <w:rFonts w:hint="eastAsia"/>
      </w:rPr>
    </w:lvl>
  </w:abstractNum>
  <w:abstractNum w:abstractNumId="1">
    <w:nsid w:val="73B2B319"/>
    <w:multiLevelType w:val="singleLevel"/>
    <w:tmpl w:val="73B2B31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30F1DE7"/>
    <w:rsid w:val="03820DC6"/>
    <w:rsid w:val="05213482"/>
    <w:rsid w:val="058A0D93"/>
    <w:rsid w:val="09E17252"/>
    <w:rsid w:val="0D5E3707"/>
    <w:rsid w:val="11E84674"/>
    <w:rsid w:val="126C42B4"/>
    <w:rsid w:val="13FF71D3"/>
    <w:rsid w:val="15624FA3"/>
    <w:rsid w:val="17042185"/>
    <w:rsid w:val="18F520BE"/>
    <w:rsid w:val="1F010C8F"/>
    <w:rsid w:val="20F63895"/>
    <w:rsid w:val="2110333D"/>
    <w:rsid w:val="23166485"/>
    <w:rsid w:val="242B5193"/>
    <w:rsid w:val="26166273"/>
    <w:rsid w:val="28B159E4"/>
    <w:rsid w:val="2B032004"/>
    <w:rsid w:val="2C7529D1"/>
    <w:rsid w:val="2D6C05C8"/>
    <w:rsid w:val="2E1E05AB"/>
    <w:rsid w:val="2EC14499"/>
    <w:rsid w:val="3523648D"/>
    <w:rsid w:val="3619015E"/>
    <w:rsid w:val="366F0F07"/>
    <w:rsid w:val="36E22B02"/>
    <w:rsid w:val="37A26170"/>
    <w:rsid w:val="39A72365"/>
    <w:rsid w:val="3AFA2251"/>
    <w:rsid w:val="3B9303B2"/>
    <w:rsid w:val="3C8416D7"/>
    <w:rsid w:val="3D746D30"/>
    <w:rsid w:val="3EE802AE"/>
    <w:rsid w:val="3FAB09ED"/>
    <w:rsid w:val="3FD60D87"/>
    <w:rsid w:val="44AF5D78"/>
    <w:rsid w:val="453E2E55"/>
    <w:rsid w:val="45833892"/>
    <w:rsid w:val="45CB4E15"/>
    <w:rsid w:val="4ACA7AAB"/>
    <w:rsid w:val="4B991F60"/>
    <w:rsid w:val="4D113C42"/>
    <w:rsid w:val="4E58558A"/>
    <w:rsid w:val="4F3501F1"/>
    <w:rsid w:val="5004364A"/>
    <w:rsid w:val="52C04276"/>
    <w:rsid w:val="53202F66"/>
    <w:rsid w:val="55C776C9"/>
    <w:rsid w:val="56F15E8C"/>
    <w:rsid w:val="575435C3"/>
    <w:rsid w:val="58CA4CA4"/>
    <w:rsid w:val="59A70B1E"/>
    <w:rsid w:val="59E60318"/>
    <w:rsid w:val="5B9A18F6"/>
    <w:rsid w:val="5CBC5F90"/>
    <w:rsid w:val="5E6D1153"/>
    <w:rsid w:val="5F83500A"/>
    <w:rsid w:val="60745B56"/>
    <w:rsid w:val="61E86AFB"/>
    <w:rsid w:val="62406E5C"/>
    <w:rsid w:val="641F097E"/>
    <w:rsid w:val="65236940"/>
    <w:rsid w:val="664A41B0"/>
    <w:rsid w:val="66D16D4F"/>
    <w:rsid w:val="66FE6113"/>
    <w:rsid w:val="6939283F"/>
    <w:rsid w:val="6A177CD1"/>
    <w:rsid w:val="6AF83014"/>
    <w:rsid w:val="6B874FA2"/>
    <w:rsid w:val="6FD52562"/>
    <w:rsid w:val="70514092"/>
    <w:rsid w:val="70852420"/>
    <w:rsid w:val="717F117A"/>
    <w:rsid w:val="73125FD0"/>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adjustRightInd w:val="0"/>
      <w:snapToGrid w:val="0"/>
      <w:spacing w:after="0" w:line="660" w:lineRule="exact"/>
      <w:ind w:left="0" w:leftChars="0" w:firstLine="420" w:firstLineChars="200"/>
    </w:pPr>
    <w:rPr>
      <w:rFonts w:ascii="??_GB2312" w:eastAsia="Times New Roman"/>
      <w:kern w:val="0"/>
      <w:sz w:val="32"/>
      <w:szCs w:val="32"/>
    </w:rPr>
  </w:style>
  <w:style w:type="paragraph" w:styleId="3">
    <w:name w:val="Body Text Indent"/>
    <w:basedOn w:val="1"/>
    <w:semiHidden/>
    <w:unhideWhenUsed/>
    <w:qFormat/>
    <w:uiPriority w:val="99"/>
    <w:pPr>
      <w:spacing w:after="120"/>
      <w:ind w:left="420" w:leftChars="200"/>
    </w:pPr>
    <w:rPr>
      <w:szCs w:val="24"/>
    </w:rPr>
  </w:style>
  <w:style w:type="paragraph" w:styleId="5">
    <w:name w:val="Body Text"/>
    <w:basedOn w:val="1"/>
    <w:next w:val="6"/>
    <w:qFormat/>
    <w:uiPriority w:val="0"/>
  </w:style>
  <w:style w:type="paragraph" w:styleId="6">
    <w:name w:val="toc 5"/>
    <w:basedOn w:val="1"/>
    <w:next w:val="1"/>
    <w:qFormat/>
    <w:uiPriority w:val="0"/>
    <w:pPr>
      <w:ind w:left="1680" w:leftChars="800"/>
    </w:pPr>
    <w:rPr>
      <w:rFonts w:ascii="Times New Roman" w:hAnsi="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790B00181A83406BAC75E7C8AA52EB7B_13</vt:lpwstr>
  </property>
</Properties>
</file>