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部门整体支出绩效目标申报表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 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年度）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填报单位（盖章）：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　　时间：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年　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　月　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15</w:t>
      </w: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日　　金额单位：万元</w:t>
      </w:r>
    </w:p>
    <w:tbl>
      <w:tblPr>
        <w:tblStyle w:val="13"/>
        <w:tblpPr w:leftFromText="180" w:rightFromText="180" w:vertAnchor="text" w:horzAnchor="page" w:tblpX="1475" w:tblpY="177"/>
        <w:tblOverlap w:val="never"/>
        <w:tblW w:w="9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758"/>
        <w:gridCol w:w="758"/>
        <w:gridCol w:w="759"/>
        <w:gridCol w:w="760"/>
        <w:gridCol w:w="760"/>
        <w:gridCol w:w="760"/>
        <w:gridCol w:w="760"/>
        <w:gridCol w:w="760"/>
        <w:gridCol w:w="816"/>
        <w:gridCol w:w="171"/>
        <w:gridCol w:w="720"/>
        <w:gridCol w:w="12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9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774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邵阳市北塔区住房和城乡建设局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实有人数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单位预算绩效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管理联系人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陈三强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6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0739-5229836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概述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加强城区基础设施建设管理，指导城区扩建管理工作。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负责全区建筑施工监督管理和查处建筑市场违法违规行为。</w:t>
            </w:r>
          </w:p>
          <w:p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  <w:lang w:val="en-US" w:eastAsia="zh-CN"/>
              </w:rPr>
              <w:t>加强和推进建筑节能，改善人居生态环境，促进城镇化健康发展。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年度收入预算（万元）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年度支出预算（万元）</w:t>
            </w:r>
          </w:p>
        </w:tc>
        <w:tc>
          <w:tcPr>
            <w:tcW w:w="318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三公经费预算支出（万元）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拨款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184.73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184.73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169.53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15.2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184.73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接待费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公务用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车运行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和购置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因公出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国(境)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整体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</w:t>
            </w:r>
          </w:p>
        </w:tc>
        <w:tc>
          <w:tcPr>
            <w:tcW w:w="850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在今年收支预算内，确保完成以下整体目标：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目标1：加强北塔区市政基础设施的维护及创森工作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目标2：极积开展危房改造问题清零工作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目标3：极积开展蓝天保卫战工作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部门整体支出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指标内容</w:t>
            </w:r>
          </w:p>
        </w:tc>
        <w:tc>
          <w:tcPr>
            <w:tcW w:w="17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修补破损路面5千余平方米，更换井盖50余个 。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各项工作按计划开展，全年工作完成及时率达100%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</w:t>
            </w:r>
            <w:r>
              <w:rPr>
                <w:rFonts w:hint="eastAsia"/>
                <w:sz w:val="21"/>
                <w:szCs w:val="21"/>
                <w:lang w:eastAsia="zh-CN"/>
              </w:rPr>
              <w:t>北塔</w:t>
            </w:r>
            <w:r>
              <w:rPr>
                <w:sz w:val="21"/>
                <w:szCs w:val="21"/>
              </w:rPr>
              <w:t>区经济发展提供好的规划,路网完善，带动周边地块开发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t>提升路网和配套设施服务能力，使人民生活更便利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…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8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价股审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核意见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审核意见：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审核人：      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股室负责人签字：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年 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68" w:afterAutospacing="0"/>
        <w:ind w:right="0" w:firstLine="1440" w:firstLineChars="600"/>
        <w:rPr>
          <w:rFonts w:hint="default"/>
          <w:lang w:val="en-US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填报人：  任艳枚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联系电话：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0739-5229836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05F54D"/>
    <w:multiLevelType w:val="singleLevel"/>
    <w:tmpl w:val="E605F5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05956"/>
    <w:rsid w:val="02DE5767"/>
    <w:rsid w:val="03805956"/>
    <w:rsid w:val="05866EA0"/>
    <w:rsid w:val="05CC46FF"/>
    <w:rsid w:val="0A421DD9"/>
    <w:rsid w:val="10E072B6"/>
    <w:rsid w:val="36A45A37"/>
    <w:rsid w:val="50800C66"/>
    <w:rsid w:val="51070CEB"/>
    <w:rsid w:val="606815F3"/>
    <w:rsid w:val="630707D9"/>
    <w:rsid w:val="69703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color w:val="146AC1"/>
      <w:u w:val="none"/>
    </w:rPr>
  </w:style>
  <w:style w:type="character" w:styleId="8">
    <w:name w:val="HTML Acronym"/>
    <w:basedOn w:val="3"/>
    <w:uiPriority w:val="0"/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hover18"/>
    <w:basedOn w:val="3"/>
    <w:uiPriority w:val="0"/>
    <w:rPr>
      <w:color w:val="146AC1"/>
      <w:u w:val="none"/>
    </w:rPr>
  </w:style>
  <w:style w:type="character" w:customStyle="1" w:styleId="15">
    <w:name w:val="layui-this"/>
    <w:basedOn w:val="3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3"/>
    <w:uiPriority w:val="0"/>
  </w:style>
  <w:style w:type="character" w:customStyle="1" w:styleId="17">
    <w:name w:val="hover19"/>
    <w:basedOn w:val="3"/>
    <w:uiPriority w:val="0"/>
    <w:rPr>
      <w:color w:val="146AC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2020-07-09T07:13:00Z</dcterms:created>
  <dc:creator>心有多远1401416419</dc:creator>
  <cp:lastModifiedBy>情殇</cp:lastModifiedBy>
  <cp:lastPrinted>2020-07-09T08:04:00Z</cp:lastPrinted>
  <dcterms:modified xsi:type="dcterms:W3CDTF">2020-07-15T03:53:48Z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