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6CF80">
      <w:pPr>
        <w:rPr>
          <w:rFonts w:ascii="方正小标宋_GBK" w:hAnsi="方正小标宋_GBK" w:eastAsia="方正小标宋_GBK" w:cs="方正小标宋_GBK"/>
          <w:b w:val="0"/>
          <w:bCs w:val="0"/>
          <w:color w:val="000000"/>
          <w:sz w:val="44"/>
          <w:szCs w:val="44"/>
          <w:shd w:val="clear" w:color="auto" w:fill="FFFFFF"/>
        </w:rPr>
      </w:pPr>
    </w:p>
    <w:p w14:paraId="73C1429B">
      <w:pPr>
        <w:pStyle w:val="6"/>
        <w:widowControl/>
        <w:shd w:val="clear" w:color="auto" w:fill="FFFFFF"/>
        <w:snapToGrid w:val="0"/>
        <w:spacing w:beforeAutospacing="0" w:afterAutospacing="0" w:line="520" w:lineRule="exact"/>
        <w:jc w:val="center"/>
        <w:rPr>
          <w:rFonts w:hint="eastAsia" w:ascii="方正小标宋简体" w:hAnsi="方正小标宋简体" w:eastAsia="方正小标宋简体" w:cs="方正小标宋简体"/>
          <w:b w:val="0"/>
          <w:bCs w:val="0"/>
          <w:color w:val="000000"/>
          <w:sz w:val="44"/>
          <w:szCs w:val="44"/>
          <w:shd w:val="clear" w:color="auto" w:fill="FFFFFF"/>
        </w:rPr>
      </w:pPr>
      <w:r>
        <w:rPr>
          <w:rFonts w:hint="eastAsia" w:ascii="方正小标宋简体" w:hAnsi="方正小标宋简体" w:eastAsia="方正小标宋简体" w:cs="方正小标宋简体"/>
          <w:b w:val="0"/>
          <w:bCs w:val="0"/>
          <w:color w:val="000000"/>
          <w:sz w:val="44"/>
          <w:szCs w:val="44"/>
          <w:shd w:val="clear" w:color="auto" w:fill="FFFFFF"/>
        </w:rPr>
        <w:t>邵阳市北塔区人民政府办公室</w:t>
      </w:r>
    </w:p>
    <w:p w14:paraId="3B25C8F5">
      <w:pPr>
        <w:pStyle w:val="6"/>
        <w:widowControl/>
        <w:shd w:val="clear" w:color="auto" w:fill="FFFFFF"/>
        <w:snapToGrid w:val="0"/>
        <w:spacing w:beforeAutospacing="0" w:afterAutospacing="0" w:line="520" w:lineRule="exact"/>
        <w:jc w:val="center"/>
        <w:rPr>
          <w:rFonts w:ascii="黑体" w:hAnsi="黑体" w:eastAsia="黑体" w:cs="黑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shd w:val="clear" w:color="auto" w:fill="FFFFFF"/>
        </w:rPr>
        <w:t>部门整体支出绩效自评报告</w:t>
      </w:r>
    </w:p>
    <w:p w14:paraId="1CB81BE1">
      <w:pPr>
        <w:pStyle w:val="6"/>
        <w:widowControl/>
        <w:shd w:val="clear" w:color="auto" w:fill="FFFFFF"/>
        <w:snapToGrid w:val="0"/>
        <w:spacing w:beforeAutospacing="0" w:afterAutospacing="0" w:line="560" w:lineRule="exact"/>
        <w:jc w:val="center"/>
        <w:rPr>
          <w:rFonts w:ascii="仿宋_GB2312" w:eastAsia="仿宋_GB2312" w:cs="仿宋_GB2312"/>
          <w:color w:val="000000"/>
        </w:rPr>
      </w:pPr>
    </w:p>
    <w:p w14:paraId="0B65BAD8">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一、部门、单位基本情况</w:t>
      </w:r>
    </w:p>
    <w:p w14:paraId="6C3F9DCA">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3" w:firstLineChars="200"/>
        <w:jc w:val="both"/>
        <w:textAlignment w:val="auto"/>
        <w:rPr>
          <w:rFonts w:ascii="楷体_GB2312" w:eastAsia="楷体_GB2312" w:cs="楷体_GB2312"/>
          <w:b/>
          <w:bCs/>
          <w:color w:val="000000"/>
          <w:sz w:val="32"/>
          <w:szCs w:val="32"/>
          <w:shd w:val="clear" w:color="auto" w:fill="FFFFFF"/>
        </w:rPr>
      </w:pPr>
      <w:r>
        <w:rPr>
          <w:rFonts w:ascii="楷体_GB2312" w:eastAsia="楷体_GB2312" w:cs="楷体_GB2312"/>
          <w:b/>
          <w:bCs/>
          <w:color w:val="000000"/>
          <w:sz w:val="32"/>
          <w:szCs w:val="32"/>
          <w:shd w:val="clear" w:color="auto" w:fill="FFFFFF"/>
        </w:rPr>
        <w:t>（一）机构设置情况</w:t>
      </w:r>
    </w:p>
    <w:p w14:paraId="16D1B7BA">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邵阳市北塔区人民政府办公室，内设股室6个，分别为文秘1，文秘2，综合，督查，建议提案，财务。</w:t>
      </w:r>
    </w:p>
    <w:p w14:paraId="1B528D12">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3" w:firstLineChars="200"/>
        <w:jc w:val="both"/>
        <w:textAlignment w:val="auto"/>
        <w:rPr>
          <w:rFonts w:ascii="楷体_GB2312" w:eastAsia="楷体_GB2312" w:cs="楷体_GB2312"/>
          <w:b/>
          <w:bCs/>
          <w:color w:val="000000"/>
          <w:sz w:val="32"/>
          <w:szCs w:val="32"/>
          <w:shd w:val="clear" w:color="auto" w:fill="FFFFFF"/>
        </w:rPr>
      </w:pPr>
      <w:r>
        <w:rPr>
          <w:rFonts w:hint="eastAsia" w:ascii="楷体_GB2312" w:eastAsia="楷体_GB2312" w:cs="楷体_GB2312"/>
          <w:b/>
          <w:bCs/>
          <w:color w:val="000000"/>
          <w:sz w:val="32"/>
          <w:szCs w:val="32"/>
          <w:shd w:val="clear" w:color="auto" w:fill="FFFFFF"/>
          <w:lang w:val="en-US" w:eastAsia="zh-CN"/>
        </w:rPr>
        <w:t>（二）</w:t>
      </w:r>
      <w:r>
        <w:rPr>
          <w:rFonts w:ascii="楷体_GB2312" w:eastAsia="楷体_GB2312" w:cs="楷体_GB2312"/>
          <w:b/>
          <w:bCs/>
          <w:color w:val="000000"/>
          <w:sz w:val="32"/>
          <w:szCs w:val="32"/>
          <w:shd w:val="clear" w:color="auto" w:fill="FFFFFF"/>
        </w:rPr>
        <w:t>人员编制情况</w:t>
      </w:r>
    </w:p>
    <w:p w14:paraId="3223BD04">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kern w:val="0"/>
          <w:sz w:val="32"/>
          <w:szCs w:val="32"/>
          <w:shd w:val="clear" w:color="auto" w:fill="FFFFFF"/>
        </w:rPr>
        <w:t>邵阳市北塔区人民政府办公室</w:t>
      </w:r>
      <w:r>
        <w:rPr>
          <w:rFonts w:hint="eastAsia" w:ascii="仿宋_GB2312" w:eastAsia="仿宋_GB2312" w:cs="仿宋_GB2312"/>
          <w:color w:val="000000"/>
          <w:sz w:val="32"/>
          <w:szCs w:val="32"/>
          <w:shd w:val="clear" w:color="auto" w:fill="FFFFFF"/>
        </w:rPr>
        <w:t>编制人数23人，实际人数36人，退休人员20人，遗属补助人数0人。</w:t>
      </w:r>
    </w:p>
    <w:p w14:paraId="381DCE92">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3" w:firstLineChars="200"/>
        <w:jc w:val="both"/>
        <w:textAlignment w:val="auto"/>
        <w:rPr>
          <w:rFonts w:ascii="楷体_GB2312" w:eastAsia="楷体_GB2312" w:cs="楷体_GB2312"/>
          <w:b/>
          <w:bCs/>
          <w:color w:val="000000"/>
          <w:sz w:val="32"/>
          <w:szCs w:val="32"/>
          <w:shd w:val="clear" w:color="auto" w:fill="FFFFFF"/>
        </w:rPr>
      </w:pPr>
      <w:r>
        <w:rPr>
          <w:rFonts w:hint="eastAsia" w:ascii="楷体_GB2312" w:eastAsia="楷体_GB2312" w:cs="楷体_GB2312"/>
          <w:b/>
          <w:bCs/>
          <w:color w:val="000000"/>
          <w:sz w:val="32"/>
          <w:szCs w:val="32"/>
          <w:shd w:val="clear" w:color="auto" w:fill="FFFFFF"/>
          <w:lang w:val="en-US" w:eastAsia="zh-CN"/>
        </w:rPr>
        <w:t>（三）</w:t>
      </w:r>
      <w:r>
        <w:rPr>
          <w:rFonts w:ascii="楷体_GB2312" w:eastAsia="楷体_GB2312" w:cs="楷体_GB2312"/>
          <w:b/>
          <w:bCs/>
          <w:color w:val="000000"/>
          <w:sz w:val="32"/>
          <w:szCs w:val="32"/>
          <w:shd w:val="clear" w:color="auto" w:fill="FFFFFF"/>
        </w:rPr>
        <w:t>主要职能职责</w:t>
      </w:r>
    </w:p>
    <w:p w14:paraId="51AA9AC3">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lang w:val="en-US" w:eastAsia="zh-CN"/>
        </w:rPr>
        <w:t>1、负责区政府会议的准备和组织协调工作，负责区政府领导同志公务活动，办理区政府领导同志交办的事项。 </w:t>
      </w:r>
    </w:p>
    <w:p w14:paraId="534B9FD1">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lang w:val="en-US" w:eastAsia="zh-CN"/>
        </w:rPr>
        <w:t>2、围绕区政府工作部署，对涉及全区经济社会发展和改苏开放中带全局性的重大问题进行调查研究，为区政府决策提出建议、预案和依据。</w:t>
      </w:r>
    </w:p>
    <w:p w14:paraId="3161E3CE">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lang w:val="en-US" w:eastAsia="zh-CN"/>
        </w:rPr>
        <w:t>3、协助区政府领导同志审核或组织起草以区政府、区政府办公室名义发布的公文;起草《政府工作报告》和区政府领导同志的重要讲话。</w:t>
      </w:r>
    </w:p>
    <w:p w14:paraId="44EBEEA2">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lang w:val="en-US" w:eastAsia="zh-CN"/>
        </w:rPr>
        <w:t>4、贯彻执行中央、省、市有关金融工作的方针、政策和法律、法规;拟订全区金融业发展战略和中长期规划;提出加强全区金融行业服务、促进金融行业发展的意见和政策建议;协调解决地方金融业改革发展稳定重大问题:推动落实国家金融业调查统计政策，组织开展地方金融信息统计、综合分析，牵头组织全区金融改革发展稳定重要课题研究;会同有关部门推进金融安全创建，推进改善金融生态环境;组织推进全区多层次资本市场建设与发展;组织协调实施金融突发事件应急工作，会同有关部门查处和打击非法金融机构和非法金融业务活动，整顿和规范全区金融市场秩序;负责协调相关部门加强对互联网金融的监管。</w:t>
      </w:r>
    </w:p>
    <w:p w14:paraId="4A5825C0">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lang w:val="en-US" w:eastAsia="zh-CN"/>
        </w:rPr>
        <w:t>5、研究、审核区直各部门，各乡人民政府、街道办事处向区政府的请示、报告，提出处理意见报区政府领导同志审批。</w:t>
      </w:r>
    </w:p>
    <w:p w14:paraId="7050D3D8">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lang w:val="en-US" w:eastAsia="zh-CN"/>
        </w:rPr>
        <w:t>6、负责以区政府名义向市政府请示报告工作的归口、把关工作，负责统筹、指导、督促全区行政机构重大事项报告工作。</w:t>
      </w:r>
    </w:p>
    <w:p w14:paraId="17CF9D03">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lang w:val="en-US" w:eastAsia="zh-CN"/>
        </w:rPr>
        <w:t>7、及时、准确、全面地向区政府及上级报送信息，反映有关动态。</w:t>
      </w:r>
    </w:p>
    <w:p w14:paraId="42A3E450">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lang w:val="en-US" w:eastAsia="zh-CN"/>
        </w:rPr>
        <w:t>8、组织办理人大代表建议、政协委员提案。</w:t>
      </w:r>
    </w:p>
    <w:p w14:paraId="773DEC65">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lang w:val="en-US" w:eastAsia="zh-CN"/>
        </w:rPr>
        <w:t>9、负责区政府及区政府各部门年度督查检查考核计划的归口审核。</w:t>
      </w:r>
    </w:p>
    <w:p w14:paraId="45785FD3">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lang w:val="en-US" w:eastAsia="zh-CN"/>
        </w:rPr>
        <w:t>10、负责全区公共机构节能工作;统筹协调区政府机关大院行政后勤管理和安全保卫工作。</w:t>
      </w:r>
    </w:p>
    <w:p w14:paraId="58BBAF4A">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lang w:val="en-US" w:eastAsia="zh-CN"/>
        </w:rPr>
        <w:t>11、负责区政府主要领导外出公务活动的联络服务。</w:t>
      </w:r>
    </w:p>
    <w:p w14:paraId="11BC860C">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lang w:val="en-US" w:eastAsia="zh-CN"/>
        </w:rPr>
        <w:t>12、负责区政府值班工作，及时向区政府领导同志报告重要情况，协助处理区直各单位和乡、街道向区政府反映的重要问题。</w:t>
      </w:r>
    </w:p>
    <w:p w14:paraId="420FFD08">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lang w:val="en-US" w:eastAsia="zh-CN"/>
        </w:rPr>
        <w:t>13、完成区委、区政府交办的其他任务。</w:t>
      </w:r>
    </w:p>
    <w:p w14:paraId="5E9467DB">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3" w:firstLineChars="200"/>
        <w:jc w:val="both"/>
        <w:textAlignment w:val="auto"/>
        <w:rPr>
          <w:rFonts w:ascii="楷体_GB2312" w:eastAsia="楷体_GB2312" w:cs="楷体_GB2312"/>
          <w:b/>
          <w:bCs/>
          <w:color w:val="000000"/>
          <w:sz w:val="32"/>
          <w:szCs w:val="32"/>
          <w:shd w:val="clear" w:color="auto" w:fill="FFFFFF"/>
        </w:rPr>
      </w:pPr>
      <w:r>
        <w:rPr>
          <w:rFonts w:ascii="楷体_GB2312" w:eastAsia="楷体_GB2312" w:cs="楷体_GB2312"/>
          <w:b/>
          <w:bCs/>
          <w:color w:val="000000"/>
          <w:sz w:val="32"/>
          <w:szCs w:val="32"/>
          <w:shd w:val="clear" w:color="auto" w:fill="FFFFFF"/>
        </w:rPr>
        <w:t>（四）绩效目标设定情况</w:t>
      </w:r>
    </w:p>
    <w:p w14:paraId="4DD69483">
      <w:pPr>
        <w:pStyle w:val="6"/>
        <w:keepNext w:val="0"/>
        <w:keepLines w:val="0"/>
        <w:pageBreakBefore w:val="0"/>
        <w:widowControl/>
        <w:kinsoku/>
        <w:wordWrap/>
        <w:overflowPunct/>
        <w:topLinePunct w:val="0"/>
        <w:autoSpaceDE/>
        <w:autoSpaceDN/>
        <w:bidi w:val="0"/>
        <w:adjustRightInd/>
        <w:spacing w:beforeAutospacing="0" w:afterAutospacing="0" w:line="600" w:lineRule="exact"/>
        <w:ind w:firstLine="640" w:firstLineChars="200"/>
        <w:jc w:val="both"/>
        <w:textAlignment w:val="auto"/>
        <w:rPr>
          <w:rFonts w:ascii="仿宋_GB2312" w:eastAsia="仿宋_GB2312"/>
          <w:kern w:val="2"/>
          <w:sz w:val="32"/>
          <w:szCs w:val="32"/>
        </w:rPr>
      </w:pPr>
      <w:r>
        <w:rPr>
          <w:rFonts w:hint="eastAsia" w:ascii="仿宋_GB2312" w:eastAsia="仿宋_GB2312" w:cs="仿宋_GB2312"/>
          <w:color w:val="000000"/>
          <w:sz w:val="32"/>
          <w:szCs w:val="32"/>
          <w:shd w:val="clear" w:color="auto" w:fill="FFFFFF"/>
        </w:rPr>
        <w:t>本部门高度重视绩效目标设定工作，</w:t>
      </w:r>
      <w:r>
        <w:rPr>
          <w:rFonts w:hint="eastAsia" w:ascii="Times New Roman" w:hAnsi="Times New Roman" w:eastAsia="仿宋" w:cs="Times New Roman"/>
          <w:sz w:val="32"/>
          <w:szCs w:val="32"/>
          <w:lang w:val="en-US" w:eastAsia="zh-CN"/>
        </w:rPr>
        <w:t>2023年</w:t>
      </w:r>
      <w:r>
        <w:rPr>
          <w:rFonts w:hint="default" w:ascii="Times New Roman" w:hAnsi="Times New Roman" w:eastAsia="仿宋" w:cs="Times New Roman"/>
          <w:sz w:val="32"/>
          <w:szCs w:val="32"/>
        </w:rPr>
        <w:t>在区委、区政府的正确领导下，区政府办主动适应新形势，立足服务全区经济发展，坚决贯彻落实区委、区政府各项决策部署，</w:t>
      </w:r>
      <w:r>
        <w:rPr>
          <w:rFonts w:hint="eastAsia" w:ascii="Times New Roman" w:hAnsi="Times New Roman" w:eastAsia="仿宋" w:cs="Times New Roman"/>
          <w:sz w:val="32"/>
          <w:szCs w:val="32"/>
          <w:lang w:val="en-US" w:eastAsia="zh-CN"/>
        </w:rPr>
        <w:t>着力提升“三服务“水平”，</w:t>
      </w:r>
      <w:r>
        <w:rPr>
          <w:rFonts w:hint="default" w:ascii="Times New Roman" w:hAnsi="Times New Roman" w:eastAsia="仿宋" w:cs="Times New Roman"/>
          <w:sz w:val="32"/>
          <w:szCs w:val="32"/>
        </w:rPr>
        <w:t>在参谋辅政、办文办会、服务中心、督查督办等方面做了大量的工作，较好地完成了各项目标任务。</w:t>
      </w:r>
    </w:p>
    <w:p w14:paraId="29A72068">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二、部门整体支出管理及使用情况</w:t>
      </w:r>
    </w:p>
    <w:p w14:paraId="3B13B10E">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3" w:firstLineChars="200"/>
        <w:jc w:val="both"/>
        <w:textAlignment w:val="auto"/>
        <w:rPr>
          <w:rFonts w:ascii="楷体_GB2312" w:eastAsia="楷体_GB2312" w:cs="楷体_GB2312"/>
          <w:b/>
          <w:bCs/>
          <w:color w:val="000000"/>
          <w:sz w:val="32"/>
          <w:szCs w:val="32"/>
          <w:shd w:val="clear" w:color="auto" w:fill="FFFFFF"/>
        </w:rPr>
      </w:pPr>
      <w:r>
        <w:rPr>
          <w:rFonts w:ascii="楷体_GB2312" w:eastAsia="楷体_GB2312" w:cs="楷体_GB2312"/>
          <w:b/>
          <w:bCs/>
          <w:color w:val="000000"/>
          <w:sz w:val="32"/>
          <w:szCs w:val="32"/>
          <w:shd w:val="clear" w:color="auto" w:fill="FFFFFF"/>
        </w:rPr>
        <w:t>（一）</w:t>
      </w:r>
      <w:r>
        <w:rPr>
          <w:rFonts w:hint="eastAsia" w:ascii="楷体_GB2312" w:eastAsia="楷体_GB2312" w:cs="楷体_GB2312"/>
          <w:b/>
          <w:bCs/>
          <w:color w:val="000000"/>
          <w:sz w:val="32"/>
          <w:szCs w:val="32"/>
          <w:shd w:val="clear" w:color="auto" w:fill="FFFFFF"/>
        </w:rPr>
        <w:t>预算执行、使用、管理总体情况。</w:t>
      </w:r>
    </w:p>
    <w:p w14:paraId="05C44E73">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both"/>
        <w:textAlignment w:val="auto"/>
        <w:rPr>
          <w:rFonts w:ascii="楷体_GB2312" w:eastAsia="楷体_GB2312" w:cs="楷体_GB2312"/>
          <w:color w:val="000000"/>
          <w:sz w:val="32"/>
          <w:szCs w:val="32"/>
          <w:shd w:val="clear" w:color="auto" w:fill="FFFFFF"/>
        </w:rPr>
      </w:pPr>
      <w:r>
        <w:rPr>
          <w:rFonts w:hint="eastAsia" w:ascii="仿宋_GB2312" w:eastAsia="仿宋_GB2312" w:cs="仿宋_GB2312"/>
          <w:color w:val="000000"/>
          <w:kern w:val="0"/>
          <w:sz w:val="32"/>
          <w:szCs w:val="32"/>
          <w:shd w:val="clear" w:color="auto" w:fill="FFFFFF"/>
        </w:rPr>
        <w:t>2023年度区人大财政预算拨款收入为1007.3万元，年初预算数为755.89万元；2023年度实际支出1007.3万元（基本支出1007.3万元、项目支出0万元），其中一般公共服务支出845.2万元、科学技术支出5.22万元、社会保障和就业支出1.46万元、卫生健康支出45.83万元、节能环保支出60.21万元、住房保障支出49.38万元。</w:t>
      </w:r>
    </w:p>
    <w:p w14:paraId="115B4920">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3" w:firstLineChars="200"/>
        <w:jc w:val="both"/>
        <w:textAlignment w:val="auto"/>
        <w:rPr>
          <w:rFonts w:ascii="楷体_GB2312" w:eastAsia="楷体_GB2312" w:cs="楷体_GB2312"/>
          <w:b/>
          <w:bCs/>
          <w:color w:val="000000"/>
          <w:sz w:val="32"/>
          <w:szCs w:val="32"/>
          <w:shd w:val="clear" w:color="auto" w:fill="FFFFFF"/>
        </w:rPr>
      </w:pPr>
      <w:r>
        <w:rPr>
          <w:rFonts w:ascii="楷体_GB2312" w:eastAsia="楷体_GB2312" w:cs="楷体_GB2312"/>
          <w:b/>
          <w:bCs/>
          <w:color w:val="000000"/>
          <w:sz w:val="32"/>
          <w:szCs w:val="32"/>
          <w:shd w:val="clear" w:color="auto" w:fill="FFFFFF"/>
        </w:rPr>
        <w:t>（二）部门预算执行情况</w:t>
      </w:r>
    </w:p>
    <w:p w14:paraId="644DC585">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1.基本支出情况</w:t>
      </w:r>
    </w:p>
    <w:p w14:paraId="02DE5AFE">
      <w:pPr>
        <w:keepNext w:val="0"/>
        <w:keepLines w:val="0"/>
        <w:pageBreakBefore w:val="0"/>
        <w:kinsoku/>
        <w:wordWrap/>
        <w:overflowPunct/>
        <w:topLinePunct w:val="0"/>
        <w:autoSpaceDE/>
        <w:autoSpaceDN/>
        <w:bidi w:val="0"/>
        <w:adjustRightInd/>
        <w:spacing w:beforeAutospacing="0" w:afterAutospacing="0" w:line="600" w:lineRule="exact"/>
        <w:ind w:left="0"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kern w:val="0"/>
          <w:sz w:val="32"/>
          <w:szCs w:val="32"/>
          <w:shd w:val="clear" w:color="auto" w:fill="FFFFFF"/>
        </w:rPr>
        <w:t>2023年度区人大基本支出年初预算安排为698.89万元，本年实际支出为1007.3万元，主要为人员经费支出和公用经费支出，其中人员经费支出673.57万元、公用经费支出333.73万元。</w:t>
      </w:r>
    </w:p>
    <w:p w14:paraId="13FD3B74">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2.</w:t>
      </w:r>
      <w:r>
        <w:rPr>
          <w:rFonts w:ascii="仿宋_GB2312" w:eastAsia="仿宋_GB2312" w:cs="仿宋_GB2312"/>
          <w:color w:val="000000"/>
          <w:sz w:val="32"/>
          <w:szCs w:val="32"/>
          <w:shd w:val="clear" w:color="auto" w:fill="FFFFFF"/>
        </w:rPr>
        <w:t>项目支出情况</w:t>
      </w:r>
    </w:p>
    <w:p w14:paraId="611A9943">
      <w:pPr>
        <w:pStyle w:val="6"/>
        <w:keepNext w:val="0"/>
        <w:keepLines w:val="0"/>
        <w:pageBreakBefore w:val="0"/>
        <w:widowControl/>
        <w:kinsoku/>
        <w:wordWrap/>
        <w:overflowPunct/>
        <w:topLinePunct w:val="0"/>
        <w:autoSpaceDE/>
        <w:autoSpaceDN/>
        <w:bidi w:val="0"/>
        <w:adjustRightInd/>
        <w:spacing w:beforeAutospacing="0" w:afterAutospacing="0" w:line="600" w:lineRule="exact"/>
        <w:ind w:left="0"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本年项目支出年初预算安排为57万元，本年实际支出为0万元，无项目支出。</w:t>
      </w:r>
    </w:p>
    <w:p w14:paraId="7E3EC373">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3" w:firstLineChars="200"/>
        <w:jc w:val="both"/>
        <w:textAlignment w:val="auto"/>
        <w:rPr>
          <w:rFonts w:ascii="楷体_GB2312" w:eastAsia="楷体_GB2312" w:cs="楷体_GB2312"/>
          <w:b/>
          <w:bCs/>
          <w:color w:val="000000"/>
          <w:sz w:val="32"/>
          <w:szCs w:val="32"/>
          <w:shd w:val="clear" w:color="auto" w:fill="FFFFFF"/>
        </w:rPr>
      </w:pPr>
      <w:r>
        <w:rPr>
          <w:rFonts w:hint="eastAsia" w:ascii="楷体_GB2312" w:eastAsia="楷体_GB2312" w:cs="楷体_GB2312"/>
          <w:b/>
          <w:bCs/>
          <w:color w:val="000000"/>
          <w:sz w:val="32"/>
          <w:szCs w:val="32"/>
          <w:shd w:val="clear" w:color="auto" w:fill="FFFFFF"/>
        </w:rPr>
        <w:t>（三）</w:t>
      </w:r>
      <w:r>
        <w:rPr>
          <w:rFonts w:hint="eastAsia" w:ascii="楷体_GB2312" w:eastAsia="楷体_GB2312" w:cs="楷体_GB2312"/>
          <w:b/>
          <w:bCs/>
          <w:color w:val="000000"/>
          <w:sz w:val="32"/>
          <w:szCs w:val="32"/>
          <w:shd w:val="clear" w:color="auto" w:fill="FFFFFF"/>
          <w:lang w:eastAsia="zh-CN"/>
        </w:rPr>
        <w:t>“</w:t>
      </w:r>
      <w:r>
        <w:rPr>
          <w:rFonts w:ascii="楷体_GB2312" w:eastAsia="楷体_GB2312" w:cs="楷体_GB2312"/>
          <w:b/>
          <w:bCs/>
          <w:color w:val="000000"/>
          <w:sz w:val="32"/>
          <w:szCs w:val="32"/>
          <w:shd w:val="clear" w:color="auto" w:fill="FFFFFF"/>
        </w:rPr>
        <w:t>三公</w:t>
      </w:r>
      <w:r>
        <w:rPr>
          <w:rFonts w:hint="eastAsia" w:ascii="楷体_GB2312" w:eastAsia="楷体_GB2312" w:cs="楷体_GB2312"/>
          <w:b/>
          <w:bCs/>
          <w:color w:val="000000"/>
          <w:sz w:val="32"/>
          <w:szCs w:val="32"/>
          <w:shd w:val="clear" w:color="auto" w:fill="FFFFFF"/>
          <w:lang w:eastAsia="zh-CN"/>
        </w:rPr>
        <w:t>”</w:t>
      </w:r>
      <w:r>
        <w:rPr>
          <w:rFonts w:ascii="楷体_GB2312" w:eastAsia="楷体_GB2312" w:cs="楷体_GB2312"/>
          <w:b/>
          <w:bCs/>
          <w:color w:val="000000"/>
          <w:sz w:val="32"/>
          <w:szCs w:val="32"/>
          <w:shd w:val="clear" w:color="auto" w:fill="FFFFFF"/>
        </w:rPr>
        <w:t>经费使用和管理情况</w:t>
      </w:r>
    </w:p>
    <w:p w14:paraId="441EAFAA">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2023年我</w:t>
      </w:r>
      <w:r>
        <w:rPr>
          <w:rFonts w:hint="eastAsia" w:ascii="仿宋_GB2312" w:eastAsia="仿宋_GB2312" w:cs="仿宋_GB2312"/>
          <w:color w:val="000000"/>
          <w:sz w:val="32"/>
          <w:szCs w:val="32"/>
          <w:shd w:val="clear" w:color="auto" w:fill="FFFFFF"/>
          <w:lang w:eastAsia="zh-CN"/>
        </w:rPr>
        <w:t>单位</w:t>
      </w:r>
      <w:r>
        <w:rPr>
          <w:rFonts w:hint="eastAsia" w:ascii="仿宋_GB2312" w:eastAsia="仿宋_GB2312" w:cs="仿宋_GB2312"/>
          <w:color w:val="000000"/>
          <w:sz w:val="32"/>
          <w:szCs w:val="32"/>
          <w:shd w:val="clear" w:color="auto" w:fill="FFFFFF"/>
        </w:rPr>
        <w:t>厉行节约，缩节开支，“三公”经费预算数为0万元，决算数为0万元，其中公务用车购置及运行维护费预算数为0万元，决算数0万元，公务接待费预算数0万元，决算数0万元。</w:t>
      </w:r>
    </w:p>
    <w:p w14:paraId="798B16DC">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政府性基金预算支出情况</w:t>
      </w:r>
    </w:p>
    <w:p w14:paraId="4B872753">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rPr>
          <w:rFonts w:ascii="黑体" w:hAnsi="黑体" w:eastAsia="黑体" w:cs="黑体"/>
          <w:color w:val="000000"/>
          <w:sz w:val="32"/>
          <w:szCs w:val="32"/>
          <w:shd w:val="clear" w:color="auto" w:fill="FFFFFF"/>
        </w:rPr>
      </w:pPr>
      <w:r>
        <w:rPr>
          <w:rFonts w:hint="eastAsia" w:ascii="仿宋" w:hAnsi="仿宋" w:eastAsia="仿宋" w:cs="仿宋"/>
          <w:color w:val="000000"/>
          <w:sz w:val="32"/>
          <w:szCs w:val="32"/>
          <w:shd w:val="clear" w:color="auto" w:fill="FFFFFF"/>
        </w:rPr>
        <w:t>2023年，我单位无政府性基金预算支出。</w:t>
      </w:r>
    </w:p>
    <w:p w14:paraId="1ED8185B">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国有资本经营预算支出情况</w:t>
      </w:r>
    </w:p>
    <w:p w14:paraId="32221F1C">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rPr>
          <w:rFonts w:ascii="黑体" w:hAnsi="黑体" w:eastAsia="黑体" w:cs="黑体"/>
          <w:color w:val="000000"/>
          <w:sz w:val="32"/>
          <w:szCs w:val="32"/>
          <w:shd w:val="clear" w:color="auto" w:fill="FFFFFF"/>
        </w:rPr>
      </w:pPr>
      <w:r>
        <w:rPr>
          <w:rFonts w:hint="eastAsia" w:ascii="仿宋" w:hAnsi="仿宋" w:eastAsia="仿宋" w:cs="仿宋"/>
          <w:color w:val="000000"/>
          <w:sz w:val="32"/>
          <w:szCs w:val="32"/>
          <w:shd w:val="clear" w:color="auto" w:fill="FFFFFF"/>
        </w:rPr>
        <w:t>2023年，我单位无国有资本经营预算支出。</w:t>
      </w:r>
    </w:p>
    <w:p w14:paraId="0AE4B8B2">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社会保险基金预算支出情况</w:t>
      </w:r>
    </w:p>
    <w:p w14:paraId="3FAAAF22">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rPr>
          <w:rFonts w:ascii="黑体" w:hAnsi="黑体" w:eastAsia="黑体" w:cs="黑体"/>
          <w:color w:val="000000"/>
          <w:sz w:val="32"/>
          <w:szCs w:val="32"/>
          <w:shd w:val="clear" w:color="auto" w:fill="FFFFFF"/>
        </w:rPr>
      </w:pPr>
      <w:r>
        <w:rPr>
          <w:rFonts w:hint="eastAsia" w:ascii="仿宋" w:hAnsi="仿宋" w:eastAsia="仿宋" w:cs="仿宋"/>
          <w:color w:val="000000"/>
          <w:sz w:val="32"/>
          <w:szCs w:val="32"/>
          <w:shd w:val="clear" w:color="auto" w:fill="FFFFFF"/>
        </w:rPr>
        <w:t>2023年，我单位无社会保险基金预算支出。</w:t>
      </w:r>
    </w:p>
    <w:p w14:paraId="30E0453A">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六、部门整体支出绩效情况</w:t>
      </w:r>
    </w:p>
    <w:p w14:paraId="0E985B15">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left="0" w:firstLine="643" w:firstLineChars="200"/>
        <w:jc w:val="both"/>
        <w:textAlignment w:val="auto"/>
        <w:rPr>
          <w:rFonts w:ascii="仿宋_GB2312" w:eastAsia="仿宋_GB2312" w:cs="仿宋_GB2312"/>
          <w:b/>
          <w:bCs/>
          <w:color w:val="000000"/>
          <w:sz w:val="32"/>
          <w:szCs w:val="32"/>
          <w:shd w:val="clear" w:color="auto" w:fill="FFFFFF"/>
        </w:rPr>
      </w:pPr>
      <w:r>
        <w:rPr>
          <w:rFonts w:ascii="楷体_GB2312" w:eastAsia="楷体_GB2312" w:cs="楷体_GB2312"/>
          <w:b/>
          <w:bCs/>
          <w:color w:val="000000"/>
          <w:sz w:val="32"/>
          <w:szCs w:val="32"/>
          <w:shd w:val="clear" w:color="auto" w:fill="FFFFFF"/>
        </w:rPr>
        <w:t>（一）综合评价结论。</w:t>
      </w:r>
    </w:p>
    <w:p w14:paraId="363659F3">
      <w:pPr>
        <w:keepNext w:val="0"/>
        <w:keepLines w:val="0"/>
        <w:pageBreakBefore w:val="0"/>
        <w:kinsoku/>
        <w:wordWrap/>
        <w:overflowPunct/>
        <w:topLinePunct w:val="0"/>
        <w:autoSpaceDE/>
        <w:autoSpaceDN/>
        <w:bidi w:val="0"/>
        <w:adjustRightInd/>
        <w:spacing w:beforeAutospacing="0" w:afterAutospacing="0" w:line="600" w:lineRule="exact"/>
        <w:ind w:firstLine="640" w:firstLineChars="200"/>
        <w:jc w:val="both"/>
        <w:textAlignment w:val="auto"/>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2023年，我</w:t>
      </w:r>
      <w:r>
        <w:rPr>
          <w:rFonts w:hint="eastAsia" w:ascii="仿宋_GB2312" w:eastAsia="仿宋_GB2312" w:cs="仿宋_GB2312"/>
          <w:color w:val="000000"/>
          <w:kern w:val="0"/>
          <w:sz w:val="32"/>
          <w:szCs w:val="32"/>
          <w:shd w:val="clear" w:color="auto" w:fill="FFFFFF"/>
          <w:lang w:eastAsia="zh-CN"/>
        </w:rPr>
        <w:t>单位</w:t>
      </w:r>
      <w:r>
        <w:rPr>
          <w:rFonts w:hint="eastAsia" w:ascii="仿宋_GB2312" w:eastAsia="仿宋_GB2312" w:cs="仿宋_GB2312"/>
          <w:color w:val="000000"/>
          <w:kern w:val="0"/>
          <w:sz w:val="32"/>
          <w:szCs w:val="32"/>
          <w:shd w:val="clear" w:color="auto" w:fill="FFFFFF"/>
        </w:rPr>
        <w:t>整体预算绩效支出年度总体目标基本完成，</w:t>
      </w:r>
      <w:r>
        <w:rPr>
          <w:rFonts w:hint="default" w:ascii="仿宋_GB2312" w:eastAsia="仿宋_GB2312" w:cs="仿宋_GB2312"/>
          <w:color w:val="000000"/>
          <w:kern w:val="0"/>
          <w:sz w:val="32"/>
          <w:szCs w:val="32"/>
          <w:shd w:val="clear" w:color="auto" w:fill="FFFFFF"/>
          <w:lang w:eastAsia="zh-CN"/>
        </w:rPr>
        <w:t>认真办理建议提案</w:t>
      </w:r>
      <w:r>
        <w:rPr>
          <w:rFonts w:hint="eastAsia" w:ascii="仿宋_GB2312" w:eastAsia="仿宋_GB2312" w:cs="仿宋_GB2312"/>
          <w:color w:val="000000"/>
          <w:kern w:val="0"/>
          <w:sz w:val="32"/>
          <w:szCs w:val="32"/>
          <w:shd w:val="clear" w:color="auto" w:fill="FFFFFF"/>
        </w:rPr>
        <w:t>、</w:t>
      </w:r>
      <w:r>
        <w:rPr>
          <w:rFonts w:hint="default" w:ascii="仿宋_GB2312" w:eastAsia="仿宋_GB2312" w:cs="仿宋_GB2312"/>
          <w:color w:val="000000"/>
          <w:kern w:val="0"/>
          <w:sz w:val="32"/>
          <w:szCs w:val="32"/>
          <w:shd w:val="clear" w:color="auto" w:fill="FFFFFF"/>
        </w:rPr>
        <w:t>切实做好金融服务</w:t>
      </w:r>
      <w:r>
        <w:rPr>
          <w:rFonts w:hint="eastAsia" w:ascii="仿宋_GB2312" w:eastAsia="仿宋_GB2312" w:cs="仿宋_GB2312"/>
          <w:color w:val="000000"/>
          <w:kern w:val="0"/>
          <w:sz w:val="32"/>
          <w:szCs w:val="32"/>
          <w:shd w:val="clear" w:color="auto" w:fill="FFFFFF"/>
        </w:rPr>
        <w:t>、</w:t>
      </w:r>
      <w:r>
        <w:rPr>
          <w:rFonts w:hint="default" w:ascii="仿宋_GB2312" w:eastAsia="仿宋_GB2312" w:cs="仿宋_GB2312"/>
          <w:color w:val="000000"/>
          <w:kern w:val="0"/>
          <w:sz w:val="32"/>
          <w:szCs w:val="32"/>
          <w:shd w:val="clear" w:color="auto" w:fill="FFFFFF"/>
        </w:rPr>
        <w:t>主动做好跟线服务</w:t>
      </w:r>
      <w:r>
        <w:rPr>
          <w:rFonts w:hint="eastAsia" w:ascii="仿宋_GB2312" w:eastAsia="仿宋_GB2312" w:cs="仿宋_GB2312"/>
          <w:color w:val="000000"/>
          <w:kern w:val="0"/>
          <w:sz w:val="32"/>
          <w:szCs w:val="32"/>
          <w:shd w:val="clear" w:color="auto" w:fill="FFFFFF"/>
        </w:rPr>
        <w:t>、</w:t>
      </w:r>
      <w:r>
        <w:rPr>
          <w:rFonts w:hint="eastAsia" w:ascii="仿宋_GB2312" w:eastAsia="仿宋_GB2312" w:cs="仿宋_GB2312"/>
          <w:color w:val="000000"/>
          <w:kern w:val="0"/>
          <w:sz w:val="32"/>
          <w:szCs w:val="32"/>
          <w:shd w:val="clear" w:color="auto" w:fill="FFFFFF"/>
          <w:lang w:val="en-US" w:eastAsia="zh-CN"/>
        </w:rPr>
        <w:t>扎实开展驻村帮扶</w:t>
      </w:r>
      <w:r>
        <w:rPr>
          <w:rFonts w:hint="eastAsia" w:ascii="仿宋_GB2312" w:eastAsia="仿宋_GB2312" w:cs="仿宋_GB2312"/>
          <w:color w:val="000000"/>
          <w:kern w:val="0"/>
          <w:sz w:val="32"/>
          <w:szCs w:val="32"/>
          <w:shd w:val="clear" w:color="auto" w:fill="FFFFFF"/>
        </w:rPr>
        <w:t>、</w:t>
      </w:r>
      <w:r>
        <w:rPr>
          <w:rFonts w:hint="default" w:ascii="仿宋_GB2312" w:eastAsia="仿宋_GB2312" w:cs="仿宋_GB2312"/>
          <w:color w:val="000000"/>
          <w:kern w:val="0"/>
          <w:sz w:val="32"/>
          <w:szCs w:val="32"/>
          <w:shd w:val="clear" w:color="auto" w:fill="FFFFFF"/>
        </w:rPr>
        <w:t>细致做好值班值守</w:t>
      </w:r>
      <w:r>
        <w:rPr>
          <w:rFonts w:hint="eastAsia" w:ascii="仿宋_GB2312" w:eastAsia="仿宋_GB2312" w:cs="仿宋_GB2312"/>
          <w:color w:val="000000"/>
          <w:kern w:val="0"/>
          <w:sz w:val="32"/>
          <w:szCs w:val="32"/>
          <w:shd w:val="clear" w:color="auto" w:fill="FFFFFF"/>
        </w:rPr>
        <w:t>等方面取得了显著成效。并充分履行职责职能，严格执行各项管理制度，经费开支严格按预算执行，管理制度健全，会计基础规范，资金使用符合国家财经法规和财务管理制度规定。严格实行收支两条线，无截留、挤占、挪用、虚列支出、随意借用、大额现金支付等情况，重大财务事项经由集体研究决策。按要求执行政府采购，严控支出，开源节流，一般性支出和“三公经费”均按要求压减，预决算信息公开及时完善。资产管理安全，固定资产利用率、重点工作完成率等均达到或超过年初计划数，经济、社会等效益显著、社会公众满意度上升。2023年度部门整体支出绩效自评分数为97分，绩效评价等次为“优秀”。</w:t>
      </w:r>
    </w:p>
    <w:p w14:paraId="0FA452E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600" w:lineRule="exact"/>
        <w:ind w:firstLine="643" w:firstLineChars="200"/>
        <w:jc w:val="both"/>
        <w:textAlignment w:val="auto"/>
        <w:rPr>
          <w:rFonts w:ascii="楷体_GB2312" w:eastAsia="楷体_GB2312" w:cs="楷体_GB2312"/>
          <w:b/>
          <w:bCs/>
          <w:color w:val="000000"/>
          <w:sz w:val="32"/>
          <w:szCs w:val="32"/>
          <w:shd w:val="clear" w:color="auto" w:fill="FFFFFF"/>
        </w:rPr>
      </w:pPr>
      <w:r>
        <w:rPr>
          <w:rFonts w:hint="eastAsia" w:ascii="楷体_GB2312" w:eastAsia="楷体_GB2312" w:cs="楷体_GB2312" w:hAnsiTheme="minorHAnsi"/>
          <w:b/>
          <w:bCs/>
          <w:color w:val="000000"/>
          <w:kern w:val="0"/>
          <w:sz w:val="32"/>
          <w:szCs w:val="32"/>
          <w:shd w:val="clear" w:fill="FFFFFF"/>
          <w:lang w:val="en-US" w:eastAsia="zh-CN" w:bidi="ar-SA"/>
        </w:rPr>
        <w:t>（二）</w:t>
      </w:r>
      <w:r>
        <w:rPr>
          <w:rFonts w:ascii="楷体_GB2312" w:eastAsia="楷体_GB2312" w:cs="楷体_GB2312"/>
          <w:b/>
          <w:bCs/>
          <w:color w:val="000000"/>
          <w:sz w:val="32"/>
          <w:szCs w:val="32"/>
          <w:shd w:val="clear" w:color="auto" w:fill="FFFFFF"/>
        </w:rPr>
        <w:t>评价指标分析（或综合评价情况）。</w:t>
      </w:r>
    </w:p>
    <w:p w14:paraId="0B83780B">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3" w:firstLineChars="200"/>
        <w:jc w:val="both"/>
        <w:textAlignment w:val="auto"/>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1.对履职效能主要指标的完成情况进行具体分析</w:t>
      </w:r>
    </w:p>
    <w:p w14:paraId="34CCD98B">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我局绩效目标实施按财政批复的预算绩效目标实施方案进行，本着“少花钱、多办事、办好事”的原则，支出资金没有超过批复预算和年终财政追加指标总概算。</w:t>
      </w:r>
    </w:p>
    <w:p w14:paraId="4DC6A73A">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3" w:firstLineChars="200"/>
        <w:jc w:val="both"/>
        <w:textAlignment w:val="auto"/>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2.对管理效率主要指标的完成情况进行具体分析</w:t>
      </w:r>
    </w:p>
    <w:p w14:paraId="3DC71615">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绩效目标开始时间为2023年1月1日，完成时间2023年12月31日。我局积极及时组织实施各项行政管理事务，当年按质、按量完成了各项目标任务和绩效目标支出资金。专项资金按照规范程序提请申请、分配、管理和使用，建立了专项资金内部监督制约制衡机制，坚持专款专用，强化专项资金使用项目使用专项资金，加强专项资金使用过程的控制和追踪问效，进一步推进专项资金申请和使用中的监管。</w:t>
      </w:r>
    </w:p>
    <w:p w14:paraId="2D68CFA8">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600" w:lineRule="exact"/>
        <w:ind w:firstLine="643" w:firstLineChars="200"/>
        <w:jc w:val="both"/>
        <w:textAlignment w:val="auto"/>
        <w:rPr>
          <w:rFonts w:ascii="仿宋" w:hAnsi="仿宋" w:eastAsia="仿宋" w:cs="仿宋"/>
          <w:b/>
          <w:bCs/>
          <w:color w:val="000000"/>
          <w:sz w:val="32"/>
          <w:szCs w:val="32"/>
          <w:shd w:val="clear" w:color="auto" w:fill="FFFFFF"/>
        </w:rPr>
      </w:pPr>
      <w:r>
        <w:rPr>
          <w:rFonts w:ascii="仿宋" w:hAnsi="仿宋" w:eastAsia="仿宋" w:cs="仿宋"/>
          <w:b/>
          <w:bCs/>
          <w:color w:val="000000"/>
          <w:kern w:val="0"/>
          <w:sz w:val="32"/>
          <w:szCs w:val="32"/>
          <w:shd w:val="clear" w:fill="FFFFFF"/>
          <w:lang w:val="en-US" w:eastAsia="zh-CN" w:bidi="ar-SA"/>
        </w:rPr>
        <w:t>3.</w:t>
      </w:r>
      <w:r>
        <w:rPr>
          <w:rFonts w:hint="eastAsia" w:ascii="仿宋" w:hAnsi="仿宋" w:eastAsia="仿宋" w:cs="仿宋"/>
          <w:b/>
          <w:bCs/>
          <w:color w:val="000000"/>
          <w:sz w:val="32"/>
          <w:szCs w:val="32"/>
          <w:shd w:val="clear" w:color="auto" w:fill="FFFFFF"/>
        </w:rPr>
        <w:t>对履职效益主要指标的完成情况进行具体分析</w:t>
      </w:r>
    </w:p>
    <w:p w14:paraId="13FC4351">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val="0"/>
          <w:sz w:val="32"/>
          <w:szCs w:val="32"/>
        </w:rPr>
        <w:t>一是主动做好跟线服务。</w:t>
      </w:r>
      <w:r>
        <w:rPr>
          <w:rFonts w:hint="default" w:ascii="Times New Roman" w:hAnsi="Times New Roman" w:eastAsia="仿宋" w:cs="Times New Roman"/>
          <w:sz w:val="32"/>
          <w:szCs w:val="32"/>
        </w:rPr>
        <w:t>办公室对副主任协助副区长进行了重新分工，进一步明确了各副主任协助的工作职责，由被动服务向主动服务转变，各副主任充分发挥耳目喉舌和组织协调作用，主动向领导提供信息、反映情况，主动出谋划策、拾遗补缺，在中央环保督察、巡视反馈问题整改、超期安置、道路建设、应急等工作中勇挑重担、主动作为，协助区级领导</w:t>
      </w:r>
      <w:r>
        <w:rPr>
          <w:rFonts w:hint="default" w:ascii="Times New Roman" w:hAnsi="Times New Roman" w:eastAsia="仿宋" w:cs="Times New Roman"/>
          <w:sz w:val="32"/>
          <w:szCs w:val="32"/>
          <w:lang w:eastAsia="zh-CN"/>
        </w:rPr>
        <w:t>顺利推进</w:t>
      </w:r>
      <w:r>
        <w:rPr>
          <w:rFonts w:hint="eastAsia" w:ascii="Times New Roman" w:hAnsi="Times New Roman" w:eastAsia="仿宋" w:cs="Times New Roman"/>
          <w:sz w:val="32"/>
          <w:szCs w:val="32"/>
          <w:lang w:eastAsia="zh-CN"/>
        </w:rPr>
        <w:t>各项重点</w:t>
      </w:r>
      <w:r>
        <w:rPr>
          <w:rFonts w:hint="default" w:ascii="Times New Roman" w:hAnsi="Times New Roman" w:eastAsia="仿宋" w:cs="Times New Roman"/>
          <w:sz w:val="32"/>
          <w:szCs w:val="32"/>
          <w:lang w:eastAsia="zh-CN"/>
        </w:rPr>
        <w:t>工作</w:t>
      </w:r>
      <w:r>
        <w:rPr>
          <w:rFonts w:hint="default" w:ascii="Times New Roman" w:hAnsi="Times New Roman" w:eastAsia="仿宋" w:cs="Times New Roman"/>
          <w:sz w:val="32"/>
          <w:szCs w:val="32"/>
        </w:rPr>
        <w:t>，实现了有17年断头路历史的九江社区资江北路望江楼段恢复通行，</w:t>
      </w:r>
      <w:r>
        <w:rPr>
          <w:rFonts w:hint="default" w:ascii="Times New Roman" w:hAnsi="Times New Roman" w:eastAsia="仿宋" w:cs="Times New Roman"/>
          <w:sz w:val="32"/>
          <w:szCs w:val="32"/>
          <w:lang w:eastAsia="zh-CN"/>
        </w:rPr>
        <w:t>积极</w:t>
      </w:r>
      <w:r>
        <w:rPr>
          <w:rFonts w:hint="default" w:ascii="Times New Roman" w:hAnsi="Times New Roman" w:eastAsia="仿宋" w:cs="Times New Roman"/>
          <w:sz w:val="32"/>
          <w:szCs w:val="32"/>
        </w:rPr>
        <w:t>帮助对接市城投公司</w:t>
      </w:r>
      <w:r>
        <w:rPr>
          <w:rFonts w:hint="default" w:ascii="Times New Roman" w:hAnsi="Times New Roman" w:eastAsia="仿宋" w:cs="Times New Roman"/>
          <w:sz w:val="32"/>
          <w:szCs w:val="32"/>
          <w:lang w:eastAsia="zh-CN"/>
        </w:rPr>
        <w:t>力促解</w:t>
      </w:r>
      <w:r>
        <w:rPr>
          <w:rFonts w:hint="default" w:ascii="Times New Roman" w:hAnsi="Times New Roman" w:eastAsia="仿宋" w:cs="Times New Roman"/>
          <w:sz w:val="32"/>
          <w:szCs w:val="32"/>
        </w:rPr>
        <w:t>决困扰匡家社区一期安置地136户居民12年的水表安装未到户的问题，</w:t>
      </w:r>
      <w:r>
        <w:rPr>
          <w:rFonts w:hint="eastAsia" w:ascii="Times New Roman" w:hAnsi="Times New Roman" w:eastAsia="仿宋" w:cs="Times New Roman"/>
          <w:sz w:val="32"/>
          <w:szCs w:val="32"/>
          <w:lang w:val="en-US" w:eastAsia="zh-CN"/>
        </w:rPr>
        <w:t>6名跟线同志协助各副区长在冷链物流园、</w:t>
      </w:r>
      <w:r>
        <w:rPr>
          <w:rFonts w:hint="eastAsia" w:ascii="仿宋_GB2312" w:hAnsi="仿宋" w:eastAsia="仿宋_GB2312" w:cs="仿宋"/>
          <w:sz w:val="32"/>
          <w:szCs w:val="32"/>
        </w:rPr>
        <w:t>北塔区三级综合性医院项目、犬木塘水库枢纽工程</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神滩片区棚户区改造、湘窖二期</w:t>
      </w:r>
      <w:r>
        <w:rPr>
          <w:rFonts w:hint="eastAsia" w:ascii="仿宋_GB2312" w:hAnsi="仿宋" w:eastAsia="仿宋_GB2312" w:cs="仿宋"/>
          <w:sz w:val="32"/>
          <w:szCs w:val="32"/>
          <w:lang w:val="en-US" w:eastAsia="zh-CN"/>
        </w:rPr>
        <w:t>等重点项目建设中统筹调度，</w:t>
      </w:r>
      <w:r>
        <w:rPr>
          <w:rFonts w:hint="eastAsia" w:ascii="Times New Roman" w:hAnsi="Times New Roman" w:eastAsia="仿宋" w:cs="Times New Roman"/>
          <w:sz w:val="32"/>
          <w:szCs w:val="32"/>
          <w:lang w:val="en-US" w:eastAsia="zh-CN"/>
        </w:rPr>
        <w:t>攻坚克难，夜以继日，全区50个重点项目已开工建设44个，开工率88%，</w:t>
      </w:r>
      <w:r>
        <w:rPr>
          <w:rFonts w:hint="default" w:ascii="Times New Roman" w:hAnsi="Times New Roman" w:eastAsia="仿宋" w:cs="Times New Roman"/>
          <w:sz w:val="32"/>
          <w:szCs w:val="32"/>
        </w:rPr>
        <w:t>真正做到领导未谋有所思、领导未闻有所知、领导未示有所为。</w:t>
      </w:r>
    </w:p>
    <w:p w14:paraId="5B49B9DB">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jc w:val="both"/>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val="0"/>
          <w:sz w:val="32"/>
          <w:szCs w:val="32"/>
        </w:rPr>
        <w:t>二</w:t>
      </w:r>
      <w:r>
        <w:rPr>
          <w:rFonts w:hint="default" w:ascii="Times New Roman" w:hAnsi="Times New Roman" w:eastAsia="仿宋" w:cs="Times New Roman"/>
          <w:b/>
          <w:bCs w:val="0"/>
          <w:sz w:val="32"/>
          <w:szCs w:val="32"/>
        </w:rPr>
        <w:t>是细致做好值班值守。</w:t>
      </w:r>
      <w:r>
        <w:rPr>
          <w:rFonts w:hint="default" w:ascii="Times New Roman" w:hAnsi="Times New Roman" w:eastAsia="仿宋" w:cs="Times New Roman"/>
          <w:sz w:val="32"/>
          <w:szCs w:val="32"/>
        </w:rPr>
        <w:t>设立了区政府总值班室，明确工作职责，安排三名同志专职负责日常值班值守工作，严格按照省、市、区和相关领导指示发放会议和工作通知，及时做好值班登记和处理。落实</w:t>
      </w:r>
      <w:r>
        <w:rPr>
          <w:rFonts w:hint="eastAsia" w:ascii="Times New Roman" w:hAnsi="Times New Roman" w:eastAsia="仿宋" w:cs="Times New Roman"/>
          <w:sz w:val="32"/>
          <w:szCs w:val="32"/>
          <w:lang w:val="en-US" w:eastAsia="zh-CN"/>
        </w:rPr>
        <w:t>春节、清明、五一、端午等</w:t>
      </w:r>
      <w:r>
        <w:rPr>
          <w:rFonts w:hint="default" w:ascii="Times New Roman" w:hAnsi="Times New Roman" w:eastAsia="仿宋" w:cs="Times New Roman"/>
          <w:sz w:val="32"/>
          <w:szCs w:val="32"/>
        </w:rPr>
        <w:t>重大节假日和双休日领导带班和24小时值班制度，及时做好值班记录，确保上传下达及时，渠道畅通。规范了突发事件信息报送和上级领导批示处置工作程序，</w:t>
      </w:r>
      <w:r>
        <w:rPr>
          <w:rFonts w:hint="eastAsia" w:ascii="Times New Roman" w:hAnsi="Times New Roman" w:eastAsia="仿宋" w:cs="Times New Roman"/>
          <w:sz w:val="32"/>
          <w:szCs w:val="32"/>
          <w:lang w:eastAsia="zh-CN"/>
        </w:rPr>
        <w:t>一</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eastAsia="zh-CN"/>
        </w:rPr>
        <w:t>来</w:t>
      </w:r>
      <w:r>
        <w:rPr>
          <w:rFonts w:hint="default" w:ascii="Times New Roman" w:hAnsi="Times New Roman" w:eastAsia="仿宋" w:cs="Times New Roman"/>
          <w:sz w:val="32"/>
          <w:szCs w:val="32"/>
        </w:rPr>
        <w:t>共向市政府总值班室报送突发事件信息5期，接收省市突发事件领导批示件落实情况8期，未出现迟报、漏报和瞒报等现象。认真做好来访群众的接待和引导工作，及时调度信访矛盾化解工作，</w:t>
      </w:r>
      <w:r>
        <w:rPr>
          <w:rFonts w:hint="eastAsia" w:ascii="Times New Roman" w:hAnsi="Times New Roman" w:eastAsia="仿宋" w:cs="Times New Roman"/>
          <w:sz w:val="32"/>
          <w:szCs w:val="32"/>
          <w:lang w:eastAsia="zh-CN"/>
        </w:rPr>
        <w:t>一年来</w:t>
      </w:r>
      <w:r>
        <w:rPr>
          <w:rFonts w:hint="default" w:ascii="Times New Roman" w:hAnsi="Times New Roman" w:eastAsia="仿宋" w:cs="Times New Roman"/>
          <w:sz w:val="32"/>
          <w:szCs w:val="32"/>
        </w:rPr>
        <w:t>共接待来访群众320余人次，畅通了来访渠道，为来访群众解决相关诉求80余件。</w:t>
      </w:r>
    </w:p>
    <w:p w14:paraId="7E98672D">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jc w:val="both"/>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rPr>
        <w:t>三是认真办理建议提案。</w:t>
      </w:r>
      <w:r>
        <w:rPr>
          <w:rFonts w:hint="default" w:ascii="Times New Roman" w:hAnsi="Times New Roman" w:eastAsia="仿宋" w:cs="Times New Roman"/>
          <w:sz w:val="32"/>
          <w:szCs w:val="32"/>
        </w:rPr>
        <w:t>牵头召开专题会议对56件建议提案进行集中交办，明确时间节点和目标任务，</w:t>
      </w:r>
      <w:r>
        <w:rPr>
          <w:rFonts w:hint="default" w:ascii="Times New Roman" w:hAnsi="Times New Roman" w:eastAsia="仿宋" w:cs="Times New Roman"/>
          <w:color w:val="000000"/>
          <w:kern w:val="0"/>
          <w:sz w:val="31"/>
          <w:szCs w:val="31"/>
          <w:shd w:val="clear" w:color="auto" w:fill="FFFFFF"/>
        </w:rPr>
        <w:t>经归口分类，已交由政府系统17个单位主办，9个单位会办</w:t>
      </w:r>
      <w:r>
        <w:rPr>
          <w:rFonts w:hint="default" w:ascii="Times New Roman" w:hAnsi="Times New Roman" w:eastAsia="仿宋" w:cs="Times New Roman"/>
          <w:sz w:val="32"/>
          <w:szCs w:val="32"/>
        </w:rPr>
        <w:t>。在办理过程中，始终坚持以讲求实效为目的，着力做到“三联系、三沟通”，确保件件有回音、件件有落实。现所有建议全部按时办结,建议办理工作实现见面率、答复率、办结率、满意率四个100%。</w:t>
      </w:r>
      <w:r>
        <w:rPr>
          <w:rFonts w:hint="eastAsia" w:ascii="Times New Roman" w:hAnsi="Times New Roman" w:eastAsia="仿宋" w:cs="Times New Roman"/>
          <w:sz w:val="32"/>
          <w:szCs w:val="32"/>
          <w:lang w:val="en-US" w:eastAsia="zh-CN"/>
        </w:rPr>
        <w:t xml:space="preserve"> </w:t>
      </w:r>
    </w:p>
    <w:p w14:paraId="63A2CB0B">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四是切实做好金融服务。</w:t>
      </w:r>
      <w:r>
        <w:rPr>
          <w:rFonts w:hint="eastAsia" w:ascii="Times New Roman" w:hAnsi="Times New Roman" w:eastAsia="仿宋" w:cs="Times New Roman"/>
          <w:sz w:val="32"/>
          <w:szCs w:val="32"/>
          <w:lang w:val="en-US" w:eastAsia="zh-CN"/>
        </w:rPr>
        <w:t>加强“打非处突”宣传，举办宣传活动3场次，发放资料20000份，接受咨询2000人次。</w:t>
      </w:r>
      <w:r>
        <w:rPr>
          <w:rFonts w:hint="default" w:ascii="Times New Roman" w:hAnsi="Times New Roman" w:eastAsia="仿宋" w:cs="Times New Roman"/>
          <w:sz w:val="32"/>
          <w:szCs w:val="32"/>
        </w:rPr>
        <w:t>认真做好涉嫌非法集资风险常态化排查工作，就排查出的湘瓷竹木市场和邵阳市诚信天然气有限公司的民间融资成立了工作专班进行处置，并安排专人做好维稳工作，截至目前，全区没有发生非法集资案件。开展金融服务企业，认真走访君志达、东信棉业、美祥工艺品等企业，积极宣传引导区域股权市场挂牌和上市工作。上半年，经与市金融办对接申报，为碧霖园绿化工程有限公司申请落实挂牌补贴资金36万元，并帮助公司争取到区政府“真抓实干”奖补资金3万元。</w:t>
      </w:r>
    </w:p>
    <w:p w14:paraId="5683E99C">
      <w:pPr>
        <w:keepNext w:val="0"/>
        <w:keepLines w:val="0"/>
        <w:pageBreakBefore w:val="0"/>
        <w:kinsoku/>
        <w:wordWrap/>
        <w:overflowPunct/>
        <w:topLinePunct w:val="0"/>
        <w:autoSpaceDE/>
        <w:autoSpaceDN/>
        <w:bidi w:val="0"/>
        <w:adjustRightInd/>
        <w:spacing w:beforeAutospacing="0" w:afterAutospacing="0"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五是扎实开展驻村帮扶。</w:t>
      </w:r>
      <w:r>
        <w:rPr>
          <w:rFonts w:hint="default" w:ascii="Times New Roman" w:hAnsi="Times New Roman" w:eastAsia="仿宋_GB2312" w:cs="Times New Roman"/>
          <w:sz w:val="32"/>
          <w:szCs w:val="32"/>
          <w:lang w:val="en-US" w:eastAsia="zh-CN"/>
        </w:rPr>
        <w:t>严格按照区委要求，着力做好联点</w:t>
      </w:r>
      <w:r>
        <w:rPr>
          <w:rFonts w:hint="eastAsia" w:ascii="Times New Roman" w:hAnsi="Times New Roman" w:eastAsia="仿宋_GB2312" w:cs="Times New Roman"/>
          <w:sz w:val="32"/>
          <w:szCs w:val="32"/>
          <w:lang w:val="en-US" w:eastAsia="zh-CN"/>
        </w:rPr>
        <w:t>茶元头村</w:t>
      </w:r>
      <w:r>
        <w:rPr>
          <w:rFonts w:hint="default" w:ascii="Times New Roman" w:hAnsi="Times New Roman" w:eastAsia="仿宋_GB2312" w:cs="Times New Roman"/>
          <w:sz w:val="32"/>
          <w:szCs w:val="32"/>
          <w:lang w:val="en-US" w:eastAsia="zh-CN"/>
        </w:rPr>
        <w:t>的帮扶工作，接力脱贫攻坚，继续安排1名干部驻陈家桥社区开展乡村振兴工作，组织办公室干部开展乡村振兴大走访4次，及时收集了解社区在乡村振兴发展中的重点和难点，帮助困难群众解决问题11个。</w:t>
      </w:r>
      <w:r>
        <w:rPr>
          <w:rFonts w:hint="default" w:ascii="Times New Roman" w:hAnsi="Times New Roman" w:eastAsia="仿宋_GB2312" w:cs="Times New Roman"/>
          <w:sz w:val="32"/>
          <w:szCs w:val="32"/>
        </w:rPr>
        <w:t>围绕群众“急难愁盼”问题，积极开展“我为群众办实事”、圆梦“微心愿”等系列实践活动，已</w:t>
      </w:r>
      <w:r>
        <w:rPr>
          <w:rFonts w:hint="default" w:ascii="Times New Roman" w:hAnsi="Times New Roman" w:eastAsia="仿宋_GB2312" w:cs="Times New Roman"/>
          <w:sz w:val="32"/>
          <w:szCs w:val="32"/>
          <w:lang w:val="en-US" w:eastAsia="zh-CN"/>
        </w:rPr>
        <w:t>梳理为民办实事项目16个，认领群众“微心愿”20个。</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年来，办公室在社区班子换届、创国文、综治、脱贫攻坚和乡村振兴等工作中都不等不靠，尽力竭力多做贡献，确保</w:t>
      </w:r>
      <w:r>
        <w:rPr>
          <w:rFonts w:hint="eastAsia" w:ascii="Times New Roman" w:hAnsi="Times New Roman" w:eastAsia="仿宋_GB2312" w:cs="Times New Roman"/>
          <w:sz w:val="32"/>
          <w:szCs w:val="32"/>
          <w:lang w:val="en-US" w:eastAsia="zh-CN"/>
        </w:rPr>
        <w:t>驻村帮扶落到实处。</w:t>
      </w:r>
    </w:p>
    <w:p w14:paraId="65390194">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七、存在的问题及原因分析</w:t>
      </w:r>
    </w:p>
    <w:p w14:paraId="6E7540B2">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1.预算执行进度不够均衡，部分项目支出进度较慢。</w:t>
      </w:r>
    </w:p>
    <w:p w14:paraId="1AB265FC">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2.预算绩效管理的指标体系还不够完善，部分指标的可衡量性和可操作性有待提高。</w:t>
      </w:r>
    </w:p>
    <w:p w14:paraId="66BCDD28">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3.预算绩效管理的信息化水平还不够高，信息共享和数据分析能力有待加强。</w:t>
      </w:r>
    </w:p>
    <w:p w14:paraId="33B6C402">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八、下一步改进措施</w:t>
      </w:r>
    </w:p>
    <w:p w14:paraId="3AC8FFCA">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1.加强预算执行的监控和管理，建立健全预算执行进度通报和督促机制，确保预算支出按时完成。</w:t>
      </w:r>
    </w:p>
    <w:p w14:paraId="6E1DD552">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2.进一步完善预算绩效管理的指标体系，结合组织工作的实际情况，科学合理地设置指标，提高指标的可衡量性和可操作性。</w:t>
      </w:r>
    </w:p>
    <w:p w14:paraId="2E646E58">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3.加强预算绩效管理的信息化建设，建立预算绩效管理信息系统，实现预算绩效管理的信息化、规范化和科学化。</w:t>
      </w:r>
    </w:p>
    <w:p w14:paraId="252B03D6">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九、其他需要说明的情况</w:t>
      </w:r>
    </w:p>
    <w:p w14:paraId="0D9E0965">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无其他说明情况</w:t>
      </w:r>
    </w:p>
    <w:p w14:paraId="56504750">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eastAsia="仿宋_GB2312" w:cs="仿宋_GB2312"/>
          <w:color w:val="000000"/>
          <w:sz w:val="32"/>
          <w:szCs w:val="32"/>
          <w:shd w:val="clear" w:color="auto" w:fill="FFFFFF"/>
        </w:rPr>
      </w:pPr>
    </w:p>
    <w:p w14:paraId="6BE9A572">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附件：</w:t>
      </w:r>
    </w:p>
    <w:p w14:paraId="5EB69AB7">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1.</w:t>
      </w:r>
      <w:r>
        <w:rPr>
          <w:rFonts w:ascii="仿宋_GB2312" w:eastAsia="仿宋_GB2312" w:cs="仿宋_GB2312"/>
          <w:color w:val="000000"/>
          <w:sz w:val="32"/>
          <w:szCs w:val="32"/>
          <w:shd w:val="clear" w:color="auto" w:fill="FFFFFF"/>
        </w:rPr>
        <w:t>部门整体支出绩效评价基础数据表</w:t>
      </w:r>
    </w:p>
    <w:p w14:paraId="24E2B58C">
      <w:pPr>
        <w:pStyle w:val="6"/>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2.</w:t>
      </w:r>
      <w:r>
        <w:rPr>
          <w:rFonts w:ascii="仿宋_GB2312" w:eastAsia="仿宋_GB2312" w:cs="仿宋_GB2312"/>
          <w:color w:val="000000"/>
          <w:sz w:val="32"/>
          <w:szCs w:val="32"/>
          <w:shd w:val="clear" w:color="auto" w:fill="FFFFFF"/>
        </w:rPr>
        <w:t>部门整体支出绩效自评表</w:t>
      </w:r>
    </w:p>
    <w:p w14:paraId="0D750D73">
      <w:pPr>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br w:type="page"/>
      </w:r>
      <w:bookmarkStart w:id="0" w:name="_GoBack"/>
      <w:bookmarkEnd w:id="0"/>
    </w:p>
    <w:p w14:paraId="4DEB9BA3">
      <w:pPr>
        <w:pStyle w:val="6"/>
        <w:widowControl/>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r>
        <w:rPr>
          <w:rFonts w:hint="eastAsia" w:ascii="方正小标宋_GBK" w:hAnsi="方正小标宋_GBK" w:eastAsia="方正小标宋_GBK" w:cs="方正小标宋_GBK"/>
          <w:color w:val="000000"/>
          <w:sz w:val="32"/>
          <w:szCs w:val="32"/>
          <w:shd w:val="clear" w:color="auto" w:fill="FFFFFF"/>
        </w:rPr>
        <w:t xml:space="preserve">附件1-1 </w:t>
      </w:r>
    </w:p>
    <w:p w14:paraId="11DE2A27">
      <w:pPr>
        <w:pStyle w:val="6"/>
        <w:widowControl/>
        <w:shd w:val="clear" w:color="auto" w:fill="FFFFFF"/>
        <w:spacing w:beforeAutospacing="0" w:afterAutospacing="0" w:line="480" w:lineRule="exact"/>
        <w:jc w:val="both"/>
        <w:rPr>
          <w:rFonts w:ascii="方正小标宋简体" w:hAnsi="方正小标宋简体" w:eastAsia="方正小标宋简体" w:cs="方正小标宋简体"/>
          <w:color w:val="000000"/>
          <w:sz w:val="44"/>
          <w:szCs w:val="44"/>
        </w:rPr>
      </w:pPr>
      <w:r>
        <w:rPr>
          <w:rFonts w:hint="eastAsia" w:ascii="方正小标宋_GBK" w:hAnsi="方正小标宋_GBK" w:eastAsia="方正小标宋_GBK" w:cs="方正小标宋_GBK"/>
          <w:color w:val="000000"/>
          <w:sz w:val="32"/>
          <w:szCs w:val="32"/>
          <w:shd w:val="clear" w:color="auto" w:fill="FFFFFF"/>
        </w:rPr>
        <w:t> </w:t>
      </w:r>
      <w:r>
        <w:rPr>
          <w:rFonts w:hint="eastAsia" w:ascii="微软雅黑" w:hAnsi="微软雅黑" w:eastAsia="微软雅黑" w:cs="微软雅黑"/>
          <w:color w:val="000000"/>
          <w:shd w:val="clear" w:color="auto" w:fill="FFFFFF"/>
        </w:rPr>
        <w:t xml:space="preserve">    </w:t>
      </w:r>
      <w:r>
        <w:rPr>
          <w:rFonts w:hint="eastAsia" w:ascii="方正小标宋简体" w:hAnsi="方正小标宋简体" w:eastAsia="方正小标宋简体" w:cs="方正小标宋简体"/>
          <w:color w:val="000000"/>
          <w:sz w:val="44"/>
          <w:szCs w:val="44"/>
        </w:rPr>
        <w:t>部门整体支出绩效评价基础数据表</w:t>
      </w:r>
    </w:p>
    <w:p w14:paraId="4E2A0D71">
      <w:pPr>
        <w:widowControl/>
        <w:tabs>
          <w:tab w:val="left" w:pos="3611"/>
          <w:tab w:val="left" w:pos="4791"/>
          <w:tab w:val="left" w:pos="5951"/>
          <w:tab w:val="left" w:pos="7071"/>
          <w:tab w:val="left" w:pos="8191"/>
          <w:tab w:val="left" w:pos="9311"/>
        </w:tabs>
        <w:ind w:left="91"/>
        <w:jc w:val="left"/>
        <w:rPr>
          <w:rFonts w:eastAsia="仿宋_GB2312"/>
          <w:kern w:val="0"/>
          <w:sz w:val="24"/>
        </w:rPr>
      </w:pPr>
      <w:r>
        <w:rPr>
          <w:rFonts w:hint="eastAsia" w:eastAsia="仿宋_GB2312"/>
          <w:kern w:val="0"/>
          <w:sz w:val="24"/>
        </w:rPr>
        <w:t xml:space="preserve">填报单位：邵阳市北塔区人民政府办公室                                       </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17B1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vAlign w:val="center"/>
          </w:tcPr>
          <w:p w14:paraId="2C7D02AB">
            <w:pPr>
              <w:widowControl/>
              <w:jc w:val="center"/>
              <w:rPr>
                <w:rFonts w:ascii="仿宋" w:hAnsi="仿宋" w:eastAsia="仿宋" w:cs="仿宋"/>
                <w:kern w:val="0"/>
                <w:sz w:val="20"/>
                <w:szCs w:val="20"/>
              </w:rPr>
            </w:pPr>
            <w:r>
              <w:rPr>
                <w:rFonts w:hint="eastAsia" w:ascii="仿宋" w:hAnsi="仿宋" w:eastAsia="仿宋" w:cs="仿宋"/>
                <w:kern w:val="0"/>
                <w:sz w:val="20"/>
                <w:szCs w:val="20"/>
              </w:rPr>
              <w:t>财政供养人员情况</w:t>
            </w:r>
          </w:p>
        </w:tc>
        <w:tc>
          <w:tcPr>
            <w:tcW w:w="2038" w:type="dxa"/>
            <w:gridSpan w:val="2"/>
            <w:vAlign w:val="center"/>
          </w:tcPr>
          <w:p w14:paraId="24A62966">
            <w:pPr>
              <w:widowControl/>
              <w:jc w:val="center"/>
              <w:rPr>
                <w:rFonts w:ascii="仿宋" w:hAnsi="仿宋" w:eastAsia="仿宋" w:cs="仿宋"/>
                <w:kern w:val="0"/>
                <w:sz w:val="20"/>
                <w:szCs w:val="20"/>
              </w:rPr>
            </w:pPr>
            <w:r>
              <w:rPr>
                <w:rFonts w:hint="eastAsia" w:ascii="仿宋" w:hAnsi="仿宋" w:eastAsia="仿宋" w:cs="仿宋"/>
                <w:kern w:val="0"/>
                <w:sz w:val="20"/>
                <w:szCs w:val="20"/>
              </w:rPr>
              <w:t>编制数</w:t>
            </w:r>
          </w:p>
        </w:tc>
        <w:tc>
          <w:tcPr>
            <w:tcW w:w="2240" w:type="dxa"/>
            <w:gridSpan w:val="2"/>
            <w:vAlign w:val="center"/>
          </w:tcPr>
          <w:p w14:paraId="47DC9982">
            <w:pPr>
              <w:widowControl/>
              <w:jc w:val="center"/>
              <w:rPr>
                <w:rFonts w:ascii="仿宋" w:hAnsi="仿宋" w:eastAsia="仿宋" w:cs="仿宋"/>
                <w:kern w:val="0"/>
                <w:sz w:val="20"/>
                <w:szCs w:val="20"/>
              </w:rPr>
            </w:pPr>
            <w:r>
              <w:rPr>
                <w:rFonts w:hint="eastAsia" w:ascii="仿宋" w:hAnsi="仿宋" w:eastAsia="仿宋" w:cs="仿宋"/>
                <w:kern w:val="0"/>
                <w:sz w:val="20"/>
                <w:szCs w:val="20"/>
              </w:rPr>
              <w:t>2023年实际在职人数</w:t>
            </w:r>
          </w:p>
        </w:tc>
        <w:tc>
          <w:tcPr>
            <w:tcW w:w="1832" w:type="dxa"/>
            <w:gridSpan w:val="2"/>
            <w:vAlign w:val="center"/>
          </w:tcPr>
          <w:p w14:paraId="7534D4C1">
            <w:pPr>
              <w:widowControl/>
              <w:jc w:val="center"/>
              <w:rPr>
                <w:rFonts w:ascii="仿宋" w:hAnsi="仿宋" w:eastAsia="仿宋" w:cs="仿宋"/>
                <w:kern w:val="0"/>
                <w:sz w:val="20"/>
                <w:szCs w:val="20"/>
              </w:rPr>
            </w:pPr>
            <w:r>
              <w:rPr>
                <w:rFonts w:hint="eastAsia" w:ascii="仿宋" w:hAnsi="仿宋" w:eastAsia="仿宋" w:cs="仿宋"/>
                <w:kern w:val="0"/>
                <w:sz w:val="20"/>
                <w:szCs w:val="20"/>
              </w:rPr>
              <w:t>控制率</w:t>
            </w:r>
          </w:p>
        </w:tc>
      </w:tr>
      <w:tr w14:paraId="5F00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4" w:type="dxa"/>
            <w:vMerge w:val="continue"/>
            <w:vAlign w:val="center"/>
          </w:tcPr>
          <w:p w14:paraId="54ECDC9A">
            <w:pPr>
              <w:widowControl/>
              <w:jc w:val="left"/>
              <w:rPr>
                <w:rFonts w:ascii="仿宋" w:hAnsi="仿宋" w:eastAsia="仿宋" w:cs="仿宋"/>
                <w:kern w:val="0"/>
                <w:sz w:val="20"/>
                <w:szCs w:val="20"/>
              </w:rPr>
            </w:pPr>
          </w:p>
        </w:tc>
        <w:tc>
          <w:tcPr>
            <w:tcW w:w="2038" w:type="dxa"/>
            <w:gridSpan w:val="2"/>
            <w:vAlign w:val="center"/>
          </w:tcPr>
          <w:p w14:paraId="3ED99DE7">
            <w:pPr>
              <w:widowControl/>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23</w:t>
            </w:r>
          </w:p>
        </w:tc>
        <w:tc>
          <w:tcPr>
            <w:tcW w:w="2240" w:type="dxa"/>
            <w:gridSpan w:val="2"/>
            <w:vAlign w:val="center"/>
          </w:tcPr>
          <w:p w14:paraId="76DED031">
            <w:pPr>
              <w:widowControl/>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36</w:t>
            </w:r>
          </w:p>
        </w:tc>
        <w:tc>
          <w:tcPr>
            <w:tcW w:w="1832" w:type="dxa"/>
            <w:gridSpan w:val="2"/>
            <w:vAlign w:val="center"/>
          </w:tcPr>
          <w:p w14:paraId="47FF88D6">
            <w:pPr>
              <w:widowControl/>
              <w:jc w:val="center"/>
              <w:rPr>
                <w:rFonts w:ascii="仿宋" w:hAnsi="仿宋" w:eastAsia="仿宋" w:cs="仿宋"/>
                <w:kern w:val="0"/>
                <w:sz w:val="20"/>
                <w:szCs w:val="20"/>
              </w:rPr>
            </w:pPr>
            <w:r>
              <w:rPr>
                <w:rFonts w:hint="eastAsia" w:ascii="仿宋" w:hAnsi="仿宋" w:eastAsia="仿宋" w:cs="仿宋"/>
                <w:kern w:val="0"/>
                <w:sz w:val="20"/>
                <w:szCs w:val="20"/>
              </w:rPr>
              <w:t>156.52%　</w:t>
            </w:r>
          </w:p>
        </w:tc>
      </w:tr>
      <w:tr w14:paraId="765A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C83DBFB">
            <w:pPr>
              <w:widowControl/>
              <w:jc w:val="center"/>
              <w:rPr>
                <w:rFonts w:ascii="仿宋" w:hAnsi="仿宋" w:eastAsia="仿宋" w:cs="仿宋"/>
                <w:kern w:val="0"/>
                <w:sz w:val="20"/>
                <w:szCs w:val="20"/>
              </w:rPr>
            </w:pPr>
            <w:r>
              <w:rPr>
                <w:rFonts w:hint="eastAsia" w:ascii="仿宋" w:hAnsi="仿宋" w:eastAsia="仿宋" w:cs="仿宋"/>
                <w:kern w:val="0"/>
                <w:sz w:val="20"/>
                <w:szCs w:val="20"/>
              </w:rPr>
              <w:t>经费控制情况</w:t>
            </w:r>
          </w:p>
        </w:tc>
        <w:tc>
          <w:tcPr>
            <w:tcW w:w="2038" w:type="dxa"/>
            <w:gridSpan w:val="2"/>
            <w:vAlign w:val="center"/>
          </w:tcPr>
          <w:p w14:paraId="1D664D00">
            <w:pPr>
              <w:widowControl/>
              <w:jc w:val="center"/>
              <w:rPr>
                <w:rFonts w:ascii="仿宋" w:hAnsi="仿宋" w:eastAsia="仿宋" w:cs="仿宋"/>
                <w:kern w:val="0"/>
                <w:sz w:val="20"/>
                <w:szCs w:val="20"/>
              </w:rPr>
            </w:pPr>
            <w:r>
              <w:rPr>
                <w:rFonts w:hint="eastAsia" w:ascii="仿宋" w:hAnsi="仿宋" w:eastAsia="仿宋" w:cs="仿宋"/>
                <w:kern w:val="0"/>
                <w:sz w:val="20"/>
                <w:szCs w:val="20"/>
              </w:rPr>
              <w:t>2022年决算数</w:t>
            </w:r>
          </w:p>
        </w:tc>
        <w:tc>
          <w:tcPr>
            <w:tcW w:w="2240" w:type="dxa"/>
            <w:gridSpan w:val="2"/>
            <w:vAlign w:val="center"/>
          </w:tcPr>
          <w:p w14:paraId="127439EB">
            <w:pPr>
              <w:widowControl/>
              <w:jc w:val="center"/>
              <w:rPr>
                <w:rFonts w:ascii="仿宋" w:hAnsi="仿宋" w:eastAsia="仿宋" w:cs="仿宋"/>
                <w:kern w:val="0"/>
                <w:sz w:val="20"/>
                <w:szCs w:val="20"/>
              </w:rPr>
            </w:pPr>
            <w:r>
              <w:rPr>
                <w:rFonts w:hint="eastAsia" w:ascii="仿宋" w:hAnsi="仿宋" w:eastAsia="仿宋" w:cs="仿宋"/>
                <w:kern w:val="0"/>
                <w:sz w:val="20"/>
                <w:szCs w:val="20"/>
              </w:rPr>
              <w:t>2023年预算数</w:t>
            </w:r>
          </w:p>
        </w:tc>
        <w:tc>
          <w:tcPr>
            <w:tcW w:w="1832" w:type="dxa"/>
            <w:gridSpan w:val="2"/>
            <w:vAlign w:val="center"/>
          </w:tcPr>
          <w:p w14:paraId="6C3F33C9">
            <w:pPr>
              <w:widowControl/>
              <w:jc w:val="center"/>
              <w:rPr>
                <w:rFonts w:ascii="仿宋" w:hAnsi="仿宋" w:eastAsia="仿宋" w:cs="仿宋"/>
                <w:kern w:val="0"/>
                <w:sz w:val="20"/>
                <w:szCs w:val="20"/>
              </w:rPr>
            </w:pPr>
            <w:r>
              <w:rPr>
                <w:rFonts w:hint="eastAsia" w:ascii="仿宋" w:hAnsi="仿宋" w:eastAsia="仿宋" w:cs="仿宋"/>
                <w:kern w:val="0"/>
                <w:sz w:val="20"/>
                <w:szCs w:val="20"/>
              </w:rPr>
              <w:t>2023年决算数</w:t>
            </w:r>
          </w:p>
        </w:tc>
      </w:tr>
      <w:tr w14:paraId="68E6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88A0D93">
            <w:pPr>
              <w:widowControl/>
              <w:jc w:val="left"/>
              <w:rPr>
                <w:rFonts w:ascii="仿宋" w:hAnsi="仿宋" w:eastAsia="仿宋" w:cs="仿宋"/>
                <w:kern w:val="0"/>
                <w:sz w:val="20"/>
                <w:szCs w:val="20"/>
              </w:rPr>
            </w:pPr>
            <w:r>
              <w:rPr>
                <w:rFonts w:hint="eastAsia" w:ascii="仿宋" w:hAnsi="仿宋" w:eastAsia="仿宋" w:cs="仿宋"/>
                <w:kern w:val="0"/>
                <w:sz w:val="20"/>
                <w:szCs w:val="20"/>
              </w:rPr>
              <w:t>三公经费</w:t>
            </w:r>
          </w:p>
        </w:tc>
        <w:tc>
          <w:tcPr>
            <w:tcW w:w="2038" w:type="dxa"/>
            <w:gridSpan w:val="2"/>
            <w:vAlign w:val="center"/>
          </w:tcPr>
          <w:p w14:paraId="7A5749BA">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2240" w:type="dxa"/>
            <w:gridSpan w:val="2"/>
            <w:vAlign w:val="center"/>
          </w:tcPr>
          <w:p w14:paraId="05734A94">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832" w:type="dxa"/>
            <w:gridSpan w:val="2"/>
            <w:vAlign w:val="center"/>
          </w:tcPr>
          <w:p w14:paraId="3A117265">
            <w:pPr>
              <w:widowControl/>
              <w:jc w:val="center"/>
              <w:rPr>
                <w:rFonts w:ascii="仿宋" w:hAnsi="仿宋" w:eastAsia="仿宋" w:cs="仿宋"/>
                <w:kern w:val="0"/>
                <w:sz w:val="20"/>
                <w:szCs w:val="20"/>
              </w:rPr>
            </w:pPr>
            <w:r>
              <w:rPr>
                <w:rFonts w:hint="eastAsia" w:ascii="仿宋" w:hAnsi="仿宋" w:eastAsia="仿宋" w:cs="仿宋"/>
                <w:kern w:val="0"/>
                <w:sz w:val="20"/>
                <w:szCs w:val="20"/>
              </w:rPr>
              <w:t>　0</w:t>
            </w:r>
          </w:p>
        </w:tc>
      </w:tr>
      <w:tr w14:paraId="49EE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5FDCCAF">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1、公务用车购置和维护经费</w:t>
            </w:r>
          </w:p>
        </w:tc>
        <w:tc>
          <w:tcPr>
            <w:tcW w:w="2038" w:type="dxa"/>
            <w:gridSpan w:val="2"/>
            <w:vAlign w:val="center"/>
          </w:tcPr>
          <w:p w14:paraId="4676F819">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2240" w:type="dxa"/>
            <w:gridSpan w:val="2"/>
            <w:vAlign w:val="center"/>
          </w:tcPr>
          <w:p w14:paraId="7C0F61BE">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832" w:type="dxa"/>
            <w:gridSpan w:val="2"/>
            <w:vAlign w:val="center"/>
          </w:tcPr>
          <w:p w14:paraId="47FF0A9D">
            <w:pPr>
              <w:widowControl/>
              <w:jc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r>
      <w:tr w14:paraId="459A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B42A098">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其中：公车购置</w:t>
            </w:r>
          </w:p>
        </w:tc>
        <w:tc>
          <w:tcPr>
            <w:tcW w:w="2038" w:type="dxa"/>
            <w:gridSpan w:val="2"/>
            <w:vAlign w:val="center"/>
          </w:tcPr>
          <w:p w14:paraId="32CFF012">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2240" w:type="dxa"/>
            <w:gridSpan w:val="2"/>
            <w:vAlign w:val="center"/>
          </w:tcPr>
          <w:p w14:paraId="02EC1564">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832" w:type="dxa"/>
            <w:gridSpan w:val="2"/>
            <w:vAlign w:val="center"/>
          </w:tcPr>
          <w:p w14:paraId="2A5B26CD">
            <w:pPr>
              <w:widowControl/>
              <w:jc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r>
      <w:tr w14:paraId="2E1E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CE54733">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公车运行维护</w:t>
            </w:r>
          </w:p>
        </w:tc>
        <w:tc>
          <w:tcPr>
            <w:tcW w:w="2038" w:type="dxa"/>
            <w:gridSpan w:val="2"/>
            <w:vAlign w:val="center"/>
          </w:tcPr>
          <w:p w14:paraId="46F8BE7D">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2240" w:type="dxa"/>
            <w:gridSpan w:val="2"/>
            <w:vAlign w:val="center"/>
          </w:tcPr>
          <w:p w14:paraId="4444F94E">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832" w:type="dxa"/>
            <w:gridSpan w:val="2"/>
            <w:vAlign w:val="center"/>
          </w:tcPr>
          <w:p w14:paraId="59836310">
            <w:pPr>
              <w:widowControl/>
              <w:jc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r>
      <w:tr w14:paraId="4877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C8C53DE">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2、出国经费</w:t>
            </w:r>
          </w:p>
        </w:tc>
        <w:tc>
          <w:tcPr>
            <w:tcW w:w="2038" w:type="dxa"/>
            <w:gridSpan w:val="2"/>
            <w:vAlign w:val="center"/>
          </w:tcPr>
          <w:p w14:paraId="321E64DB">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2240" w:type="dxa"/>
            <w:gridSpan w:val="2"/>
            <w:vAlign w:val="center"/>
          </w:tcPr>
          <w:p w14:paraId="044A0A85">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832" w:type="dxa"/>
            <w:gridSpan w:val="2"/>
            <w:vAlign w:val="center"/>
          </w:tcPr>
          <w:p w14:paraId="7D23AB72">
            <w:pPr>
              <w:widowControl/>
              <w:jc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r>
      <w:tr w14:paraId="1A61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4B45C1E">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3、公务接待</w:t>
            </w:r>
          </w:p>
        </w:tc>
        <w:tc>
          <w:tcPr>
            <w:tcW w:w="2038" w:type="dxa"/>
            <w:gridSpan w:val="2"/>
            <w:vAlign w:val="center"/>
          </w:tcPr>
          <w:p w14:paraId="5F6C54F7">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2240" w:type="dxa"/>
            <w:gridSpan w:val="2"/>
            <w:vAlign w:val="center"/>
          </w:tcPr>
          <w:p w14:paraId="1067DFAF">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832" w:type="dxa"/>
            <w:gridSpan w:val="2"/>
            <w:vAlign w:val="center"/>
          </w:tcPr>
          <w:p w14:paraId="16CBC1BC">
            <w:pPr>
              <w:widowControl/>
              <w:jc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r>
      <w:tr w14:paraId="75A4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4732125">
            <w:pPr>
              <w:widowControl/>
              <w:jc w:val="left"/>
              <w:rPr>
                <w:rFonts w:ascii="仿宋" w:hAnsi="仿宋" w:eastAsia="仿宋" w:cs="仿宋"/>
                <w:kern w:val="0"/>
                <w:sz w:val="20"/>
                <w:szCs w:val="20"/>
              </w:rPr>
            </w:pPr>
            <w:r>
              <w:rPr>
                <w:rFonts w:hint="eastAsia" w:ascii="仿宋" w:hAnsi="仿宋" w:eastAsia="仿宋" w:cs="仿宋"/>
                <w:kern w:val="0"/>
                <w:sz w:val="20"/>
                <w:szCs w:val="20"/>
              </w:rPr>
              <w:t>项目支出：</w:t>
            </w:r>
          </w:p>
        </w:tc>
        <w:tc>
          <w:tcPr>
            <w:tcW w:w="2038" w:type="dxa"/>
            <w:gridSpan w:val="2"/>
            <w:vAlign w:val="center"/>
          </w:tcPr>
          <w:p w14:paraId="2AE1DE19">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2240" w:type="dxa"/>
            <w:gridSpan w:val="2"/>
            <w:vAlign w:val="center"/>
          </w:tcPr>
          <w:p w14:paraId="061BD8EA">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57</w:t>
            </w:r>
          </w:p>
        </w:tc>
        <w:tc>
          <w:tcPr>
            <w:tcW w:w="1832" w:type="dxa"/>
            <w:gridSpan w:val="2"/>
            <w:vAlign w:val="center"/>
          </w:tcPr>
          <w:p w14:paraId="65C235FC">
            <w:pPr>
              <w:widowControl/>
              <w:jc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r>
      <w:tr w14:paraId="6A75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BA1C43F">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1、业务工作经费</w:t>
            </w:r>
          </w:p>
        </w:tc>
        <w:tc>
          <w:tcPr>
            <w:tcW w:w="2038" w:type="dxa"/>
            <w:gridSpan w:val="2"/>
            <w:vAlign w:val="center"/>
          </w:tcPr>
          <w:p w14:paraId="523686A1">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2240" w:type="dxa"/>
            <w:gridSpan w:val="2"/>
            <w:vAlign w:val="center"/>
          </w:tcPr>
          <w:p w14:paraId="29FC776D">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57</w:t>
            </w:r>
          </w:p>
        </w:tc>
        <w:tc>
          <w:tcPr>
            <w:tcW w:w="1832" w:type="dxa"/>
            <w:gridSpan w:val="2"/>
            <w:vAlign w:val="center"/>
          </w:tcPr>
          <w:p w14:paraId="600D94F5">
            <w:pPr>
              <w:widowControl/>
              <w:jc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r>
      <w:tr w14:paraId="6020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2A6A9F1">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2、运行维护经费</w:t>
            </w:r>
          </w:p>
        </w:tc>
        <w:tc>
          <w:tcPr>
            <w:tcW w:w="2038" w:type="dxa"/>
            <w:gridSpan w:val="2"/>
            <w:vAlign w:val="center"/>
          </w:tcPr>
          <w:p w14:paraId="3C77AB7C">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2240" w:type="dxa"/>
            <w:gridSpan w:val="2"/>
            <w:vAlign w:val="center"/>
          </w:tcPr>
          <w:p w14:paraId="6D0647C9">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832" w:type="dxa"/>
            <w:gridSpan w:val="2"/>
            <w:vAlign w:val="center"/>
          </w:tcPr>
          <w:p w14:paraId="6D43C45D">
            <w:pPr>
              <w:widowControl/>
              <w:jc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r>
      <w:tr w14:paraId="5E6A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1549186A">
            <w:pPr>
              <w:widowControl/>
              <w:ind w:firstLine="400" w:firstLineChars="200"/>
              <w:jc w:val="left"/>
              <w:rPr>
                <w:rFonts w:ascii="仿宋" w:hAnsi="仿宋" w:eastAsia="仿宋" w:cs="仿宋"/>
                <w:kern w:val="0"/>
                <w:sz w:val="20"/>
                <w:szCs w:val="20"/>
              </w:rPr>
            </w:pPr>
            <w:r>
              <w:rPr>
                <w:rFonts w:hint="eastAsia" w:ascii="仿宋" w:hAnsi="仿宋" w:eastAsia="仿宋" w:cs="仿宋"/>
                <w:kern w:val="0"/>
                <w:sz w:val="20"/>
                <w:szCs w:val="20"/>
              </w:rPr>
              <w:t>3、市级专项资金</w:t>
            </w:r>
          </w:p>
          <w:p w14:paraId="1DB7E48D">
            <w:pPr>
              <w:widowControl/>
              <w:ind w:firstLine="600" w:firstLineChars="300"/>
              <w:jc w:val="left"/>
              <w:rPr>
                <w:rFonts w:ascii="仿宋" w:hAnsi="仿宋" w:eastAsia="仿宋" w:cs="仿宋"/>
                <w:kern w:val="0"/>
                <w:sz w:val="20"/>
                <w:szCs w:val="20"/>
              </w:rPr>
            </w:pPr>
            <w:r>
              <w:rPr>
                <w:rFonts w:hint="eastAsia" w:ascii="仿宋" w:hAnsi="仿宋" w:eastAsia="仿宋" w:cs="仿宋"/>
                <w:kern w:val="0"/>
                <w:sz w:val="20"/>
                <w:szCs w:val="20"/>
              </w:rPr>
              <w:t>（一个专项一行）</w:t>
            </w:r>
          </w:p>
        </w:tc>
        <w:tc>
          <w:tcPr>
            <w:tcW w:w="2038" w:type="dxa"/>
            <w:gridSpan w:val="2"/>
            <w:vAlign w:val="center"/>
          </w:tcPr>
          <w:p w14:paraId="4682E9CB">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2240" w:type="dxa"/>
            <w:gridSpan w:val="2"/>
            <w:vAlign w:val="center"/>
          </w:tcPr>
          <w:p w14:paraId="7F64099D">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832" w:type="dxa"/>
            <w:gridSpan w:val="2"/>
            <w:vAlign w:val="center"/>
          </w:tcPr>
          <w:p w14:paraId="0911AE3D">
            <w:pPr>
              <w:widowControl/>
              <w:jc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r>
      <w:tr w14:paraId="74BF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EAF937B">
            <w:pPr>
              <w:widowControl/>
              <w:ind w:firstLine="400" w:firstLineChars="200"/>
              <w:jc w:val="left"/>
              <w:rPr>
                <w:rFonts w:ascii="仿宋" w:hAnsi="仿宋" w:eastAsia="仿宋" w:cs="仿宋"/>
                <w:kern w:val="0"/>
                <w:sz w:val="20"/>
                <w:szCs w:val="20"/>
              </w:rPr>
            </w:pPr>
            <w:r>
              <w:rPr>
                <w:rFonts w:hint="eastAsia" w:ascii="仿宋" w:hAnsi="仿宋" w:eastAsia="仿宋" w:cs="仿宋"/>
                <w:kern w:val="0"/>
                <w:sz w:val="20"/>
                <w:szCs w:val="20"/>
              </w:rPr>
              <w:t>4、其他事业类发展资金</w:t>
            </w:r>
          </w:p>
        </w:tc>
        <w:tc>
          <w:tcPr>
            <w:tcW w:w="2038" w:type="dxa"/>
            <w:gridSpan w:val="2"/>
            <w:vAlign w:val="center"/>
          </w:tcPr>
          <w:p w14:paraId="565FD233">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2240" w:type="dxa"/>
            <w:gridSpan w:val="2"/>
            <w:vAlign w:val="center"/>
          </w:tcPr>
          <w:p w14:paraId="6CD3D064">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832" w:type="dxa"/>
            <w:gridSpan w:val="2"/>
            <w:vAlign w:val="center"/>
          </w:tcPr>
          <w:p w14:paraId="454DB9E0">
            <w:pPr>
              <w:widowControl/>
              <w:jc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r>
      <w:tr w14:paraId="24FD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1839B20">
            <w:pPr>
              <w:widowControl/>
              <w:jc w:val="center"/>
              <w:rPr>
                <w:rFonts w:ascii="仿宋" w:hAnsi="仿宋" w:eastAsia="仿宋" w:cs="仿宋"/>
                <w:kern w:val="0"/>
                <w:sz w:val="20"/>
                <w:szCs w:val="20"/>
              </w:rPr>
            </w:pPr>
            <w:r>
              <w:rPr>
                <w:rFonts w:hint="eastAsia" w:ascii="仿宋" w:hAnsi="仿宋" w:eastAsia="仿宋" w:cs="仿宋"/>
                <w:kern w:val="0"/>
                <w:sz w:val="20"/>
                <w:szCs w:val="20"/>
              </w:rPr>
              <w:t>……</w:t>
            </w:r>
          </w:p>
        </w:tc>
        <w:tc>
          <w:tcPr>
            <w:tcW w:w="2038" w:type="dxa"/>
            <w:gridSpan w:val="2"/>
            <w:vAlign w:val="center"/>
          </w:tcPr>
          <w:p w14:paraId="0C2E3C40">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2240" w:type="dxa"/>
            <w:gridSpan w:val="2"/>
            <w:vAlign w:val="center"/>
          </w:tcPr>
          <w:p w14:paraId="0942A6C9">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832" w:type="dxa"/>
            <w:gridSpan w:val="2"/>
            <w:vAlign w:val="center"/>
          </w:tcPr>
          <w:p w14:paraId="1B2F71CD">
            <w:pPr>
              <w:widowControl/>
              <w:jc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0</w:t>
            </w:r>
          </w:p>
        </w:tc>
      </w:tr>
      <w:tr w14:paraId="1760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526C36A">
            <w:pPr>
              <w:widowControl/>
              <w:jc w:val="left"/>
              <w:rPr>
                <w:rFonts w:ascii="仿宋" w:hAnsi="仿宋" w:eastAsia="仿宋" w:cs="仿宋"/>
                <w:kern w:val="0"/>
                <w:sz w:val="20"/>
                <w:szCs w:val="20"/>
              </w:rPr>
            </w:pPr>
            <w:r>
              <w:rPr>
                <w:rFonts w:hint="eastAsia" w:ascii="仿宋" w:hAnsi="仿宋" w:eastAsia="仿宋" w:cs="仿宋"/>
                <w:kern w:val="0"/>
                <w:sz w:val="20"/>
                <w:szCs w:val="20"/>
              </w:rPr>
              <w:t>公用经费</w:t>
            </w:r>
          </w:p>
        </w:tc>
        <w:tc>
          <w:tcPr>
            <w:tcW w:w="2038" w:type="dxa"/>
            <w:gridSpan w:val="2"/>
            <w:vAlign w:val="center"/>
          </w:tcPr>
          <w:p w14:paraId="676A915A">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346.73</w:t>
            </w:r>
          </w:p>
        </w:tc>
        <w:tc>
          <w:tcPr>
            <w:tcW w:w="2240" w:type="dxa"/>
            <w:gridSpan w:val="2"/>
            <w:vAlign w:val="center"/>
          </w:tcPr>
          <w:p w14:paraId="42649DAB">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106.47</w:t>
            </w:r>
          </w:p>
        </w:tc>
        <w:tc>
          <w:tcPr>
            <w:tcW w:w="1832" w:type="dxa"/>
            <w:gridSpan w:val="2"/>
            <w:vAlign w:val="center"/>
          </w:tcPr>
          <w:p w14:paraId="2502E246">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333.73</w:t>
            </w:r>
          </w:p>
        </w:tc>
      </w:tr>
      <w:tr w14:paraId="088A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45FFA58">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其中：办公费</w:t>
            </w:r>
          </w:p>
        </w:tc>
        <w:tc>
          <w:tcPr>
            <w:tcW w:w="2038" w:type="dxa"/>
            <w:gridSpan w:val="2"/>
            <w:vAlign w:val="center"/>
          </w:tcPr>
          <w:p w14:paraId="1F351E79">
            <w:pPr>
              <w:keepNext w:val="0"/>
              <w:keepLines w:val="0"/>
              <w:widowControl/>
              <w:suppressLineNumbers w:val="0"/>
              <w:jc w:val="center"/>
              <w:textAlignment w:val="center"/>
              <w:rPr>
                <w:rFonts w:ascii="仿宋" w:hAnsi="仿宋" w:eastAsia="仿宋" w:cs="仿宋"/>
                <w:color w:val="FF0000"/>
                <w:kern w:val="0"/>
                <w:sz w:val="20"/>
                <w:szCs w:val="20"/>
              </w:rPr>
            </w:pPr>
            <w:r>
              <w:rPr>
                <w:rFonts w:hint="eastAsia" w:ascii="宋体" w:hAnsi="宋体" w:eastAsia="宋体" w:cs="宋体"/>
                <w:i w:val="0"/>
                <w:iCs w:val="0"/>
                <w:color w:val="000000"/>
                <w:kern w:val="0"/>
                <w:sz w:val="22"/>
                <w:szCs w:val="22"/>
                <w:u w:val="none"/>
                <w:lang w:val="en-US" w:eastAsia="zh-CN" w:bidi="ar"/>
              </w:rPr>
              <w:t>41.18</w:t>
            </w:r>
          </w:p>
        </w:tc>
        <w:tc>
          <w:tcPr>
            <w:tcW w:w="2240" w:type="dxa"/>
            <w:gridSpan w:val="2"/>
            <w:vAlign w:val="center"/>
          </w:tcPr>
          <w:p w14:paraId="7753CFF4">
            <w:pPr>
              <w:keepNext w:val="0"/>
              <w:keepLines w:val="0"/>
              <w:widowControl/>
              <w:suppressLineNumbers w:val="0"/>
              <w:jc w:val="center"/>
              <w:textAlignment w:val="center"/>
              <w:rPr>
                <w:rFonts w:ascii="仿宋" w:hAnsi="仿宋" w:eastAsia="仿宋" w:cs="仿宋"/>
                <w:color w:val="FF0000"/>
                <w:kern w:val="0"/>
                <w:sz w:val="20"/>
                <w:szCs w:val="20"/>
              </w:rPr>
            </w:pPr>
            <w:r>
              <w:rPr>
                <w:rFonts w:hint="eastAsia" w:ascii="宋体" w:hAnsi="宋体" w:eastAsia="宋体" w:cs="宋体"/>
                <w:i w:val="0"/>
                <w:iCs w:val="0"/>
                <w:color w:val="000000"/>
                <w:kern w:val="0"/>
                <w:sz w:val="22"/>
                <w:szCs w:val="22"/>
                <w:u w:val="none"/>
                <w:lang w:val="en-US" w:eastAsia="zh-CN" w:bidi="ar"/>
              </w:rPr>
              <w:t>13</w:t>
            </w:r>
          </w:p>
        </w:tc>
        <w:tc>
          <w:tcPr>
            <w:tcW w:w="1832" w:type="dxa"/>
            <w:gridSpan w:val="2"/>
            <w:vAlign w:val="center"/>
          </w:tcPr>
          <w:p w14:paraId="216E28D7">
            <w:pPr>
              <w:keepNext w:val="0"/>
              <w:keepLines w:val="0"/>
              <w:widowControl/>
              <w:suppressLineNumbers w:val="0"/>
              <w:jc w:val="center"/>
              <w:textAlignment w:val="center"/>
              <w:rPr>
                <w:rFonts w:ascii="仿宋" w:hAnsi="仿宋" w:eastAsia="仿宋" w:cs="仿宋"/>
                <w:color w:val="FF0000"/>
                <w:kern w:val="0"/>
                <w:sz w:val="20"/>
                <w:szCs w:val="20"/>
              </w:rPr>
            </w:pPr>
            <w:r>
              <w:rPr>
                <w:rFonts w:hint="eastAsia" w:ascii="宋体" w:hAnsi="宋体" w:eastAsia="宋体" w:cs="宋体"/>
                <w:i w:val="0"/>
                <w:iCs w:val="0"/>
                <w:color w:val="000000"/>
                <w:kern w:val="0"/>
                <w:sz w:val="22"/>
                <w:szCs w:val="22"/>
                <w:u w:val="none"/>
                <w:lang w:val="en-US" w:eastAsia="zh-CN" w:bidi="ar"/>
              </w:rPr>
              <w:t>39.11</w:t>
            </w:r>
          </w:p>
        </w:tc>
      </w:tr>
      <w:tr w14:paraId="0117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87B177C">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水费、电费、差旅费</w:t>
            </w:r>
          </w:p>
        </w:tc>
        <w:tc>
          <w:tcPr>
            <w:tcW w:w="2038" w:type="dxa"/>
            <w:gridSpan w:val="2"/>
            <w:vAlign w:val="center"/>
          </w:tcPr>
          <w:p w14:paraId="5C85E116">
            <w:pPr>
              <w:keepNext w:val="0"/>
              <w:keepLines w:val="0"/>
              <w:widowControl/>
              <w:suppressLineNumbers w:val="0"/>
              <w:jc w:val="center"/>
              <w:textAlignment w:val="center"/>
              <w:rPr>
                <w:rFonts w:ascii="仿宋" w:hAnsi="仿宋" w:eastAsia="仿宋" w:cs="仿宋"/>
                <w:color w:val="FF0000"/>
                <w:kern w:val="0"/>
                <w:sz w:val="20"/>
                <w:szCs w:val="20"/>
              </w:rPr>
            </w:pPr>
            <w:r>
              <w:rPr>
                <w:rFonts w:hint="eastAsia" w:ascii="宋体" w:hAnsi="宋体" w:eastAsia="宋体" w:cs="宋体"/>
                <w:i w:val="0"/>
                <w:iCs w:val="0"/>
                <w:color w:val="000000"/>
                <w:kern w:val="0"/>
                <w:sz w:val="22"/>
                <w:szCs w:val="22"/>
                <w:u w:val="none"/>
                <w:lang w:val="en-US" w:eastAsia="zh-CN" w:bidi="ar"/>
              </w:rPr>
              <w:t>0.59</w:t>
            </w:r>
          </w:p>
        </w:tc>
        <w:tc>
          <w:tcPr>
            <w:tcW w:w="2240" w:type="dxa"/>
            <w:gridSpan w:val="2"/>
            <w:vAlign w:val="center"/>
          </w:tcPr>
          <w:p w14:paraId="3F3AB25F">
            <w:pPr>
              <w:keepNext w:val="0"/>
              <w:keepLines w:val="0"/>
              <w:widowControl/>
              <w:suppressLineNumbers w:val="0"/>
              <w:jc w:val="center"/>
              <w:textAlignment w:val="center"/>
              <w:rPr>
                <w:rFonts w:ascii="仿宋" w:hAnsi="仿宋" w:eastAsia="仿宋" w:cs="仿宋"/>
                <w:color w:val="FF0000"/>
                <w:kern w:val="0"/>
                <w:sz w:val="20"/>
                <w:szCs w:val="20"/>
              </w:rPr>
            </w:pPr>
            <w:r>
              <w:rPr>
                <w:rFonts w:hint="eastAsia" w:ascii="宋体" w:hAnsi="宋体" w:eastAsia="宋体" w:cs="宋体"/>
                <w:i w:val="0"/>
                <w:iCs w:val="0"/>
                <w:color w:val="000000"/>
                <w:kern w:val="0"/>
                <w:sz w:val="22"/>
                <w:szCs w:val="22"/>
                <w:u w:val="none"/>
                <w:lang w:val="en-US" w:eastAsia="zh-CN" w:bidi="ar"/>
              </w:rPr>
              <w:t>2</w:t>
            </w:r>
          </w:p>
        </w:tc>
        <w:tc>
          <w:tcPr>
            <w:tcW w:w="1832" w:type="dxa"/>
            <w:gridSpan w:val="2"/>
            <w:vAlign w:val="center"/>
          </w:tcPr>
          <w:p w14:paraId="1F207189">
            <w:pPr>
              <w:keepNext w:val="0"/>
              <w:keepLines w:val="0"/>
              <w:widowControl/>
              <w:suppressLineNumbers w:val="0"/>
              <w:jc w:val="center"/>
              <w:textAlignment w:val="center"/>
              <w:rPr>
                <w:rFonts w:ascii="仿宋" w:hAnsi="仿宋" w:eastAsia="仿宋" w:cs="仿宋"/>
                <w:color w:val="FF0000"/>
                <w:kern w:val="0"/>
                <w:sz w:val="20"/>
                <w:szCs w:val="20"/>
              </w:rPr>
            </w:pPr>
            <w:r>
              <w:rPr>
                <w:rFonts w:hint="eastAsia" w:ascii="宋体" w:hAnsi="宋体" w:eastAsia="宋体" w:cs="宋体"/>
                <w:i w:val="0"/>
                <w:iCs w:val="0"/>
                <w:color w:val="000000"/>
                <w:kern w:val="0"/>
                <w:sz w:val="22"/>
                <w:szCs w:val="22"/>
                <w:u w:val="none"/>
                <w:lang w:val="en-US" w:eastAsia="zh-CN" w:bidi="ar"/>
              </w:rPr>
              <w:t>0.24</w:t>
            </w:r>
          </w:p>
        </w:tc>
      </w:tr>
      <w:tr w14:paraId="57EE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2148EA8">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会议费、培训费</w:t>
            </w:r>
          </w:p>
        </w:tc>
        <w:tc>
          <w:tcPr>
            <w:tcW w:w="2038" w:type="dxa"/>
            <w:gridSpan w:val="2"/>
            <w:vAlign w:val="center"/>
          </w:tcPr>
          <w:p w14:paraId="2E1CBA45">
            <w:pPr>
              <w:keepNext w:val="0"/>
              <w:keepLines w:val="0"/>
              <w:widowControl/>
              <w:suppressLineNumbers w:val="0"/>
              <w:jc w:val="center"/>
              <w:textAlignment w:val="center"/>
              <w:rPr>
                <w:rFonts w:ascii="仿宋" w:hAnsi="仿宋" w:eastAsia="仿宋" w:cs="仿宋"/>
                <w:color w:val="FF0000"/>
                <w:kern w:val="0"/>
                <w:sz w:val="20"/>
                <w:szCs w:val="20"/>
              </w:rPr>
            </w:pPr>
            <w:r>
              <w:rPr>
                <w:rFonts w:hint="eastAsia" w:ascii="宋体" w:hAnsi="宋体" w:eastAsia="宋体" w:cs="宋体"/>
                <w:i w:val="0"/>
                <w:iCs w:val="0"/>
                <w:color w:val="000000"/>
                <w:kern w:val="0"/>
                <w:sz w:val="22"/>
                <w:szCs w:val="22"/>
                <w:u w:val="none"/>
                <w:lang w:val="en-US" w:eastAsia="zh-CN" w:bidi="ar"/>
              </w:rPr>
              <w:t>0.35</w:t>
            </w:r>
          </w:p>
        </w:tc>
        <w:tc>
          <w:tcPr>
            <w:tcW w:w="2240" w:type="dxa"/>
            <w:gridSpan w:val="2"/>
            <w:vAlign w:val="center"/>
          </w:tcPr>
          <w:p w14:paraId="24C70B0A">
            <w:pPr>
              <w:keepNext w:val="0"/>
              <w:keepLines w:val="0"/>
              <w:widowControl/>
              <w:suppressLineNumbers w:val="0"/>
              <w:jc w:val="center"/>
              <w:textAlignment w:val="center"/>
              <w:rPr>
                <w:rFonts w:ascii="仿宋" w:hAnsi="仿宋" w:eastAsia="仿宋" w:cs="仿宋"/>
                <w:color w:val="FF0000"/>
                <w:kern w:val="0"/>
                <w:sz w:val="20"/>
                <w:szCs w:val="20"/>
              </w:rPr>
            </w:pPr>
            <w:r>
              <w:rPr>
                <w:rFonts w:hint="eastAsia" w:ascii="宋体" w:hAnsi="宋体" w:eastAsia="宋体" w:cs="宋体"/>
                <w:i w:val="0"/>
                <w:iCs w:val="0"/>
                <w:color w:val="000000"/>
                <w:kern w:val="0"/>
                <w:sz w:val="22"/>
                <w:szCs w:val="22"/>
                <w:u w:val="none"/>
                <w:lang w:val="en-US" w:eastAsia="zh-CN" w:bidi="ar"/>
              </w:rPr>
              <w:t>0</w:t>
            </w:r>
          </w:p>
        </w:tc>
        <w:tc>
          <w:tcPr>
            <w:tcW w:w="1832" w:type="dxa"/>
            <w:gridSpan w:val="2"/>
            <w:vAlign w:val="center"/>
          </w:tcPr>
          <w:p w14:paraId="05013B34">
            <w:pPr>
              <w:keepNext w:val="0"/>
              <w:keepLines w:val="0"/>
              <w:widowControl/>
              <w:suppressLineNumbers w:val="0"/>
              <w:jc w:val="center"/>
              <w:textAlignment w:val="center"/>
              <w:rPr>
                <w:rFonts w:ascii="仿宋" w:hAnsi="仿宋" w:eastAsia="仿宋" w:cs="仿宋"/>
                <w:color w:val="FF0000"/>
                <w:kern w:val="0"/>
                <w:sz w:val="20"/>
                <w:szCs w:val="20"/>
              </w:rPr>
            </w:pPr>
            <w:r>
              <w:rPr>
                <w:rFonts w:hint="eastAsia" w:ascii="宋体" w:hAnsi="宋体" w:eastAsia="宋体" w:cs="宋体"/>
                <w:i w:val="0"/>
                <w:iCs w:val="0"/>
                <w:color w:val="000000"/>
                <w:kern w:val="0"/>
                <w:sz w:val="22"/>
                <w:szCs w:val="22"/>
                <w:u w:val="none"/>
                <w:lang w:val="en-US" w:eastAsia="zh-CN" w:bidi="ar"/>
              </w:rPr>
              <w:t>0.39</w:t>
            </w:r>
          </w:p>
        </w:tc>
      </w:tr>
      <w:tr w14:paraId="02A2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D0E24E2">
            <w:pPr>
              <w:widowControl/>
              <w:jc w:val="left"/>
              <w:rPr>
                <w:rFonts w:ascii="仿宋" w:hAnsi="仿宋" w:eastAsia="仿宋" w:cs="仿宋"/>
                <w:kern w:val="0"/>
                <w:sz w:val="20"/>
                <w:szCs w:val="20"/>
              </w:rPr>
            </w:pPr>
            <w:r>
              <w:rPr>
                <w:rFonts w:hint="eastAsia" w:ascii="仿宋" w:hAnsi="仿宋" w:eastAsia="仿宋" w:cs="仿宋"/>
                <w:kern w:val="0"/>
                <w:sz w:val="20"/>
                <w:szCs w:val="20"/>
              </w:rPr>
              <w:t>政府采购金额</w:t>
            </w:r>
          </w:p>
        </w:tc>
        <w:tc>
          <w:tcPr>
            <w:tcW w:w="2038" w:type="dxa"/>
            <w:gridSpan w:val="2"/>
            <w:vAlign w:val="center"/>
          </w:tcPr>
          <w:p w14:paraId="62F2BBF3">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245.01</w:t>
            </w:r>
          </w:p>
        </w:tc>
        <w:tc>
          <w:tcPr>
            <w:tcW w:w="2240" w:type="dxa"/>
            <w:gridSpan w:val="2"/>
            <w:vAlign w:val="center"/>
          </w:tcPr>
          <w:p w14:paraId="6A43078B">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108</w:t>
            </w:r>
          </w:p>
        </w:tc>
        <w:tc>
          <w:tcPr>
            <w:tcW w:w="1832" w:type="dxa"/>
            <w:gridSpan w:val="2"/>
            <w:vAlign w:val="center"/>
          </w:tcPr>
          <w:p w14:paraId="256B299F">
            <w:pPr>
              <w:keepNext w:val="0"/>
              <w:keepLines w:val="0"/>
              <w:widowControl/>
              <w:suppressLineNumbers w:val="0"/>
              <w:jc w:val="center"/>
              <w:textAlignment w:val="center"/>
              <w:rPr>
                <w:rFonts w:ascii="仿宋" w:hAnsi="仿宋" w:eastAsia="仿宋" w:cs="仿宋"/>
                <w:kern w:val="0"/>
                <w:sz w:val="20"/>
                <w:szCs w:val="20"/>
              </w:rPr>
            </w:pPr>
            <w:r>
              <w:rPr>
                <w:rFonts w:hint="eastAsia" w:ascii="宋体" w:hAnsi="宋体" w:eastAsia="宋体" w:cs="宋体"/>
                <w:i w:val="0"/>
                <w:iCs w:val="0"/>
                <w:color w:val="000000"/>
                <w:kern w:val="0"/>
                <w:sz w:val="22"/>
                <w:szCs w:val="22"/>
                <w:u w:val="none"/>
                <w:lang w:val="en-US" w:eastAsia="zh-CN" w:bidi="ar"/>
              </w:rPr>
              <w:t>333.46</w:t>
            </w:r>
          </w:p>
        </w:tc>
      </w:tr>
      <w:tr w14:paraId="4400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A895364">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部门基本支出预算调整 </w:t>
            </w:r>
          </w:p>
        </w:tc>
        <w:tc>
          <w:tcPr>
            <w:tcW w:w="2038" w:type="dxa"/>
            <w:gridSpan w:val="2"/>
            <w:vAlign w:val="center"/>
          </w:tcPr>
          <w:p w14:paraId="2E696A86">
            <w:pPr>
              <w:widowControl/>
              <w:jc w:val="center"/>
              <w:rPr>
                <w:rFonts w:ascii="仿宋" w:hAnsi="仿宋" w:eastAsia="仿宋" w:cs="仿宋"/>
                <w:kern w:val="0"/>
                <w:sz w:val="20"/>
                <w:szCs w:val="20"/>
              </w:rPr>
            </w:pPr>
            <w:r>
              <w:rPr>
                <w:rFonts w:hint="eastAsia" w:ascii="仿宋" w:hAnsi="仿宋" w:eastAsia="仿宋" w:cs="仿宋"/>
                <w:kern w:val="0"/>
                <w:sz w:val="20"/>
                <w:szCs w:val="20"/>
              </w:rPr>
              <w:t>——</w:t>
            </w:r>
          </w:p>
        </w:tc>
        <w:tc>
          <w:tcPr>
            <w:tcW w:w="2240" w:type="dxa"/>
            <w:gridSpan w:val="2"/>
            <w:vAlign w:val="center"/>
          </w:tcPr>
          <w:p w14:paraId="6D53CE6D">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1832" w:type="dxa"/>
            <w:gridSpan w:val="2"/>
            <w:vAlign w:val="center"/>
          </w:tcPr>
          <w:p w14:paraId="2F793080">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r>
      <w:tr w14:paraId="78E3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vAlign w:val="center"/>
          </w:tcPr>
          <w:p w14:paraId="62ABAA5C">
            <w:pPr>
              <w:widowControl/>
              <w:jc w:val="center"/>
              <w:rPr>
                <w:rFonts w:ascii="仿宋" w:hAnsi="仿宋" w:eastAsia="仿宋" w:cs="仿宋"/>
                <w:kern w:val="0"/>
                <w:sz w:val="20"/>
                <w:szCs w:val="20"/>
              </w:rPr>
            </w:pPr>
            <w:r>
              <w:rPr>
                <w:rFonts w:hint="eastAsia" w:ascii="仿宋" w:hAnsi="仿宋" w:eastAsia="仿宋" w:cs="仿宋"/>
                <w:kern w:val="0"/>
                <w:sz w:val="20"/>
                <w:szCs w:val="20"/>
              </w:rPr>
              <w:t>楼堂馆所控制情况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（2022年完工项目）</w:t>
            </w:r>
          </w:p>
        </w:tc>
        <w:tc>
          <w:tcPr>
            <w:tcW w:w="1189" w:type="dxa"/>
            <w:vAlign w:val="center"/>
          </w:tcPr>
          <w:p w14:paraId="62EEC698">
            <w:pPr>
              <w:widowControl/>
              <w:spacing w:line="240" w:lineRule="exact"/>
              <w:jc w:val="center"/>
              <w:rPr>
                <w:rFonts w:ascii="仿宋" w:hAnsi="仿宋" w:eastAsia="仿宋" w:cs="仿宋"/>
                <w:kern w:val="0"/>
                <w:sz w:val="20"/>
                <w:szCs w:val="20"/>
              </w:rPr>
            </w:pPr>
            <w:r>
              <w:rPr>
                <w:rFonts w:hint="eastAsia" w:ascii="仿宋" w:hAnsi="仿宋" w:eastAsia="仿宋" w:cs="仿宋"/>
                <w:kern w:val="0"/>
                <w:sz w:val="20"/>
                <w:szCs w:val="20"/>
              </w:rPr>
              <w:t>批复规模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w:t>
            </w:r>
          </w:p>
        </w:tc>
        <w:tc>
          <w:tcPr>
            <w:tcW w:w="849" w:type="dxa"/>
            <w:vAlign w:val="center"/>
          </w:tcPr>
          <w:p w14:paraId="7AC4964E">
            <w:pPr>
              <w:widowControl/>
              <w:spacing w:line="240" w:lineRule="exact"/>
              <w:jc w:val="center"/>
              <w:rPr>
                <w:rFonts w:ascii="仿宋" w:hAnsi="仿宋" w:eastAsia="仿宋" w:cs="仿宋"/>
                <w:kern w:val="0"/>
                <w:sz w:val="20"/>
                <w:szCs w:val="20"/>
              </w:rPr>
            </w:pPr>
            <w:r>
              <w:rPr>
                <w:rFonts w:hint="eastAsia" w:ascii="仿宋" w:hAnsi="仿宋" w:eastAsia="仿宋" w:cs="仿宋"/>
                <w:kern w:val="0"/>
                <w:sz w:val="20"/>
                <w:szCs w:val="20"/>
              </w:rPr>
              <w:t>实际规模（㎡）</w:t>
            </w:r>
          </w:p>
        </w:tc>
        <w:tc>
          <w:tcPr>
            <w:tcW w:w="1129" w:type="dxa"/>
            <w:vAlign w:val="center"/>
          </w:tcPr>
          <w:p w14:paraId="30B1676D">
            <w:pPr>
              <w:widowControl/>
              <w:spacing w:line="240" w:lineRule="exact"/>
              <w:jc w:val="center"/>
              <w:rPr>
                <w:rFonts w:ascii="仿宋" w:hAnsi="仿宋" w:eastAsia="仿宋" w:cs="仿宋"/>
                <w:kern w:val="0"/>
                <w:sz w:val="20"/>
                <w:szCs w:val="20"/>
              </w:rPr>
            </w:pPr>
            <w:r>
              <w:rPr>
                <w:rFonts w:hint="eastAsia" w:ascii="仿宋" w:hAnsi="仿宋" w:eastAsia="仿宋" w:cs="仿宋"/>
                <w:kern w:val="0"/>
                <w:sz w:val="20"/>
                <w:szCs w:val="20"/>
              </w:rPr>
              <w:t>规模控制率</w:t>
            </w:r>
          </w:p>
        </w:tc>
        <w:tc>
          <w:tcPr>
            <w:tcW w:w="1111" w:type="dxa"/>
            <w:vAlign w:val="center"/>
          </w:tcPr>
          <w:p w14:paraId="13589FF3">
            <w:pPr>
              <w:widowControl/>
              <w:spacing w:line="240" w:lineRule="exact"/>
              <w:jc w:val="center"/>
              <w:rPr>
                <w:rFonts w:ascii="仿宋" w:hAnsi="仿宋" w:eastAsia="仿宋" w:cs="仿宋"/>
                <w:kern w:val="0"/>
                <w:sz w:val="20"/>
                <w:szCs w:val="20"/>
              </w:rPr>
            </w:pPr>
            <w:r>
              <w:rPr>
                <w:rFonts w:hint="eastAsia" w:ascii="仿宋" w:hAnsi="仿宋" w:eastAsia="仿宋" w:cs="仿宋"/>
                <w:kern w:val="0"/>
                <w:sz w:val="20"/>
                <w:szCs w:val="20"/>
              </w:rPr>
              <w:t>预算投资（万元）</w:t>
            </w:r>
          </w:p>
        </w:tc>
        <w:tc>
          <w:tcPr>
            <w:tcW w:w="969" w:type="dxa"/>
            <w:vAlign w:val="center"/>
          </w:tcPr>
          <w:p w14:paraId="0539E3A2">
            <w:pPr>
              <w:widowControl/>
              <w:spacing w:line="240" w:lineRule="exact"/>
              <w:jc w:val="center"/>
              <w:rPr>
                <w:rFonts w:ascii="仿宋" w:hAnsi="仿宋" w:eastAsia="仿宋" w:cs="仿宋"/>
                <w:kern w:val="0"/>
                <w:sz w:val="20"/>
                <w:szCs w:val="20"/>
              </w:rPr>
            </w:pPr>
            <w:r>
              <w:rPr>
                <w:rFonts w:hint="eastAsia" w:ascii="仿宋" w:hAnsi="仿宋" w:eastAsia="仿宋" w:cs="仿宋"/>
                <w:kern w:val="0"/>
                <w:sz w:val="20"/>
                <w:szCs w:val="20"/>
              </w:rPr>
              <w:t>实际投资（万元）</w:t>
            </w:r>
          </w:p>
        </w:tc>
        <w:tc>
          <w:tcPr>
            <w:tcW w:w="863" w:type="dxa"/>
            <w:vAlign w:val="center"/>
          </w:tcPr>
          <w:p w14:paraId="4385A73B">
            <w:pPr>
              <w:widowControl/>
              <w:spacing w:line="240" w:lineRule="exact"/>
              <w:jc w:val="center"/>
              <w:rPr>
                <w:rFonts w:ascii="仿宋" w:hAnsi="仿宋" w:eastAsia="仿宋" w:cs="仿宋"/>
                <w:kern w:val="0"/>
                <w:sz w:val="20"/>
                <w:szCs w:val="20"/>
              </w:rPr>
            </w:pPr>
            <w:r>
              <w:rPr>
                <w:rFonts w:hint="eastAsia" w:ascii="仿宋" w:hAnsi="仿宋" w:eastAsia="仿宋" w:cs="仿宋"/>
                <w:kern w:val="0"/>
                <w:sz w:val="20"/>
                <w:szCs w:val="20"/>
              </w:rPr>
              <w:t>投资概算控制率</w:t>
            </w:r>
          </w:p>
        </w:tc>
      </w:tr>
      <w:tr w14:paraId="77F6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vAlign w:val="center"/>
          </w:tcPr>
          <w:p w14:paraId="5EA577C1">
            <w:pPr>
              <w:widowControl/>
              <w:jc w:val="left"/>
              <w:rPr>
                <w:rFonts w:ascii="仿宋" w:hAnsi="仿宋" w:eastAsia="仿宋" w:cs="仿宋"/>
                <w:kern w:val="0"/>
                <w:sz w:val="20"/>
                <w:szCs w:val="20"/>
              </w:rPr>
            </w:pPr>
          </w:p>
        </w:tc>
        <w:tc>
          <w:tcPr>
            <w:tcW w:w="1189" w:type="dxa"/>
            <w:vAlign w:val="center"/>
          </w:tcPr>
          <w:p w14:paraId="0AE086B7">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849" w:type="dxa"/>
            <w:vAlign w:val="center"/>
          </w:tcPr>
          <w:p w14:paraId="6803B910">
            <w:pPr>
              <w:widowControl/>
              <w:jc w:val="left"/>
              <w:rPr>
                <w:rFonts w:ascii="仿宋" w:hAnsi="仿宋" w:eastAsia="仿宋" w:cs="仿宋"/>
                <w:kern w:val="0"/>
                <w:sz w:val="20"/>
                <w:szCs w:val="20"/>
              </w:rPr>
            </w:pPr>
            <w:r>
              <w:rPr>
                <w:rFonts w:hint="eastAsia" w:ascii="仿宋" w:hAnsi="仿宋" w:eastAsia="仿宋" w:cs="仿宋"/>
                <w:kern w:val="0"/>
                <w:sz w:val="20"/>
                <w:szCs w:val="20"/>
              </w:rPr>
              <w:t>　</w:t>
            </w:r>
          </w:p>
        </w:tc>
        <w:tc>
          <w:tcPr>
            <w:tcW w:w="1129" w:type="dxa"/>
            <w:vAlign w:val="center"/>
          </w:tcPr>
          <w:p w14:paraId="6CEE3770">
            <w:pPr>
              <w:widowControl/>
              <w:jc w:val="left"/>
              <w:rPr>
                <w:rFonts w:ascii="仿宋" w:hAnsi="仿宋" w:eastAsia="仿宋" w:cs="仿宋"/>
                <w:kern w:val="0"/>
                <w:sz w:val="20"/>
                <w:szCs w:val="20"/>
              </w:rPr>
            </w:pPr>
            <w:r>
              <w:rPr>
                <w:rFonts w:hint="eastAsia" w:ascii="仿宋" w:hAnsi="仿宋" w:eastAsia="仿宋" w:cs="仿宋"/>
                <w:kern w:val="0"/>
                <w:sz w:val="20"/>
                <w:szCs w:val="20"/>
              </w:rPr>
              <w:t>　</w:t>
            </w:r>
          </w:p>
        </w:tc>
        <w:tc>
          <w:tcPr>
            <w:tcW w:w="1111" w:type="dxa"/>
            <w:vAlign w:val="center"/>
          </w:tcPr>
          <w:p w14:paraId="0CAB1D80">
            <w:pPr>
              <w:widowControl/>
              <w:jc w:val="left"/>
              <w:rPr>
                <w:rFonts w:ascii="仿宋" w:hAnsi="仿宋" w:eastAsia="仿宋" w:cs="仿宋"/>
                <w:kern w:val="0"/>
                <w:sz w:val="20"/>
                <w:szCs w:val="20"/>
              </w:rPr>
            </w:pPr>
            <w:r>
              <w:rPr>
                <w:rFonts w:hint="eastAsia" w:ascii="仿宋" w:hAnsi="仿宋" w:eastAsia="仿宋" w:cs="仿宋"/>
                <w:kern w:val="0"/>
                <w:sz w:val="20"/>
                <w:szCs w:val="20"/>
              </w:rPr>
              <w:t>　</w:t>
            </w:r>
          </w:p>
        </w:tc>
        <w:tc>
          <w:tcPr>
            <w:tcW w:w="969" w:type="dxa"/>
            <w:vAlign w:val="center"/>
          </w:tcPr>
          <w:p w14:paraId="1DB00AFE">
            <w:pPr>
              <w:widowControl/>
              <w:jc w:val="left"/>
              <w:rPr>
                <w:rFonts w:ascii="仿宋" w:hAnsi="仿宋" w:eastAsia="仿宋" w:cs="仿宋"/>
                <w:kern w:val="0"/>
                <w:sz w:val="20"/>
                <w:szCs w:val="20"/>
              </w:rPr>
            </w:pPr>
            <w:r>
              <w:rPr>
                <w:rFonts w:hint="eastAsia" w:ascii="仿宋" w:hAnsi="仿宋" w:eastAsia="仿宋" w:cs="仿宋"/>
                <w:kern w:val="0"/>
                <w:sz w:val="20"/>
                <w:szCs w:val="20"/>
              </w:rPr>
              <w:t>　</w:t>
            </w:r>
          </w:p>
        </w:tc>
        <w:tc>
          <w:tcPr>
            <w:tcW w:w="863" w:type="dxa"/>
            <w:vAlign w:val="center"/>
          </w:tcPr>
          <w:p w14:paraId="6A7EE374">
            <w:pPr>
              <w:widowControl/>
              <w:jc w:val="left"/>
              <w:rPr>
                <w:rFonts w:ascii="仿宋" w:hAnsi="仿宋" w:eastAsia="仿宋" w:cs="仿宋"/>
                <w:kern w:val="0"/>
                <w:sz w:val="20"/>
                <w:szCs w:val="20"/>
              </w:rPr>
            </w:pPr>
            <w:r>
              <w:rPr>
                <w:rFonts w:hint="eastAsia" w:ascii="仿宋" w:hAnsi="仿宋" w:eastAsia="仿宋" w:cs="仿宋"/>
                <w:kern w:val="0"/>
                <w:sz w:val="20"/>
                <w:szCs w:val="20"/>
              </w:rPr>
              <w:t>　</w:t>
            </w:r>
          </w:p>
        </w:tc>
      </w:tr>
      <w:tr w14:paraId="440F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vAlign w:val="center"/>
          </w:tcPr>
          <w:p w14:paraId="7110ED08">
            <w:pPr>
              <w:widowControl/>
              <w:jc w:val="center"/>
              <w:rPr>
                <w:rFonts w:ascii="仿宋" w:hAnsi="仿宋" w:eastAsia="仿宋" w:cs="仿宋"/>
                <w:kern w:val="0"/>
                <w:sz w:val="20"/>
                <w:szCs w:val="20"/>
              </w:rPr>
            </w:pPr>
            <w:r>
              <w:rPr>
                <w:rFonts w:hint="eastAsia" w:ascii="仿宋" w:hAnsi="仿宋" w:eastAsia="仿宋" w:cs="仿宋"/>
                <w:kern w:val="0"/>
                <w:sz w:val="20"/>
                <w:szCs w:val="20"/>
              </w:rPr>
              <w:t>厉行节约保障措施</w:t>
            </w:r>
          </w:p>
        </w:tc>
        <w:tc>
          <w:tcPr>
            <w:tcW w:w="6110" w:type="dxa"/>
            <w:gridSpan w:val="6"/>
            <w:vAlign w:val="center"/>
          </w:tcPr>
          <w:p w14:paraId="2A4F5711">
            <w:pPr>
              <w:widowControl/>
              <w:jc w:val="left"/>
              <w:rPr>
                <w:rFonts w:ascii="仿宋" w:hAnsi="仿宋" w:eastAsia="仿宋" w:cs="仿宋"/>
                <w:kern w:val="0"/>
                <w:sz w:val="20"/>
                <w:szCs w:val="20"/>
              </w:rPr>
            </w:pPr>
          </w:p>
        </w:tc>
      </w:tr>
    </w:tbl>
    <w:p w14:paraId="17C8E8B5">
      <w:pPr>
        <w:pStyle w:val="6"/>
        <w:widowControl/>
        <w:shd w:val="clear" w:color="auto" w:fill="FFFFFF"/>
        <w:spacing w:beforeAutospacing="0" w:afterAutospacing="0" w:line="480" w:lineRule="exact"/>
        <w:jc w:val="both"/>
        <w:rPr>
          <w:rFonts w:hint="default" w:ascii="方正小标宋_GBK" w:hAnsi="方正小标宋_GBK" w:eastAsia="仿宋_GB2312" w:cs="方正小标宋_GBK"/>
          <w:color w:val="000000"/>
          <w:sz w:val="32"/>
          <w:szCs w:val="32"/>
          <w:shd w:val="clear" w:color="auto" w:fill="FFFFFF"/>
          <w:lang w:val="en-US" w:eastAsia="zh-CN"/>
        </w:rPr>
      </w:pPr>
      <w:r>
        <w:rPr>
          <w:rFonts w:ascii="Times New Roman" w:hAnsi="Times New Roman" w:eastAsia="仿宋_GB2312"/>
          <w:color w:val="000000"/>
        </w:rPr>
        <w:t>填表人：</w:t>
      </w:r>
      <w:r>
        <w:rPr>
          <w:rFonts w:hint="eastAsia" w:ascii="Times New Roman" w:hAnsi="Times New Roman" w:eastAsia="仿宋_GB2312"/>
          <w:color w:val="000000"/>
          <w:lang w:eastAsia="zh-CN"/>
        </w:rPr>
        <w:t>唐卫红</w:t>
      </w:r>
      <w:r>
        <w:rPr>
          <w:rFonts w:hint="eastAsia" w:ascii="Times New Roman" w:hAnsi="Times New Roman" w:eastAsia="仿宋_GB2312"/>
          <w:color w:val="000000"/>
        </w:rPr>
        <w:t xml:space="preserve">     </w:t>
      </w:r>
      <w:r>
        <w:rPr>
          <w:rFonts w:ascii="Times New Roman" w:hAnsi="Times New Roman" w:eastAsia="仿宋_GB2312"/>
          <w:color w:val="000000"/>
        </w:rPr>
        <w:t xml:space="preserve"> 填报日期：</w:t>
      </w:r>
      <w:r>
        <w:rPr>
          <w:rFonts w:hint="eastAsia" w:ascii="Times New Roman" w:hAnsi="Times New Roman" w:eastAsia="仿宋_GB2312"/>
          <w:color w:val="000000"/>
        </w:rPr>
        <w:t xml:space="preserve">2024年7月30日    </w:t>
      </w:r>
      <w:r>
        <w:rPr>
          <w:rFonts w:ascii="Times New Roman" w:hAnsi="Times New Roman" w:eastAsia="仿宋_GB2312"/>
          <w:color w:val="000000"/>
        </w:rPr>
        <w:t xml:space="preserve">  联系电话：</w:t>
      </w:r>
      <w:r>
        <w:rPr>
          <w:rFonts w:hint="eastAsia" w:ascii="Times New Roman" w:hAnsi="Times New Roman" w:eastAsia="仿宋_GB2312"/>
          <w:color w:val="000000"/>
          <w:lang w:val="en-US" w:eastAsia="zh-CN"/>
        </w:rPr>
        <w:t>13786927999</w:t>
      </w:r>
    </w:p>
    <w:p w14:paraId="14DF06C3">
      <w:pPr>
        <w:pStyle w:val="6"/>
        <w:widowControl/>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p>
    <w:p w14:paraId="6AA17422">
      <w:pPr>
        <w:pStyle w:val="6"/>
        <w:widowControl/>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r>
        <w:rPr>
          <w:rFonts w:ascii="方正小标宋_GBK" w:hAnsi="方正小标宋_GBK" w:eastAsia="方正小标宋_GBK" w:cs="方正小标宋_GBK"/>
          <w:color w:val="000000"/>
          <w:sz w:val="32"/>
          <w:szCs w:val="32"/>
          <w:shd w:val="clear" w:color="auto" w:fill="FFFFFF"/>
        </w:rPr>
        <w:t>附件1-2</w:t>
      </w:r>
    </w:p>
    <w:p w14:paraId="2001350F">
      <w:pPr>
        <w:widowControl/>
        <w:tabs>
          <w:tab w:val="left" w:pos="3611"/>
          <w:tab w:val="left" w:pos="4791"/>
          <w:tab w:val="left" w:pos="5951"/>
          <w:tab w:val="left" w:pos="7071"/>
          <w:tab w:val="left" w:pos="8191"/>
          <w:tab w:val="left" w:pos="9311"/>
        </w:tabs>
        <w:spacing w:line="480" w:lineRule="exact"/>
        <w:ind w:left="91"/>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整体支出绩效自评表</w:t>
      </w:r>
    </w:p>
    <w:tbl>
      <w:tblPr>
        <w:tblStyle w:val="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176"/>
        <w:gridCol w:w="961"/>
        <w:gridCol w:w="1165"/>
        <w:gridCol w:w="95"/>
        <w:gridCol w:w="1035"/>
        <w:gridCol w:w="1299"/>
        <w:gridCol w:w="709"/>
        <w:gridCol w:w="782"/>
        <w:gridCol w:w="871"/>
      </w:tblGrid>
      <w:tr w14:paraId="7A78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69" w:type="dxa"/>
            <w:vAlign w:val="center"/>
          </w:tcPr>
          <w:p w14:paraId="1E35432A">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预算单位名称</w:t>
            </w:r>
          </w:p>
        </w:tc>
        <w:tc>
          <w:tcPr>
            <w:tcW w:w="8093" w:type="dxa"/>
            <w:gridSpan w:val="9"/>
            <w:vAlign w:val="center"/>
          </w:tcPr>
          <w:p w14:paraId="6CBB6602">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邵阳市北塔区人民政府办公室</w:t>
            </w:r>
          </w:p>
        </w:tc>
      </w:tr>
      <w:tr w14:paraId="6E8C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restart"/>
            <w:vAlign w:val="center"/>
          </w:tcPr>
          <w:p w14:paraId="54AEE477">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77145654">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37" w:type="dxa"/>
            <w:gridSpan w:val="2"/>
            <w:vAlign w:val="center"/>
          </w:tcPr>
          <w:p w14:paraId="5E060A04">
            <w:pPr>
              <w:widowControl/>
              <w:spacing w:line="240" w:lineRule="exact"/>
              <w:jc w:val="center"/>
              <w:rPr>
                <w:rFonts w:ascii="仿宋" w:hAnsi="仿宋" w:eastAsia="仿宋" w:cs="仿宋"/>
                <w:sz w:val="20"/>
                <w:szCs w:val="20"/>
              </w:rPr>
            </w:pPr>
          </w:p>
        </w:tc>
        <w:tc>
          <w:tcPr>
            <w:tcW w:w="1165" w:type="dxa"/>
            <w:vAlign w:val="center"/>
          </w:tcPr>
          <w:p w14:paraId="202113A4">
            <w:pPr>
              <w:widowControl/>
              <w:spacing w:line="240" w:lineRule="exact"/>
              <w:jc w:val="center"/>
              <w:rPr>
                <w:rFonts w:ascii="仿宋" w:hAnsi="仿宋" w:eastAsia="仿宋" w:cs="仿宋"/>
                <w:sz w:val="20"/>
                <w:szCs w:val="20"/>
              </w:rPr>
            </w:pPr>
            <w:r>
              <w:rPr>
                <w:rFonts w:hint="eastAsia" w:ascii="仿宋" w:hAnsi="仿宋" w:eastAsia="仿宋" w:cs="仿宋"/>
                <w:sz w:val="20"/>
                <w:szCs w:val="20"/>
              </w:rPr>
              <w:t>年初</w:t>
            </w:r>
          </w:p>
          <w:p w14:paraId="4D4E1026">
            <w:pPr>
              <w:widowControl/>
              <w:spacing w:line="240" w:lineRule="exact"/>
              <w:jc w:val="center"/>
              <w:rPr>
                <w:rFonts w:ascii="仿宋" w:hAnsi="仿宋" w:eastAsia="仿宋" w:cs="仿宋"/>
                <w:sz w:val="20"/>
                <w:szCs w:val="20"/>
              </w:rPr>
            </w:pPr>
            <w:r>
              <w:rPr>
                <w:rFonts w:hint="eastAsia" w:ascii="仿宋" w:hAnsi="仿宋" w:eastAsia="仿宋" w:cs="仿宋"/>
                <w:sz w:val="20"/>
                <w:szCs w:val="20"/>
              </w:rPr>
              <w:t>预算数</w:t>
            </w:r>
          </w:p>
        </w:tc>
        <w:tc>
          <w:tcPr>
            <w:tcW w:w="1130" w:type="dxa"/>
            <w:gridSpan w:val="2"/>
            <w:vAlign w:val="center"/>
          </w:tcPr>
          <w:p w14:paraId="78E8F39A">
            <w:pPr>
              <w:widowControl/>
              <w:spacing w:line="240" w:lineRule="exact"/>
              <w:jc w:val="center"/>
              <w:rPr>
                <w:rFonts w:ascii="仿宋" w:hAnsi="仿宋" w:eastAsia="仿宋" w:cs="仿宋"/>
                <w:sz w:val="20"/>
                <w:szCs w:val="20"/>
              </w:rPr>
            </w:pPr>
            <w:r>
              <w:rPr>
                <w:rFonts w:hint="eastAsia" w:ascii="仿宋" w:hAnsi="仿宋" w:eastAsia="仿宋" w:cs="仿宋"/>
                <w:sz w:val="20"/>
                <w:szCs w:val="20"/>
              </w:rPr>
              <w:t>全年预算数</w:t>
            </w:r>
          </w:p>
        </w:tc>
        <w:tc>
          <w:tcPr>
            <w:tcW w:w="1299" w:type="dxa"/>
            <w:vAlign w:val="center"/>
          </w:tcPr>
          <w:p w14:paraId="4173CD88">
            <w:pPr>
              <w:widowControl/>
              <w:spacing w:line="240" w:lineRule="exact"/>
              <w:jc w:val="center"/>
              <w:rPr>
                <w:rFonts w:ascii="仿宋" w:hAnsi="仿宋" w:eastAsia="仿宋" w:cs="仿宋"/>
                <w:sz w:val="20"/>
                <w:szCs w:val="20"/>
              </w:rPr>
            </w:pPr>
            <w:r>
              <w:rPr>
                <w:rFonts w:hint="eastAsia" w:ascii="仿宋" w:hAnsi="仿宋" w:eastAsia="仿宋" w:cs="仿宋"/>
                <w:sz w:val="20"/>
                <w:szCs w:val="20"/>
              </w:rPr>
              <w:t>全年</w:t>
            </w:r>
          </w:p>
          <w:p w14:paraId="5F8DEF55">
            <w:pPr>
              <w:widowControl/>
              <w:spacing w:line="240" w:lineRule="exact"/>
              <w:jc w:val="center"/>
              <w:rPr>
                <w:rFonts w:ascii="仿宋" w:hAnsi="仿宋" w:eastAsia="仿宋" w:cs="仿宋"/>
                <w:sz w:val="20"/>
                <w:szCs w:val="20"/>
              </w:rPr>
            </w:pPr>
            <w:r>
              <w:rPr>
                <w:rFonts w:hint="eastAsia" w:ascii="仿宋" w:hAnsi="仿宋" w:eastAsia="仿宋" w:cs="仿宋"/>
                <w:sz w:val="20"/>
                <w:szCs w:val="20"/>
              </w:rPr>
              <w:t>执行数</w:t>
            </w:r>
          </w:p>
        </w:tc>
        <w:tc>
          <w:tcPr>
            <w:tcW w:w="709" w:type="dxa"/>
            <w:vAlign w:val="center"/>
          </w:tcPr>
          <w:p w14:paraId="181E59B3">
            <w:pPr>
              <w:widowControl/>
              <w:spacing w:line="240" w:lineRule="exact"/>
              <w:jc w:val="center"/>
              <w:rPr>
                <w:rFonts w:ascii="仿宋" w:hAnsi="仿宋" w:eastAsia="仿宋" w:cs="仿宋"/>
                <w:sz w:val="20"/>
                <w:szCs w:val="20"/>
              </w:rPr>
            </w:pPr>
            <w:r>
              <w:rPr>
                <w:rFonts w:hint="eastAsia" w:ascii="仿宋" w:hAnsi="仿宋" w:eastAsia="仿宋" w:cs="仿宋"/>
                <w:sz w:val="20"/>
                <w:szCs w:val="20"/>
              </w:rPr>
              <w:t>分值</w:t>
            </w:r>
          </w:p>
        </w:tc>
        <w:tc>
          <w:tcPr>
            <w:tcW w:w="782" w:type="dxa"/>
            <w:vAlign w:val="center"/>
          </w:tcPr>
          <w:p w14:paraId="183252A3">
            <w:pPr>
              <w:widowControl/>
              <w:spacing w:line="240" w:lineRule="exact"/>
              <w:jc w:val="center"/>
              <w:rPr>
                <w:rFonts w:ascii="仿宋" w:hAnsi="仿宋" w:eastAsia="仿宋" w:cs="仿宋"/>
                <w:sz w:val="20"/>
                <w:szCs w:val="20"/>
              </w:rPr>
            </w:pPr>
            <w:r>
              <w:rPr>
                <w:rFonts w:hint="eastAsia" w:ascii="仿宋" w:hAnsi="仿宋" w:eastAsia="仿宋" w:cs="仿宋"/>
                <w:sz w:val="20"/>
                <w:szCs w:val="20"/>
              </w:rPr>
              <w:t>执行率</w:t>
            </w:r>
          </w:p>
        </w:tc>
        <w:tc>
          <w:tcPr>
            <w:tcW w:w="871" w:type="dxa"/>
            <w:vAlign w:val="center"/>
          </w:tcPr>
          <w:p w14:paraId="284730BA">
            <w:pPr>
              <w:widowControl/>
              <w:spacing w:line="240" w:lineRule="exact"/>
              <w:jc w:val="center"/>
              <w:rPr>
                <w:rFonts w:ascii="仿宋" w:hAnsi="仿宋" w:eastAsia="仿宋" w:cs="仿宋"/>
                <w:sz w:val="20"/>
                <w:szCs w:val="20"/>
              </w:rPr>
            </w:pPr>
            <w:r>
              <w:rPr>
                <w:rFonts w:hint="eastAsia" w:ascii="仿宋" w:hAnsi="仿宋" w:eastAsia="仿宋" w:cs="仿宋"/>
                <w:sz w:val="20"/>
                <w:szCs w:val="20"/>
              </w:rPr>
              <w:t>得分</w:t>
            </w:r>
          </w:p>
        </w:tc>
      </w:tr>
      <w:tr w14:paraId="79E5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2D2C04AB">
            <w:pPr>
              <w:widowControl/>
              <w:spacing w:line="240" w:lineRule="exact"/>
              <w:jc w:val="center"/>
              <w:rPr>
                <w:rFonts w:ascii="仿宋" w:hAnsi="仿宋" w:eastAsia="仿宋" w:cs="仿宋"/>
                <w:color w:val="000000"/>
                <w:kern w:val="0"/>
                <w:sz w:val="20"/>
                <w:szCs w:val="20"/>
              </w:rPr>
            </w:pPr>
          </w:p>
        </w:tc>
        <w:tc>
          <w:tcPr>
            <w:tcW w:w="2137" w:type="dxa"/>
            <w:gridSpan w:val="2"/>
            <w:vAlign w:val="center"/>
          </w:tcPr>
          <w:p w14:paraId="6CA68212">
            <w:pPr>
              <w:widowControl/>
              <w:spacing w:line="240" w:lineRule="exact"/>
              <w:jc w:val="center"/>
              <w:rPr>
                <w:rFonts w:ascii="仿宋" w:hAnsi="仿宋" w:eastAsia="仿宋" w:cs="仿宋"/>
                <w:sz w:val="20"/>
                <w:szCs w:val="20"/>
              </w:rPr>
            </w:pPr>
            <w:r>
              <w:rPr>
                <w:rFonts w:hint="eastAsia" w:ascii="仿宋" w:hAnsi="仿宋" w:eastAsia="仿宋" w:cs="仿宋"/>
                <w:color w:val="000000"/>
                <w:kern w:val="0"/>
                <w:sz w:val="20"/>
                <w:szCs w:val="20"/>
              </w:rPr>
              <w:t>年度资金总额</w:t>
            </w:r>
          </w:p>
        </w:tc>
        <w:tc>
          <w:tcPr>
            <w:tcW w:w="1165" w:type="dxa"/>
            <w:vAlign w:val="center"/>
          </w:tcPr>
          <w:p w14:paraId="28A2AB24">
            <w:pPr>
              <w:keepNext w:val="0"/>
              <w:keepLines w:val="0"/>
              <w:widowControl/>
              <w:suppressLineNumbers w:val="0"/>
              <w:jc w:val="center"/>
              <w:textAlignment w:val="center"/>
              <w:rPr>
                <w:rFonts w:ascii="仿宋" w:hAnsi="仿宋" w:eastAsia="仿宋" w:cs="仿宋"/>
                <w:sz w:val="20"/>
                <w:szCs w:val="20"/>
              </w:rPr>
            </w:pPr>
            <w:r>
              <w:rPr>
                <w:rFonts w:hint="default" w:ascii="Times New Roman" w:hAnsi="Times New Roman" w:eastAsia="宋体" w:cs="Times New Roman"/>
                <w:i w:val="0"/>
                <w:iCs w:val="0"/>
                <w:color w:val="000000"/>
                <w:kern w:val="0"/>
                <w:sz w:val="20"/>
                <w:szCs w:val="20"/>
                <w:u w:val="none"/>
                <w:lang w:val="en-US" w:eastAsia="zh-CN" w:bidi="ar"/>
              </w:rPr>
              <w:t>755.89</w:t>
            </w:r>
          </w:p>
        </w:tc>
        <w:tc>
          <w:tcPr>
            <w:tcW w:w="1130" w:type="dxa"/>
            <w:gridSpan w:val="2"/>
            <w:vAlign w:val="center"/>
          </w:tcPr>
          <w:p w14:paraId="71F9E3D5">
            <w:pPr>
              <w:keepNext w:val="0"/>
              <w:keepLines w:val="0"/>
              <w:widowControl/>
              <w:suppressLineNumbers w:val="0"/>
              <w:jc w:val="center"/>
              <w:textAlignment w:val="center"/>
              <w:rPr>
                <w:rFonts w:ascii="仿宋" w:hAnsi="仿宋" w:eastAsia="仿宋" w:cs="仿宋"/>
                <w:sz w:val="20"/>
                <w:szCs w:val="20"/>
              </w:rPr>
            </w:pPr>
            <w:r>
              <w:rPr>
                <w:rFonts w:hint="default" w:ascii="Times New Roman" w:hAnsi="Times New Roman" w:eastAsia="宋体" w:cs="Times New Roman"/>
                <w:i w:val="0"/>
                <w:iCs w:val="0"/>
                <w:color w:val="000000"/>
                <w:kern w:val="0"/>
                <w:sz w:val="20"/>
                <w:szCs w:val="20"/>
                <w:u w:val="none"/>
                <w:lang w:val="en-US" w:eastAsia="zh-CN" w:bidi="ar"/>
              </w:rPr>
              <w:t>1007.30</w:t>
            </w:r>
          </w:p>
        </w:tc>
        <w:tc>
          <w:tcPr>
            <w:tcW w:w="1299" w:type="dxa"/>
            <w:vAlign w:val="center"/>
          </w:tcPr>
          <w:p w14:paraId="1BEF0809">
            <w:pPr>
              <w:keepNext w:val="0"/>
              <w:keepLines w:val="0"/>
              <w:widowControl/>
              <w:suppressLineNumbers w:val="0"/>
              <w:jc w:val="center"/>
              <w:textAlignment w:val="center"/>
              <w:rPr>
                <w:rFonts w:ascii="仿宋" w:hAnsi="仿宋" w:eastAsia="仿宋" w:cs="仿宋"/>
                <w:sz w:val="20"/>
                <w:szCs w:val="20"/>
              </w:rPr>
            </w:pPr>
            <w:r>
              <w:rPr>
                <w:rFonts w:hint="default" w:ascii="Times New Roman" w:hAnsi="Times New Roman" w:eastAsia="宋体" w:cs="Times New Roman"/>
                <w:i w:val="0"/>
                <w:iCs w:val="0"/>
                <w:color w:val="000000"/>
                <w:kern w:val="0"/>
                <w:sz w:val="20"/>
                <w:szCs w:val="20"/>
                <w:u w:val="none"/>
                <w:lang w:val="en-US" w:eastAsia="zh-CN" w:bidi="ar"/>
              </w:rPr>
              <w:t>1007.30</w:t>
            </w:r>
          </w:p>
        </w:tc>
        <w:tc>
          <w:tcPr>
            <w:tcW w:w="709" w:type="dxa"/>
            <w:vAlign w:val="center"/>
          </w:tcPr>
          <w:p w14:paraId="3214B091">
            <w:pPr>
              <w:keepNext w:val="0"/>
              <w:keepLines w:val="0"/>
              <w:widowControl/>
              <w:suppressLineNumbers w:val="0"/>
              <w:jc w:val="center"/>
              <w:textAlignment w:val="center"/>
              <w:rPr>
                <w:rFonts w:ascii="仿宋" w:hAnsi="仿宋" w:eastAsia="仿宋" w:cs="仿宋"/>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82" w:type="dxa"/>
            <w:vAlign w:val="center"/>
          </w:tcPr>
          <w:p w14:paraId="30299043">
            <w:pPr>
              <w:keepNext w:val="0"/>
              <w:keepLines w:val="0"/>
              <w:widowControl/>
              <w:suppressLineNumbers w:val="0"/>
              <w:jc w:val="center"/>
              <w:textAlignment w:val="center"/>
              <w:rPr>
                <w:rFonts w:ascii="仿宋" w:hAnsi="仿宋" w:eastAsia="仿宋" w:cs="仿宋"/>
                <w:sz w:val="20"/>
                <w:szCs w:val="20"/>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871" w:type="dxa"/>
            <w:vAlign w:val="center"/>
          </w:tcPr>
          <w:p w14:paraId="466F2FBC">
            <w:pPr>
              <w:keepNext w:val="0"/>
              <w:keepLines w:val="0"/>
              <w:widowControl/>
              <w:suppressLineNumbers w:val="0"/>
              <w:jc w:val="center"/>
              <w:textAlignment w:val="center"/>
              <w:rPr>
                <w:rFonts w:ascii="仿宋" w:hAnsi="仿宋" w:eastAsia="仿宋" w:cs="仿宋"/>
                <w:sz w:val="20"/>
                <w:szCs w:val="20"/>
              </w:rPr>
            </w:pPr>
            <w:r>
              <w:rPr>
                <w:rFonts w:hint="default" w:ascii="Times New Roman" w:hAnsi="Times New Roman" w:eastAsia="宋体" w:cs="Times New Roman"/>
                <w:i w:val="0"/>
                <w:iCs w:val="0"/>
                <w:color w:val="000000"/>
                <w:kern w:val="0"/>
                <w:sz w:val="20"/>
                <w:szCs w:val="20"/>
                <w:u w:val="none"/>
                <w:lang w:val="en-US" w:eastAsia="zh-CN" w:bidi="ar"/>
              </w:rPr>
              <w:t>10.00</w:t>
            </w:r>
          </w:p>
        </w:tc>
      </w:tr>
      <w:tr w14:paraId="7318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6EE46DB2">
            <w:pPr>
              <w:widowControl/>
              <w:spacing w:line="240" w:lineRule="exact"/>
              <w:jc w:val="left"/>
              <w:rPr>
                <w:rFonts w:ascii="仿宋" w:hAnsi="仿宋" w:eastAsia="仿宋" w:cs="仿宋"/>
                <w:color w:val="000000"/>
                <w:kern w:val="0"/>
                <w:sz w:val="20"/>
                <w:szCs w:val="20"/>
              </w:rPr>
            </w:pPr>
          </w:p>
        </w:tc>
        <w:tc>
          <w:tcPr>
            <w:tcW w:w="4432" w:type="dxa"/>
            <w:gridSpan w:val="5"/>
            <w:vAlign w:val="center"/>
          </w:tcPr>
          <w:p w14:paraId="145CB6E2">
            <w:pPr>
              <w:widowControl/>
              <w:spacing w:line="240" w:lineRule="exact"/>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661" w:type="dxa"/>
            <w:gridSpan w:val="4"/>
            <w:vAlign w:val="center"/>
          </w:tcPr>
          <w:p w14:paraId="635BC332">
            <w:pPr>
              <w:widowControl/>
              <w:spacing w:line="240" w:lineRule="exact"/>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257E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417F61DD">
            <w:pPr>
              <w:widowControl/>
              <w:spacing w:line="240" w:lineRule="exact"/>
              <w:jc w:val="left"/>
              <w:rPr>
                <w:rFonts w:ascii="仿宋" w:hAnsi="仿宋" w:eastAsia="仿宋" w:cs="仿宋"/>
                <w:color w:val="000000"/>
                <w:kern w:val="0"/>
                <w:sz w:val="20"/>
                <w:szCs w:val="20"/>
              </w:rPr>
            </w:pPr>
          </w:p>
        </w:tc>
        <w:tc>
          <w:tcPr>
            <w:tcW w:w="4432" w:type="dxa"/>
            <w:gridSpan w:val="5"/>
            <w:vAlign w:val="center"/>
          </w:tcPr>
          <w:p w14:paraId="417DF659">
            <w:pPr>
              <w:widowControl/>
              <w:spacing w:line="240" w:lineRule="exact"/>
              <w:jc w:val="left"/>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1007.3</w:t>
            </w:r>
          </w:p>
        </w:tc>
        <w:tc>
          <w:tcPr>
            <w:tcW w:w="3661" w:type="dxa"/>
            <w:gridSpan w:val="4"/>
            <w:vAlign w:val="center"/>
          </w:tcPr>
          <w:p w14:paraId="7DA17A57">
            <w:pPr>
              <w:widowControl/>
              <w:spacing w:line="240" w:lineRule="exact"/>
              <w:jc w:val="left"/>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1007.3</w:t>
            </w:r>
          </w:p>
        </w:tc>
      </w:tr>
      <w:tr w14:paraId="1661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78BC11BC">
            <w:pPr>
              <w:widowControl/>
              <w:spacing w:line="240" w:lineRule="exact"/>
              <w:jc w:val="left"/>
              <w:rPr>
                <w:rFonts w:ascii="仿宋" w:hAnsi="仿宋" w:eastAsia="仿宋" w:cs="仿宋"/>
                <w:color w:val="000000"/>
                <w:kern w:val="0"/>
                <w:sz w:val="20"/>
                <w:szCs w:val="20"/>
              </w:rPr>
            </w:pPr>
          </w:p>
        </w:tc>
        <w:tc>
          <w:tcPr>
            <w:tcW w:w="4432" w:type="dxa"/>
            <w:gridSpan w:val="5"/>
            <w:vAlign w:val="center"/>
          </w:tcPr>
          <w:p w14:paraId="6773BFE4">
            <w:pPr>
              <w:widowControl/>
              <w:spacing w:line="240" w:lineRule="exact"/>
              <w:ind w:firstLine="800" w:firstLineChars="400"/>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政府性基金拨款：0</w:t>
            </w:r>
          </w:p>
        </w:tc>
        <w:tc>
          <w:tcPr>
            <w:tcW w:w="3661" w:type="dxa"/>
            <w:gridSpan w:val="4"/>
            <w:vAlign w:val="center"/>
          </w:tcPr>
          <w:p w14:paraId="2FEE30C0">
            <w:pPr>
              <w:widowControl/>
              <w:spacing w:line="240" w:lineRule="exact"/>
              <w:ind w:firstLine="600" w:firstLineChars="300"/>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项目支出：0</w:t>
            </w:r>
          </w:p>
        </w:tc>
      </w:tr>
      <w:tr w14:paraId="0D86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4A9C9F26">
            <w:pPr>
              <w:widowControl/>
              <w:spacing w:line="240" w:lineRule="exact"/>
              <w:jc w:val="left"/>
              <w:rPr>
                <w:rFonts w:ascii="仿宋" w:hAnsi="仿宋" w:eastAsia="仿宋" w:cs="仿宋"/>
                <w:color w:val="000000"/>
                <w:kern w:val="0"/>
                <w:sz w:val="20"/>
                <w:szCs w:val="20"/>
              </w:rPr>
            </w:pPr>
          </w:p>
        </w:tc>
        <w:tc>
          <w:tcPr>
            <w:tcW w:w="4432" w:type="dxa"/>
            <w:gridSpan w:val="5"/>
            <w:vAlign w:val="center"/>
          </w:tcPr>
          <w:p w14:paraId="24AAF7CA">
            <w:pPr>
              <w:widowControl/>
              <w:spacing w:line="240" w:lineRule="exact"/>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纳入专户管理的非税收入拨款：0</w:t>
            </w:r>
          </w:p>
        </w:tc>
        <w:tc>
          <w:tcPr>
            <w:tcW w:w="3661" w:type="dxa"/>
            <w:gridSpan w:val="4"/>
            <w:vAlign w:val="center"/>
          </w:tcPr>
          <w:p w14:paraId="42492784">
            <w:pPr>
              <w:widowControl/>
              <w:spacing w:line="240" w:lineRule="exact"/>
              <w:jc w:val="left"/>
              <w:rPr>
                <w:rFonts w:ascii="仿宋" w:hAnsi="仿宋" w:eastAsia="仿宋" w:cs="仿宋"/>
                <w:color w:val="000000"/>
                <w:kern w:val="0"/>
                <w:sz w:val="20"/>
                <w:szCs w:val="20"/>
              </w:rPr>
            </w:pPr>
          </w:p>
        </w:tc>
      </w:tr>
      <w:tr w14:paraId="2463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3F3F88E6">
            <w:pPr>
              <w:widowControl/>
              <w:spacing w:line="240" w:lineRule="exact"/>
              <w:jc w:val="left"/>
              <w:rPr>
                <w:rFonts w:ascii="仿宋" w:hAnsi="仿宋" w:eastAsia="仿宋" w:cs="仿宋"/>
                <w:color w:val="000000"/>
                <w:kern w:val="0"/>
                <w:sz w:val="20"/>
                <w:szCs w:val="20"/>
              </w:rPr>
            </w:pPr>
          </w:p>
        </w:tc>
        <w:tc>
          <w:tcPr>
            <w:tcW w:w="4432" w:type="dxa"/>
            <w:gridSpan w:val="5"/>
            <w:vAlign w:val="center"/>
          </w:tcPr>
          <w:p w14:paraId="7D3A91E6">
            <w:pPr>
              <w:widowControl/>
              <w:spacing w:line="240" w:lineRule="exact"/>
              <w:ind w:firstLine="1400" w:firstLineChars="700"/>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其他资金：0</w:t>
            </w:r>
          </w:p>
        </w:tc>
        <w:tc>
          <w:tcPr>
            <w:tcW w:w="3661" w:type="dxa"/>
            <w:gridSpan w:val="4"/>
            <w:vAlign w:val="center"/>
          </w:tcPr>
          <w:p w14:paraId="1967A6AE">
            <w:pPr>
              <w:widowControl/>
              <w:spacing w:line="240" w:lineRule="exact"/>
              <w:jc w:val="left"/>
              <w:rPr>
                <w:rFonts w:ascii="仿宋" w:hAnsi="仿宋" w:eastAsia="仿宋" w:cs="仿宋"/>
                <w:color w:val="000000"/>
                <w:kern w:val="0"/>
                <w:sz w:val="20"/>
                <w:szCs w:val="20"/>
              </w:rPr>
            </w:pPr>
          </w:p>
        </w:tc>
      </w:tr>
      <w:tr w14:paraId="3117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restart"/>
            <w:vAlign w:val="center"/>
          </w:tcPr>
          <w:p w14:paraId="70DC975F">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432" w:type="dxa"/>
            <w:gridSpan w:val="5"/>
            <w:vAlign w:val="center"/>
          </w:tcPr>
          <w:p w14:paraId="073A4EBD">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661" w:type="dxa"/>
            <w:gridSpan w:val="4"/>
            <w:vAlign w:val="center"/>
          </w:tcPr>
          <w:p w14:paraId="46F20F79">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1B98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69" w:type="dxa"/>
            <w:vMerge w:val="continue"/>
            <w:vAlign w:val="center"/>
          </w:tcPr>
          <w:p w14:paraId="3F8E9474">
            <w:pPr>
              <w:widowControl/>
              <w:spacing w:line="240" w:lineRule="exact"/>
              <w:jc w:val="left"/>
              <w:rPr>
                <w:rFonts w:ascii="仿宋" w:hAnsi="仿宋" w:eastAsia="仿宋" w:cs="仿宋"/>
                <w:color w:val="000000"/>
                <w:kern w:val="0"/>
                <w:sz w:val="20"/>
                <w:szCs w:val="20"/>
              </w:rPr>
            </w:pPr>
          </w:p>
        </w:tc>
        <w:tc>
          <w:tcPr>
            <w:tcW w:w="4432" w:type="dxa"/>
            <w:gridSpan w:val="5"/>
            <w:vAlign w:val="center"/>
          </w:tcPr>
          <w:p w14:paraId="3E6D5B9B">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立足服务全区经济发展，坚决贯彻落实区委、区政府各项决策部署，着力提升“三服务“水平”，在参谋辅政、办文办会、服务中心、督查督办等。</w:t>
            </w:r>
          </w:p>
        </w:tc>
        <w:tc>
          <w:tcPr>
            <w:tcW w:w="3661" w:type="dxa"/>
            <w:gridSpan w:val="4"/>
            <w:vAlign w:val="center"/>
          </w:tcPr>
          <w:p w14:paraId="1A3CD808">
            <w:pPr>
              <w:widowControl/>
              <w:spacing w:line="240" w:lineRule="exact"/>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较好地完成了各项目标任务</w:t>
            </w:r>
          </w:p>
        </w:tc>
      </w:tr>
      <w:tr w14:paraId="5839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69" w:type="dxa"/>
            <w:vMerge w:val="restart"/>
            <w:vAlign w:val="center"/>
          </w:tcPr>
          <w:p w14:paraId="2F7DE31C">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DB2D7BE">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93C64F8">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0379B1DB">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76" w:type="dxa"/>
            <w:vAlign w:val="center"/>
          </w:tcPr>
          <w:p w14:paraId="42994045">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961" w:type="dxa"/>
            <w:vAlign w:val="center"/>
          </w:tcPr>
          <w:p w14:paraId="6EAD5418">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260" w:type="dxa"/>
            <w:gridSpan w:val="2"/>
            <w:vAlign w:val="center"/>
          </w:tcPr>
          <w:p w14:paraId="52D5BB5B">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35" w:type="dxa"/>
            <w:vAlign w:val="center"/>
          </w:tcPr>
          <w:p w14:paraId="25A17915">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B8D8C8">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299" w:type="dxa"/>
            <w:vAlign w:val="center"/>
          </w:tcPr>
          <w:p w14:paraId="5ADEEF43">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E74DE5E">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09" w:type="dxa"/>
            <w:vAlign w:val="center"/>
          </w:tcPr>
          <w:p w14:paraId="7A433B4F">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782" w:type="dxa"/>
            <w:vAlign w:val="center"/>
          </w:tcPr>
          <w:p w14:paraId="79E9AD03">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871" w:type="dxa"/>
          </w:tcPr>
          <w:p w14:paraId="2CF5BE1C">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52140423">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35B953C4">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1863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570E1E0D">
            <w:pPr>
              <w:widowControl/>
              <w:spacing w:line="240" w:lineRule="exact"/>
              <w:jc w:val="center"/>
              <w:rPr>
                <w:rFonts w:ascii="仿宋" w:hAnsi="仿宋" w:eastAsia="仿宋" w:cs="仿宋"/>
                <w:color w:val="000000"/>
                <w:kern w:val="0"/>
                <w:sz w:val="20"/>
                <w:szCs w:val="20"/>
              </w:rPr>
            </w:pPr>
          </w:p>
        </w:tc>
        <w:tc>
          <w:tcPr>
            <w:tcW w:w="1176" w:type="dxa"/>
            <w:vMerge w:val="restart"/>
            <w:vAlign w:val="center"/>
          </w:tcPr>
          <w:p w14:paraId="5858DF36">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031A358">
            <w:pPr>
              <w:widowControl/>
              <w:spacing w:line="240" w:lineRule="exact"/>
              <w:jc w:val="center"/>
              <w:rPr>
                <w:rFonts w:ascii="仿宋" w:hAnsi="仿宋" w:eastAsia="仿宋" w:cs="仿宋"/>
                <w:color w:val="000000"/>
                <w:kern w:val="0"/>
                <w:sz w:val="20"/>
                <w:szCs w:val="20"/>
              </w:rPr>
            </w:pPr>
          </w:p>
        </w:tc>
        <w:tc>
          <w:tcPr>
            <w:tcW w:w="961" w:type="dxa"/>
            <w:vMerge w:val="restart"/>
            <w:vAlign w:val="center"/>
          </w:tcPr>
          <w:p w14:paraId="3A14CE0A">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2E7406A4">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260" w:type="dxa"/>
            <w:gridSpan w:val="2"/>
            <w:vAlign w:val="center"/>
          </w:tcPr>
          <w:p w14:paraId="4B5414B3">
            <w:pPr>
              <w:keepNext w:val="0"/>
              <w:keepLines w:val="0"/>
              <w:widowControl/>
              <w:suppressLineNumbers w:val="0"/>
              <w:jc w:val="center"/>
              <w:textAlignment w:val="center"/>
              <w:rPr>
                <w:rFonts w:ascii="仿宋" w:hAnsi="仿宋" w:eastAsia="仿宋" w:cs="仿宋"/>
                <w:color w:val="000000"/>
                <w:kern w:val="0"/>
                <w:sz w:val="20"/>
                <w:szCs w:val="20"/>
              </w:rPr>
            </w:pPr>
            <w:r>
              <w:rPr>
                <w:rFonts w:hint="eastAsia" w:ascii="仿宋" w:hAnsi="仿宋" w:eastAsia="仿宋" w:cs="仿宋"/>
                <w:i w:val="0"/>
                <w:iCs w:val="0"/>
                <w:color w:val="000000"/>
                <w:kern w:val="0"/>
                <w:sz w:val="20"/>
                <w:szCs w:val="20"/>
                <w:u w:val="none"/>
                <w:lang w:val="en-US" w:eastAsia="zh-CN" w:bidi="ar"/>
              </w:rPr>
              <w:t>金融服务宣传活动</w:t>
            </w:r>
          </w:p>
        </w:tc>
        <w:tc>
          <w:tcPr>
            <w:tcW w:w="1035" w:type="dxa"/>
            <w:vAlign w:val="center"/>
          </w:tcPr>
          <w:p w14:paraId="47B6538C">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活动场次</w:t>
            </w:r>
          </w:p>
        </w:tc>
        <w:tc>
          <w:tcPr>
            <w:tcW w:w="1299" w:type="dxa"/>
            <w:vAlign w:val="center"/>
          </w:tcPr>
          <w:p w14:paraId="08555172">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709" w:type="dxa"/>
            <w:vAlign w:val="center"/>
          </w:tcPr>
          <w:p w14:paraId="65FBFE9F">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5</w:t>
            </w:r>
          </w:p>
        </w:tc>
        <w:tc>
          <w:tcPr>
            <w:tcW w:w="782" w:type="dxa"/>
            <w:vAlign w:val="center"/>
          </w:tcPr>
          <w:p w14:paraId="32FE281F">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5</w:t>
            </w:r>
          </w:p>
        </w:tc>
        <w:tc>
          <w:tcPr>
            <w:tcW w:w="871" w:type="dxa"/>
            <w:vAlign w:val="center"/>
          </w:tcPr>
          <w:p w14:paraId="7238A59E">
            <w:pPr>
              <w:widowControl/>
              <w:spacing w:line="240" w:lineRule="exact"/>
              <w:jc w:val="center"/>
              <w:rPr>
                <w:rFonts w:ascii="仿宋" w:hAnsi="仿宋" w:eastAsia="仿宋" w:cs="仿宋"/>
                <w:color w:val="000000"/>
                <w:kern w:val="0"/>
                <w:sz w:val="20"/>
                <w:szCs w:val="20"/>
              </w:rPr>
            </w:pPr>
          </w:p>
        </w:tc>
      </w:tr>
      <w:tr w14:paraId="0674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14C41D42">
            <w:pPr>
              <w:widowControl/>
              <w:spacing w:line="240" w:lineRule="exact"/>
              <w:jc w:val="center"/>
              <w:rPr>
                <w:rFonts w:ascii="仿宋" w:hAnsi="仿宋" w:eastAsia="仿宋" w:cs="仿宋"/>
                <w:color w:val="000000"/>
                <w:kern w:val="0"/>
                <w:sz w:val="20"/>
                <w:szCs w:val="20"/>
              </w:rPr>
            </w:pPr>
          </w:p>
        </w:tc>
        <w:tc>
          <w:tcPr>
            <w:tcW w:w="1176" w:type="dxa"/>
            <w:vMerge w:val="continue"/>
            <w:vAlign w:val="center"/>
          </w:tcPr>
          <w:p w14:paraId="19C3061E">
            <w:pPr>
              <w:widowControl/>
              <w:spacing w:line="240" w:lineRule="exact"/>
              <w:jc w:val="left"/>
              <w:rPr>
                <w:rFonts w:ascii="仿宋" w:hAnsi="仿宋" w:eastAsia="仿宋" w:cs="仿宋"/>
                <w:color w:val="000000"/>
                <w:kern w:val="0"/>
                <w:sz w:val="20"/>
                <w:szCs w:val="20"/>
              </w:rPr>
            </w:pPr>
          </w:p>
        </w:tc>
        <w:tc>
          <w:tcPr>
            <w:tcW w:w="961" w:type="dxa"/>
            <w:vMerge w:val="continue"/>
            <w:vAlign w:val="center"/>
          </w:tcPr>
          <w:p w14:paraId="2A4B8323">
            <w:pPr>
              <w:widowControl/>
              <w:spacing w:line="240" w:lineRule="exact"/>
              <w:jc w:val="center"/>
              <w:rPr>
                <w:rFonts w:ascii="仿宋" w:hAnsi="仿宋" w:eastAsia="仿宋" w:cs="仿宋"/>
                <w:color w:val="000000"/>
                <w:kern w:val="0"/>
                <w:sz w:val="20"/>
                <w:szCs w:val="20"/>
              </w:rPr>
            </w:pPr>
          </w:p>
        </w:tc>
        <w:tc>
          <w:tcPr>
            <w:tcW w:w="1260" w:type="dxa"/>
            <w:gridSpan w:val="2"/>
            <w:vAlign w:val="center"/>
          </w:tcPr>
          <w:p w14:paraId="6707E7A3">
            <w:pPr>
              <w:keepNext w:val="0"/>
              <w:keepLines w:val="0"/>
              <w:widowControl/>
              <w:suppressLineNumbers w:val="0"/>
              <w:jc w:val="center"/>
              <w:textAlignment w:val="center"/>
              <w:rPr>
                <w:rFonts w:ascii="仿宋" w:hAnsi="仿宋" w:eastAsia="仿宋" w:cs="仿宋"/>
                <w:color w:val="000000"/>
                <w:kern w:val="0"/>
                <w:sz w:val="20"/>
                <w:szCs w:val="20"/>
              </w:rPr>
            </w:pPr>
            <w:r>
              <w:rPr>
                <w:rFonts w:hint="eastAsia" w:ascii="仿宋" w:hAnsi="仿宋" w:eastAsia="仿宋" w:cs="仿宋"/>
                <w:i w:val="0"/>
                <w:iCs w:val="0"/>
                <w:color w:val="000000"/>
                <w:kern w:val="0"/>
                <w:sz w:val="20"/>
                <w:szCs w:val="20"/>
                <w:u w:val="none"/>
                <w:lang w:val="en-US" w:eastAsia="zh-CN" w:bidi="ar"/>
              </w:rPr>
              <w:t>办理单位，督办单位</w:t>
            </w:r>
          </w:p>
        </w:tc>
        <w:tc>
          <w:tcPr>
            <w:tcW w:w="1035" w:type="dxa"/>
            <w:vAlign w:val="center"/>
          </w:tcPr>
          <w:p w14:paraId="126DB118">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参加单位建设提案办理经费</w:t>
            </w:r>
          </w:p>
        </w:tc>
        <w:tc>
          <w:tcPr>
            <w:tcW w:w="1299" w:type="dxa"/>
            <w:vAlign w:val="center"/>
          </w:tcPr>
          <w:p w14:paraId="62839698">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&gt;1</w:t>
            </w:r>
          </w:p>
        </w:tc>
        <w:tc>
          <w:tcPr>
            <w:tcW w:w="709" w:type="dxa"/>
            <w:vAlign w:val="center"/>
          </w:tcPr>
          <w:p w14:paraId="6CD08DE3">
            <w:pPr>
              <w:widowControl/>
              <w:jc w:val="center"/>
              <w:textAlignment w:val="center"/>
              <w:rPr>
                <w:rFonts w:hint="eastAsia" w:ascii="仿宋" w:hAnsi="仿宋" w:eastAsia="仿宋" w:cs="仿宋"/>
                <w:color w:val="000000"/>
                <w:kern w:val="0"/>
                <w:sz w:val="20"/>
                <w:szCs w:val="20"/>
                <w:lang w:eastAsia="zh-CN"/>
              </w:rPr>
            </w:pPr>
            <w:r>
              <w:rPr>
                <w:rFonts w:hint="eastAsia" w:ascii="仿宋_GB2312" w:hAnsi="宋体" w:eastAsia="仿宋_GB2312" w:cs="仿宋_GB2312"/>
                <w:color w:val="000000"/>
                <w:kern w:val="0"/>
                <w:sz w:val="20"/>
                <w:szCs w:val="20"/>
                <w:lang w:val="en-US" w:eastAsia="zh-CN"/>
              </w:rPr>
              <w:t>5</w:t>
            </w:r>
          </w:p>
        </w:tc>
        <w:tc>
          <w:tcPr>
            <w:tcW w:w="782" w:type="dxa"/>
            <w:vAlign w:val="center"/>
          </w:tcPr>
          <w:p w14:paraId="351EF593">
            <w:pPr>
              <w:widowControl/>
              <w:jc w:val="center"/>
              <w:textAlignment w:val="center"/>
              <w:rPr>
                <w:rFonts w:hint="eastAsia" w:ascii="仿宋" w:hAnsi="仿宋" w:eastAsia="仿宋" w:cs="仿宋"/>
                <w:color w:val="000000"/>
                <w:kern w:val="0"/>
                <w:sz w:val="20"/>
                <w:szCs w:val="20"/>
                <w:lang w:eastAsia="zh-CN"/>
              </w:rPr>
            </w:pPr>
            <w:r>
              <w:rPr>
                <w:rFonts w:hint="eastAsia" w:ascii="仿宋_GB2312" w:hAnsi="宋体" w:eastAsia="仿宋_GB2312" w:cs="仿宋_GB2312"/>
                <w:color w:val="000000"/>
                <w:kern w:val="0"/>
                <w:sz w:val="20"/>
                <w:szCs w:val="20"/>
                <w:lang w:val="en-US" w:eastAsia="zh-CN"/>
              </w:rPr>
              <w:t>5</w:t>
            </w:r>
          </w:p>
        </w:tc>
        <w:tc>
          <w:tcPr>
            <w:tcW w:w="871" w:type="dxa"/>
            <w:vAlign w:val="center"/>
          </w:tcPr>
          <w:p w14:paraId="73F1A424">
            <w:pPr>
              <w:widowControl/>
              <w:spacing w:line="240" w:lineRule="exact"/>
              <w:jc w:val="center"/>
              <w:rPr>
                <w:rFonts w:ascii="仿宋" w:hAnsi="仿宋" w:eastAsia="仿宋" w:cs="仿宋"/>
                <w:color w:val="000000"/>
                <w:kern w:val="0"/>
                <w:sz w:val="20"/>
                <w:szCs w:val="20"/>
              </w:rPr>
            </w:pPr>
          </w:p>
        </w:tc>
      </w:tr>
      <w:tr w14:paraId="43A5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169" w:type="dxa"/>
            <w:vMerge w:val="continue"/>
            <w:vAlign w:val="center"/>
          </w:tcPr>
          <w:p w14:paraId="6B0A6B75">
            <w:pPr>
              <w:widowControl/>
              <w:spacing w:line="240" w:lineRule="exact"/>
              <w:jc w:val="center"/>
              <w:rPr>
                <w:rFonts w:ascii="仿宋" w:hAnsi="仿宋" w:eastAsia="仿宋" w:cs="仿宋"/>
                <w:color w:val="000000"/>
                <w:kern w:val="0"/>
                <w:sz w:val="20"/>
                <w:szCs w:val="20"/>
              </w:rPr>
            </w:pPr>
          </w:p>
        </w:tc>
        <w:tc>
          <w:tcPr>
            <w:tcW w:w="1176" w:type="dxa"/>
            <w:vMerge w:val="continue"/>
            <w:vAlign w:val="center"/>
          </w:tcPr>
          <w:p w14:paraId="2154DFCF">
            <w:pPr>
              <w:widowControl/>
              <w:spacing w:line="240" w:lineRule="exact"/>
              <w:jc w:val="left"/>
              <w:rPr>
                <w:rFonts w:ascii="仿宋" w:hAnsi="仿宋" w:eastAsia="仿宋" w:cs="仿宋"/>
                <w:color w:val="000000"/>
                <w:kern w:val="0"/>
                <w:sz w:val="20"/>
                <w:szCs w:val="20"/>
              </w:rPr>
            </w:pPr>
          </w:p>
        </w:tc>
        <w:tc>
          <w:tcPr>
            <w:tcW w:w="961" w:type="dxa"/>
            <w:vMerge w:val="restart"/>
            <w:vAlign w:val="center"/>
          </w:tcPr>
          <w:p w14:paraId="2F540A0C">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2E16F46A">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260" w:type="dxa"/>
            <w:gridSpan w:val="2"/>
            <w:vAlign w:val="center"/>
          </w:tcPr>
          <w:p w14:paraId="2D7886B5">
            <w:pPr>
              <w:keepNext w:val="0"/>
              <w:keepLines w:val="0"/>
              <w:widowControl/>
              <w:suppressLineNumbers w:val="0"/>
              <w:jc w:val="center"/>
              <w:textAlignment w:val="center"/>
              <w:rPr>
                <w:rFonts w:ascii="仿宋" w:hAnsi="仿宋" w:eastAsia="仿宋" w:cs="仿宋"/>
                <w:color w:val="000000"/>
                <w:kern w:val="0"/>
                <w:sz w:val="20"/>
                <w:szCs w:val="20"/>
              </w:rPr>
            </w:pPr>
            <w:r>
              <w:rPr>
                <w:rFonts w:hint="eastAsia" w:ascii="仿宋" w:hAnsi="仿宋" w:eastAsia="仿宋" w:cs="仿宋"/>
                <w:i w:val="0"/>
                <w:iCs w:val="0"/>
                <w:color w:val="000000"/>
                <w:kern w:val="0"/>
                <w:sz w:val="20"/>
                <w:szCs w:val="20"/>
                <w:u w:val="none"/>
                <w:lang w:val="en-US" w:eastAsia="zh-CN" w:bidi="ar"/>
              </w:rPr>
              <w:t>认真组织办理人大代表建议和政协提案，不断改进办理方法，提高办理质量</w:t>
            </w:r>
          </w:p>
        </w:tc>
        <w:tc>
          <w:tcPr>
            <w:tcW w:w="1035" w:type="dxa"/>
            <w:vAlign w:val="center"/>
          </w:tcPr>
          <w:p w14:paraId="09AE8BDC">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99" w:type="dxa"/>
            <w:vAlign w:val="center"/>
          </w:tcPr>
          <w:p w14:paraId="33BDF0B5">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参加单位建设提案办理经费</w:t>
            </w:r>
          </w:p>
        </w:tc>
        <w:tc>
          <w:tcPr>
            <w:tcW w:w="709" w:type="dxa"/>
            <w:vAlign w:val="center"/>
          </w:tcPr>
          <w:p w14:paraId="2C91F63F">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15</w:t>
            </w:r>
          </w:p>
        </w:tc>
        <w:tc>
          <w:tcPr>
            <w:tcW w:w="782" w:type="dxa"/>
            <w:vAlign w:val="center"/>
          </w:tcPr>
          <w:p w14:paraId="06A5EE9A">
            <w:pPr>
              <w:keepNext w:val="0"/>
              <w:keepLines w:val="0"/>
              <w:widowControl/>
              <w:suppressLineNumbers w:val="0"/>
              <w:jc w:val="left"/>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15</w:t>
            </w:r>
          </w:p>
        </w:tc>
        <w:tc>
          <w:tcPr>
            <w:tcW w:w="871" w:type="dxa"/>
            <w:vAlign w:val="center"/>
          </w:tcPr>
          <w:p w14:paraId="5F8A8FDD">
            <w:pPr>
              <w:keepNext w:val="0"/>
              <w:keepLines w:val="0"/>
              <w:widowControl/>
              <w:suppressLineNumbers w:val="0"/>
              <w:jc w:val="center"/>
              <w:textAlignment w:val="center"/>
              <w:rPr>
                <w:rFonts w:ascii="仿宋" w:hAnsi="仿宋" w:eastAsia="仿宋" w:cs="仿宋"/>
                <w:color w:val="000000"/>
                <w:kern w:val="0"/>
                <w:sz w:val="20"/>
                <w:szCs w:val="20"/>
              </w:rPr>
            </w:pPr>
          </w:p>
        </w:tc>
      </w:tr>
      <w:tr w14:paraId="543D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169" w:type="dxa"/>
            <w:vMerge w:val="continue"/>
            <w:vAlign w:val="center"/>
          </w:tcPr>
          <w:p w14:paraId="7438BB09">
            <w:pPr>
              <w:widowControl/>
              <w:spacing w:line="240" w:lineRule="exact"/>
              <w:jc w:val="center"/>
              <w:rPr>
                <w:rFonts w:ascii="仿宋" w:hAnsi="仿宋" w:eastAsia="仿宋" w:cs="仿宋"/>
                <w:color w:val="000000"/>
                <w:kern w:val="0"/>
                <w:sz w:val="20"/>
                <w:szCs w:val="20"/>
              </w:rPr>
            </w:pPr>
          </w:p>
        </w:tc>
        <w:tc>
          <w:tcPr>
            <w:tcW w:w="1176" w:type="dxa"/>
            <w:vMerge w:val="continue"/>
            <w:vAlign w:val="center"/>
          </w:tcPr>
          <w:p w14:paraId="0E6163B6">
            <w:pPr>
              <w:widowControl/>
              <w:spacing w:line="240" w:lineRule="exact"/>
              <w:jc w:val="left"/>
              <w:rPr>
                <w:rFonts w:ascii="仿宋" w:hAnsi="仿宋" w:eastAsia="仿宋" w:cs="仿宋"/>
                <w:color w:val="000000"/>
                <w:kern w:val="0"/>
                <w:sz w:val="20"/>
                <w:szCs w:val="20"/>
              </w:rPr>
            </w:pPr>
          </w:p>
        </w:tc>
        <w:tc>
          <w:tcPr>
            <w:tcW w:w="961" w:type="dxa"/>
            <w:vMerge w:val="continue"/>
            <w:vAlign w:val="center"/>
          </w:tcPr>
          <w:p w14:paraId="71069C32">
            <w:pPr>
              <w:widowControl/>
              <w:spacing w:line="240" w:lineRule="exact"/>
              <w:jc w:val="center"/>
              <w:rPr>
                <w:rFonts w:hint="eastAsia" w:ascii="仿宋" w:hAnsi="仿宋" w:eastAsia="仿宋" w:cs="仿宋"/>
                <w:color w:val="000000"/>
                <w:kern w:val="0"/>
                <w:sz w:val="20"/>
                <w:szCs w:val="20"/>
              </w:rPr>
            </w:pPr>
          </w:p>
        </w:tc>
        <w:tc>
          <w:tcPr>
            <w:tcW w:w="1260" w:type="dxa"/>
            <w:gridSpan w:val="2"/>
            <w:vAlign w:val="center"/>
          </w:tcPr>
          <w:p w14:paraId="228C04A0">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仿宋" w:hAnsi="仿宋" w:eastAsia="仿宋" w:cs="仿宋"/>
                <w:i w:val="0"/>
                <w:iCs w:val="0"/>
                <w:color w:val="000000"/>
                <w:kern w:val="0"/>
                <w:sz w:val="20"/>
                <w:szCs w:val="20"/>
                <w:u w:val="none"/>
                <w:lang w:val="en-US" w:eastAsia="zh-CN" w:bidi="ar"/>
              </w:rPr>
              <w:t>完成专区督查，政务建设经费</w:t>
            </w:r>
          </w:p>
        </w:tc>
        <w:tc>
          <w:tcPr>
            <w:tcW w:w="1035" w:type="dxa"/>
            <w:vAlign w:val="center"/>
          </w:tcPr>
          <w:p w14:paraId="15B42B3B">
            <w:pPr>
              <w:keepNext w:val="0"/>
              <w:keepLines w:val="0"/>
              <w:widowControl/>
              <w:suppressLineNumbers w:val="0"/>
              <w:jc w:val="center"/>
              <w:textAlignment w:val="center"/>
              <w:rPr>
                <w:rFonts w:ascii="仿宋_GB2312" w:hAnsi="宋体" w:eastAsia="仿宋_GB2312" w:cs="仿宋_GB2312"/>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提高群众对非法集资的防范意识能力</w:t>
            </w:r>
          </w:p>
        </w:tc>
        <w:tc>
          <w:tcPr>
            <w:tcW w:w="1299" w:type="dxa"/>
            <w:vAlign w:val="center"/>
          </w:tcPr>
          <w:p w14:paraId="60C632F5">
            <w:pPr>
              <w:keepNext w:val="0"/>
              <w:keepLines w:val="0"/>
              <w:widowControl/>
              <w:suppressLineNumbers w:val="0"/>
              <w:jc w:val="center"/>
              <w:textAlignment w:val="center"/>
              <w:rPr>
                <w:rFonts w:ascii="仿宋_GB2312" w:hAnsi="宋体" w:eastAsia="仿宋_GB2312" w:cs="仿宋_GB2312"/>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09" w:type="dxa"/>
            <w:vAlign w:val="center"/>
          </w:tcPr>
          <w:p w14:paraId="13D3AE35">
            <w:pPr>
              <w:keepNext w:val="0"/>
              <w:keepLines w:val="0"/>
              <w:widowControl/>
              <w:suppressLineNumbers w:val="0"/>
              <w:jc w:val="center"/>
              <w:textAlignment w:val="center"/>
              <w:rPr>
                <w:rFonts w:ascii="仿宋_GB2312" w:hAnsi="宋体" w:eastAsia="仿宋_GB2312" w:cs="仿宋_GB2312"/>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12</w:t>
            </w:r>
          </w:p>
        </w:tc>
        <w:tc>
          <w:tcPr>
            <w:tcW w:w="782" w:type="dxa"/>
            <w:vAlign w:val="center"/>
          </w:tcPr>
          <w:p w14:paraId="0074D31C">
            <w:pPr>
              <w:keepNext w:val="0"/>
              <w:keepLines w:val="0"/>
              <w:widowControl/>
              <w:suppressLineNumbers w:val="0"/>
              <w:jc w:val="left"/>
              <w:textAlignment w:val="center"/>
              <w:rPr>
                <w:rFonts w:ascii="仿宋_GB2312" w:hAnsi="宋体" w:eastAsia="仿宋_GB2312" w:cs="仿宋_GB2312"/>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11</w:t>
            </w:r>
          </w:p>
        </w:tc>
        <w:tc>
          <w:tcPr>
            <w:tcW w:w="871" w:type="dxa"/>
            <w:vAlign w:val="center"/>
          </w:tcPr>
          <w:p w14:paraId="199EC8B2">
            <w:pPr>
              <w:keepNext w:val="0"/>
              <w:keepLines w:val="0"/>
              <w:widowControl/>
              <w:suppressLineNumbers w:val="0"/>
              <w:jc w:val="center"/>
              <w:textAlignment w:val="center"/>
              <w:rPr>
                <w:rFonts w:ascii="仿宋" w:hAnsi="仿宋" w:eastAsia="仿宋" w:cs="仿宋"/>
                <w:color w:val="000000"/>
                <w:kern w:val="0"/>
                <w:sz w:val="20"/>
                <w:szCs w:val="20"/>
              </w:rPr>
            </w:pPr>
          </w:p>
        </w:tc>
      </w:tr>
      <w:tr w14:paraId="7185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2F38C529">
            <w:pPr>
              <w:widowControl/>
              <w:spacing w:line="240" w:lineRule="exact"/>
              <w:jc w:val="center"/>
              <w:rPr>
                <w:rFonts w:ascii="仿宋" w:hAnsi="仿宋" w:eastAsia="仿宋" w:cs="仿宋"/>
                <w:color w:val="000000"/>
                <w:kern w:val="0"/>
                <w:sz w:val="20"/>
                <w:szCs w:val="20"/>
              </w:rPr>
            </w:pPr>
          </w:p>
        </w:tc>
        <w:tc>
          <w:tcPr>
            <w:tcW w:w="1176" w:type="dxa"/>
            <w:vMerge w:val="continue"/>
            <w:vAlign w:val="center"/>
          </w:tcPr>
          <w:p w14:paraId="24346861">
            <w:pPr>
              <w:widowControl/>
              <w:spacing w:line="240" w:lineRule="exact"/>
              <w:jc w:val="left"/>
              <w:rPr>
                <w:rFonts w:ascii="仿宋" w:hAnsi="仿宋" w:eastAsia="仿宋" w:cs="仿宋"/>
                <w:color w:val="000000"/>
                <w:kern w:val="0"/>
                <w:sz w:val="20"/>
                <w:szCs w:val="20"/>
              </w:rPr>
            </w:pPr>
          </w:p>
        </w:tc>
        <w:tc>
          <w:tcPr>
            <w:tcW w:w="961" w:type="dxa"/>
            <w:vAlign w:val="center"/>
          </w:tcPr>
          <w:p w14:paraId="2105797B">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250C9065">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260" w:type="dxa"/>
            <w:gridSpan w:val="2"/>
            <w:vAlign w:val="center"/>
          </w:tcPr>
          <w:p w14:paraId="0E49642E">
            <w:pPr>
              <w:keepNext w:val="0"/>
              <w:keepLines w:val="0"/>
              <w:widowControl/>
              <w:suppressLineNumbers w:val="0"/>
              <w:jc w:val="center"/>
              <w:textAlignment w:val="center"/>
              <w:rPr>
                <w:rFonts w:ascii="仿宋" w:hAnsi="仿宋" w:eastAsia="仿宋" w:cs="仿宋"/>
                <w:color w:val="000000"/>
                <w:kern w:val="0"/>
                <w:sz w:val="20"/>
                <w:szCs w:val="20"/>
              </w:rPr>
            </w:pPr>
            <w:r>
              <w:rPr>
                <w:rFonts w:hint="eastAsia" w:ascii="仿宋" w:hAnsi="仿宋" w:eastAsia="仿宋" w:cs="仿宋"/>
                <w:i w:val="0"/>
                <w:iCs w:val="0"/>
                <w:color w:val="000000"/>
                <w:kern w:val="0"/>
                <w:sz w:val="20"/>
                <w:szCs w:val="20"/>
                <w:u w:val="none"/>
                <w:lang w:val="en-US" w:eastAsia="zh-CN" w:bidi="ar"/>
              </w:rPr>
              <w:t>2023年目标完成情况</w:t>
            </w:r>
          </w:p>
        </w:tc>
        <w:tc>
          <w:tcPr>
            <w:tcW w:w="1035" w:type="dxa"/>
            <w:vAlign w:val="center"/>
          </w:tcPr>
          <w:p w14:paraId="4DF35AA7">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2023年1月1日-2023年12月31日</w:t>
            </w:r>
          </w:p>
        </w:tc>
        <w:tc>
          <w:tcPr>
            <w:tcW w:w="1299" w:type="dxa"/>
            <w:vAlign w:val="center"/>
          </w:tcPr>
          <w:p w14:paraId="4ED25D01">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1年内完成情况</w:t>
            </w:r>
          </w:p>
        </w:tc>
        <w:tc>
          <w:tcPr>
            <w:tcW w:w="709" w:type="dxa"/>
            <w:vAlign w:val="center"/>
          </w:tcPr>
          <w:p w14:paraId="1EE34B07">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782" w:type="dxa"/>
            <w:vAlign w:val="center"/>
          </w:tcPr>
          <w:p w14:paraId="6C4BE057">
            <w:pPr>
              <w:keepNext w:val="0"/>
              <w:keepLines w:val="0"/>
              <w:widowControl/>
              <w:suppressLineNumbers w:val="0"/>
              <w:jc w:val="left"/>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9</w:t>
            </w:r>
          </w:p>
        </w:tc>
        <w:tc>
          <w:tcPr>
            <w:tcW w:w="871" w:type="dxa"/>
            <w:vAlign w:val="center"/>
          </w:tcPr>
          <w:p w14:paraId="09EB4CD2">
            <w:pPr>
              <w:widowControl/>
              <w:spacing w:line="240" w:lineRule="exact"/>
              <w:jc w:val="center"/>
              <w:rPr>
                <w:rFonts w:ascii="仿宋" w:hAnsi="仿宋" w:eastAsia="仿宋" w:cs="仿宋"/>
                <w:color w:val="000000"/>
                <w:kern w:val="0"/>
                <w:sz w:val="20"/>
                <w:szCs w:val="20"/>
              </w:rPr>
            </w:pPr>
          </w:p>
        </w:tc>
      </w:tr>
      <w:tr w14:paraId="6809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5EFC204C">
            <w:pPr>
              <w:widowControl/>
              <w:spacing w:line="240" w:lineRule="exact"/>
              <w:jc w:val="center"/>
              <w:rPr>
                <w:rFonts w:ascii="仿宋" w:hAnsi="仿宋" w:eastAsia="仿宋" w:cs="仿宋"/>
                <w:color w:val="000000"/>
                <w:kern w:val="0"/>
                <w:sz w:val="20"/>
                <w:szCs w:val="20"/>
              </w:rPr>
            </w:pPr>
          </w:p>
        </w:tc>
        <w:tc>
          <w:tcPr>
            <w:tcW w:w="1176" w:type="dxa"/>
            <w:vMerge w:val="restart"/>
            <w:vAlign w:val="center"/>
          </w:tcPr>
          <w:p w14:paraId="5D15B5A7">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D183C15">
            <w:pPr>
              <w:widowControl/>
              <w:spacing w:line="240" w:lineRule="exact"/>
              <w:jc w:val="center"/>
              <w:rPr>
                <w:rFonts w:ascii="仿宋" w:hAnsi="仿宋" w:eastAsia="仿宋" w:cs="仿宋"/>
                <w:color w:val="000000"/>
                <w:kern w:val="0"/>
                <w:sz w:val="20"/>
                <w:szCs w:val="20"/>
              </w:rPr>
            </w:pPr>
          </w:p>
        </w:tc>
        <w:tc>
          <w:tcPr>
            <w:tcW w:w="961" w:type="dxa"/>
            <w:vAlign w:val="center"/>
          </w:tcPr>
          <w:p w14:paraId="37BD451A">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1A7C4AD">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60" w:type="dxa"/>
            <w:gridSpan w:val="2"/>
            <w:vAlign w:val="center"/>
          </w:tcPr>
          <w:p w14:paraId="02D9B4D9">
            <w:pPr>
              <w:widowControl/>
              <w:spacing w:line="240" w:lineRule="exact"/>
              <w:jc w:val="center"/>
              <w:rPr>
                <w:rFonts w:ascii="仿宋" w:hAnsi="仿宋" w:eastAsia="仿宋" w:cs="仿宋"/>
                <w:color w:val="000000"/>
                <w:kern w:val="0"/>
                <w:sz w:val="20"/>
                <w:szCs w:val="20"/>
              </w:rPr>
            </w:pPr>
          </w:p>
        </w:tc>
        <w:tc>
          <w:tcPr>
            <w:tcW w:w="1035" w:type="dxa"/>
            <w:vAlign w:val="center"/>
          </w:tcPr>
          <w:p w14:paraId="661ED228">
            <w:pPr>
              <w:widowControl/>
              <w:spacing w:line="240" w:lineRule="exact"/>
              <w:jc w:val="center"/>
              <w:rPr>
                <w:rFonts w:ascii="仿宋" w:hAnsi="仿宋" w:eastAsia="仿宋" w:cs="仿宋"/>
                <w:color w:val="000000"/>
                <w:kern w:val="0"/>
                <w:sz w:val="20"/>
                <w:szCs w:val="20"/>
              </w:rPr>
            </w:pPr>
          </w:p>
        </w:tc>
        <w:tc>
          <w:tcPr>
            <w:tcW w:w="1299" w:type="dxa"/>
            <w:vAlign w:val="center"/>
          </w:tcPr>
          <w:p w14:paraId="1948B2E2">
            <w:pPr>
              <w:widowControl/>
              <w:spacing w:line="240" w:lineRule="exact"/>
              <w:jc w:val="center"/>
              <w:rPr>
                <w:rFonts w:ascii="仿宋" w:hAnsi="仿宋" w:eastAsia="仿宋" w:cs="仿宋"/>
                <w:color w:val="000000"/>
                <w:kern w:val="0"/>
                <w:sz w:val="20"/>
                <w:szCs w:val="20"/>
              </w:rPr>
            </w:pPr>
          </w:p>
        </w:tc>
        <w:tc>
          <w:tcPr>
            <w:tcW w:w="709" w:type="dxa"/>
            <w:vAlign w:val="center"/>
          </w:tcPr>
          <w:p w14:paraId="21E4DA57">
            <w:pPr>
              <w:widowControl/>
              <w:spacing w:line="240" w:lineRule="exact"/>
              <w:jc w:val="center"/>
              <w:rPr>
                <w:rFonts w:ascii="仿宋" w:hAnsi="仿宋" w:eastAsia="仿宋" w:cs="仿宋"/>
                <w:color w:val="000000"/>
                <w:kern w:val="0"/>
                <w:sz w:val="20"/>
                <w:szCs w:val="20"/>
              </w:rPr>
            </w:pPr>
          </w:p>
        </w:tc>
        <w:tc>
          <w:tcPr>
            <w:tcW w:w="782" w:type="dxa"/>
            <w:vAlign w:val="center"/>
          </w:tcPr>
          <w:p w14:paraId="21C0B04A">
            <w:pPr>
              <w:widowControl/>
              <w:spacing w:line="240" w:lineRule="exact"/>
              <w:jc w:val="center"/>
              <w:rPr>
                <w:rFonts w:ascii="仿宋" w:hAnsi="仿宋" w:eastAsia="仿宋" w:cs="仿宋"/>
                <w:color w:val="000000"/>
                <w:kern w:val="0"/>
                <w:sz w:val="20"/>
                <w:szCs w:val="20"/>
              </w:rPr>
            </w:pPr>
          </w:p>
        </w:tc>
        <w:tc>
          <w:tcPr>
            <w:tcW w:w="871" w:type="dxa"/>
            <w:vAlign w:val="center"/>
          </w:tcPr>
          <w:p w14:paraId="2D134A54">
            <w:pPr>
              <w:widowControl/>
              <w:spacing w:line="240" w:lineRule="exact"/>
              <w:jc w:val="center"/>
              <w:rPr>
                <w:rFonts w:ascii="仿宋" w:hAnsi="仿宋" w:eastAsia="仿宋" w:cs="仿宋"/>
                <w:color w:val="000000"/>
                <w:kern w:val="0"/>
                <w:sz w:val="20"/>
                <w:szCs w:val="20"/>
              </w:rPr>
            </w:pPr>
          </w:p>
        </w:tc>
      </w:tr>
      <w:tr w14:paraId="089D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362B2113">
            <w:pPr>
              <w:widowControl/>
              <w:spacing w:line="240" w:lineRule="exact"/>
              <w:jc w:val="center"/>
              <w:rPr>
                <w:rFonts w:ascii="仿宋" w:hAnsi="仿宋" w:eastAsia="仿宋" w:cs="仿宋"/>
                <w:color w:val="000000"/>
                <w:kern w:val="0"/>
                <w:sz w:val="20"/>
                <w:szCs w:val="20"/>
              </w:rPr>
            </w:pPr>
          </w:p>
        </w:tc>
        <w:tc>
          <w:tcPr>
            <w:tcW w:w="1176" w:type="dxa"/>
            <w:vMerge w:val="continue"/>
            <w:vAlign w:val="center"/>
          </w:tcPr>
          <w:p w14:paraId="2CD4726A">
            <w:pPr>
              <w:widowControl/>
              <w:spacing w:line="240" w:lineRule="exact"/>
              <w:jc w:val="left"/>
              <w:rPr>
                <w:rFonts w:ascii="仿宋" w:hAnsi="仿宋" w:eastAsia="仿宋" w:cs="仿宋"/>
                <w:color w:val="000000"/>
                <w:kern w:val="0"/>
                <w:sz w:val="20"/>
                <w:szCs w:val="20"/>
              </w:rPr>
            </w:pPr>
          </w:p>
        </w:tc>
        <w:tc>
          <w:tcPr>
            <w:tcW w:w="961" w:type="dxa"/>
            <w:vAlign w:val="center"/>
          </w:tcPr>
          <w:p w14:paraId="54087148">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964EDAA">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60" w:type="dxa"/>
            <w:gridSpan w:val="2"/>
            <w:vAlign w:val="center"/>
          </w:tcPr>
          <w:p w14:paraId="27F75DBD">
            <w:pPr>
              <w:keepNext w:val="0"/>
              <w:keepLines w:val="0"/>
              <w:widowControl/>
              <w:suppressLineNumbers w:val="0"/>
              <w:jc w:val="center"/>
              <w:textAlignment w:val="center"/>
              <w:rPr>
                <w:rFonts w:ascii="仿宋" w:hAnsi="仿宋" w:eastAsia="仿宋" w:cs="仿宋"/>
                <w:color w:val="000000"/>
                <w:kern w:val="0"/>
                <w:sz w:val="20"/>
                <w:szCs w:val="20"/>
              </w:rPr>
            </w:pPr>
            <w:r>
              <w:rPr>
                <w:rFonts w:hint="eastAsia" w:ascii="仿宋" w:hAnsi="仿宋" w:eastAsia="仿宋" w:cs="仿宋"/>
                <w:i w:val="0"/>
                <w:iCs w:val="0"/>
                <w:color w:val="000000"/>
                <w:kern w:val="0"/>
                <w:sz w:val="20"/>
                <w:szCs w:val="20"/>
                <w:u w:val="none"/>
                <w:lang w:val="en-US" w:eastAsia="zh-CN" w:bidi="ar"/>
              </w:rPr>
              <w:t>促进政令畅通，提升执行力</w:t>
            </w:r>
          </w:p>
        </w:tc>
        <w:tc>
          <w:tcPr>
            <w:tcW w:w="1035" w:type="dxa"/>
            <w:vAlign w:val="center"/>
          </w:tcPr>
          <w:p w14:paraId="05B5F21E">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群众对区政府工作满意度</w:t>
            </w:r>
          </w:p>
        </w:tc>
        <w:tc>
          <w:tcPr>
            <w:tcW w:w="1299" w:type="dxa"/>
            <w:vAlign w:val="center"/>
          </w:tcPr>
          <w:p w14:paraId="6B4D1E93">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09" w:type="dxa"/>
            <w:vAlign w:val="center"/>
          </w:tcPr>
          <w:p w14:paraId="57480C0E">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782" w:type="dxa"/>
            <w:vAlign w:val="center"/>
          </w:tcPr>
          <w:p w14:paraId="53F50221">
            <w:pPr>
              <w:keepNext w:val="0"/>
              <w:keepLines w:val="0"/>
              <w:widowControl/>
              <w:suppressLineNumbers w:val="0"/>
              <w:jc w:val="left"/>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1" w:type="dxa"/>
            <w:vAlign w:val="center"/>
          </w:tcPr>
          <w:p w14:paraId="640A4BEE">
            <w:pPr>
              <w:keepNext w:val="0"/>
              <w:keepLines w:val="0"/>
              <w:widowControl/>
              <w:suppressLineNumbers w:val="0"/>
              <w:jc w:val="center"/>
              <w:textAlignment w:val="center"/>
              <w:rPr>
                <w:rFonts w:ascii="仿宋" w:hAnsi="仿宋" w:eastAsia="仿宋" w:cs="仿宋"/>
                <w:color w:val="000000"/>
                <w:kern w:val="0"/>
                <w:sz w:val="20"/>
                <w:szCs w:val="20"/>
              </w:rPr>
            </w:pPr>
          </w:p>
        </w:tc>
      </w:tr>
      <w:tr w14:paraId="67D6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0DE10A37">
            <w:pPr>
              <w:widowControl/>
              <w:spacing w:line="240" w:lineRule="exact"/>
              <w:jc w:val="center"/>
              <w:rPr>
                <w:rFonts w:ascii="仿宋" w:hAnsi="仿宋" w:eastAsia="仿宋" w:cs="仿宋"/>
                <w:color w:val="000000"/>
                <w:kern w:val="0"/>
                <w:sz w:val="20"/>
                <w:szCs w:val="20"/>
              </w:rPr>
            </w:pPr>
          </w:p>
        </w:tc>
        <w:tc>
          <w:tcPr>
            <w:tcW w:w="1176" w:type="dxa"/>
            <w:vMerge w:val="continue"/>
            <w:vAlign w:val="center"/>
          </w:tcPr>
          <w:p w14:paraId="5C55D4DB">
            <w:pPr>
              <w:widowControl/>
              <w:spacing w:line="240" w:lineRule="exact"/>
              <w:jc w:val="left"/>
              <w:rPr>
                <w:rFonts w:ascii="仿宋" w:hAnsi="仿宋" w:eastAsia="仿宋" w:cs="仿宋"/>
                <w:color w:val="000000"/>
                <w:kern w:val="0"/>
                <w:sz w:val="20"/>
                <w:szCs w:val="20"/>
              </w:rPr>
            </w:pPr>
          </w:p>
        </w:tc>
        <w:tc>
          <w:tcPr>
            <w:tcW w:w="961" w:type="dxa"/>
            <w:vAlign w:val="center"/>
          </w:tcPr>
          <w:p w14:paraId="4515C5C6">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2B9BC77A">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60" w:type="dxa"/>
            <w:gridSpan w:val="2"/>
            <w:vAlign w:val="center"/>
          </w:tcPr>
          <w:p w14:paraId="1F471AD8">
            <w:pPr>
              <w:widowControl/>
              <w:jc w:val="center"/>
              <w:textAlignment w:val="center"/>
              <w:rPr>
                <w:rFonts w:ascii="仿宋" w:hAnsi="仿宋" w:eastAsia="仿宋" w:cs="仿宋"/>
                <w:color w:val="000000"/>
                <w:kern w:val="0"/>
                <w:sz w:val="20"/>
                <w:szCs w:val="20"/>
              </w:rPr>
            </w:pPr>
          </w:p>
        </w:tc>
        <w:tc>
          <w:tcPr>
            <w:tcW w:w="1035" w:type="dxa"/>
            <w:vAlign w:val="center"/>
          </w:tcPr>
          <w:p w14:paraId="7EA12B2D">
            <w:pPr>
              <w:widowControl/>
              <w:jc w:val="center"/>
              <w:textAlignment w:val="center"/>
              <w:rPr>
                <w:rFonts w:ascii="仿宋" w:hAnsi="仿宋" w:eastAsia="仿宋" w:cs="仿宋"/>
                <w:color w:val="000000"/>
                <w:kern w:val="0"/>
                <w:sz w:val="20"/>
                <w:szCs w:val="20"/>
              </w:rPr>
            </w:pPr>
          </w:p>
        </w:tc>
        <w:tc>
          <w:tcPr>
            <w:tcW w:w="1299" w:type="dxa"/>
            <w:vAlign w:val="center"/>
          </w:tcPr>
          <w:p w14:paraId="33DA9836">
            <w:pPr>
              <w:widowControl/>
              <w:jc w:val="center"/>
              <w:textAlignment w:val="center"/>
              <w:rPr>
                <w:rFonts w:ascii="仿宋" w:hAnsi="仿宋" w:eastAsia="仿宋" w:cs="仿宋"/>
                <w:color w:val="000000"/>
                <w:kern w:val="0"/>
                <w:sz w:val="20"/>
                <w:szCs w:val="20"/>
              </w:rPr>
            </w:pPr>
          </w:p>
        </w:tc>
        <w:tc>
          <w:tcPr>
            <w:tcW w:w="709" w:type="dxa"/>
            <w:vAlign w:val="center"/>
          </w:tcPr>
          <w:p w14:paraId="6CD17D7A">
            <w:pPr>
              <w:widowControl/>
              <w:jc w:val="center"/>
              <w:textAlignment w:val="center"/>
              <w:rPr>
                <w:rFonts w:ascii="仿宋" w:hAnsi="仿宋" w:eastAsia="仿宋" w:cs="仿宋"/>
                <w:color w:val="000000"/>
                <w:kern w:val="0"/>
                <w:sz w:val="20"/>
                <w:szCs w:val="20"/>
              </w:rPr>
            </w:pPr>
          </w:p>
        </w:tc>
        <w:tc>
          <w:tcPr>
            <w:tcW w:w="782" w:type="dxa"/>
            <w:vAlign w:val="center"/>
          </w:tcPr>
          <w:p w14:paraId="602D9777">
            <w:pPr>
              <w:widowControl/>
              <w:jc w:val="center"/>
              <w:textAlignment w:val="center"/>
              <w:rPr>
                <w:rFonts w:ascii="仿宋" w:hAnsi="仿宋" w:eastAsia="仿宋" w:cs="仿宋"/>
                <w:color w:val="000000"/>
                <w:kern w:val="0"/>
                <w:sz w:val="20"/>
                <w:szCs w:val="20"/>
              </w:rPr>
            </w:pPr>
          </w:p>
        </w:tc>
        <w:tc>
          <w:tcPr>
            <w:tcW w:w="871" w:type="dxa"/>
            <w:vAlign w:val="center"/>
          </w:tcPr>
          <w:p w14:paraId="1CBCE973">
            <w:pPr>
              <w:jc w:val="center"/>
              <w:rPr>
                <w:rFonts w:ascii="仿宋" w:hAnsi="仿宋" w:eastAsia="仿宋" w:cs="仿宋"/>
                <w:color w:val="000000"/>
                <w:kern w:val="0"/>
                <w:sz w:val="20"/>
                <w:szCs w:val="20"/>
              </w:rPr>
            </w:pPr>
          </w:p>
        </w:tc>
      </w:tr>
      <w:tr w14:paraId="35EC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69A4073C">
            <w:pPr>
              <w:widowControl/>
              <w:spacing w:line="240" w:lineRule="exact"/>
              <w:jc w:val="center"/>
              <w:rPr>
                <w:rFonts w:ascii="仿宋" w:hAnsi="仿宋" w:eastAsia="仿宋" w:cs="仿宋"/>
                <w:color w:val="000000"/>
                <w:kern w:val="0"/>
                <w:sz w:val="20"/>
                <w:szCs w:val="20"/>
              </w:rPr>
            </w:pPr>
          </w:p>
        </w:tc>
        <w:tc>
          <w:tcPr>
            <w:tcW w:w="1176" w:type="dxa"/>
            <w:vMerge w:val="continue"/>
            <w:vAlign w:val="center"/>
          </w:tcPr>
          <w:p w14:paraId="538165F0">
            <w:pPr>
              <w:widowControl/>
              <w:spacing w:line="240" w:lineRule="exact"/>
              <w:jc w:val="left"/>
              <w:rPr>
                <w:rFonts w:ascii="仿宋" w:hAnsi="仿宋" w:eastAsia="仿宋" w:cs="仿宋"/>
                <w:color w:val="000000"/>
                <w:kern w:val="0"/>
                <w:sz w:val="20"/>
                <w:szCs w:val="20"/>
              </w:rPr>
            </w:pPr>
          </w:p>
        </w:tc>
        <w:tc>
          <w:tcPr>
            <w:tcW w:w="961" w:type="dxa"/>
            <w:vAlign w:val="center"/>
          </w:tcPr>
          <w:p w14:paraId="55826156">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260" w:type="dxa"/>
            <w:gridSpan w:val="2"/>
            <w:vAlign w:val="center"/>
          </w:tcPr>
          <w:p w14:paraId="76DBE4A6">
            <w:pPr>
              <w:keepNext w:val="0"/>
              <w:keepLines w:val="0"/>
              <w:widowControl/>
              <w:suppressLineNumbers w:val="0"/>
              <w:jc w:val="center"/>
              <w:textAlignment w:val="center"/>
              <w:rPr>
                <w:rFonts w:ascii="仿宋" w:hAnsi="仿宋" w:eastAsia="仿宋" w:cs="仿宋"/>
                <w:color w:val="000000"/>
                <w:kern w:val="0"/>
                <w:sz w:val="20"/>
                <w:szCs w:val="20"/>
              </w:rPr>
            </w:pPr>
            <w:r>
              <w:rPr>
                <w:rFonts w:hint="eastAsia" w:ascii="仿宋" w:hAnsi="仿宋" w:eastAsia="仿宋" w:cs="仿宋"/>
                <w:i w:val="0"/>
                <w:iCs w:val="0"/>
                <w:color w:val="000000"/>
                <w:kern w:val="0"/>
                <w:sz w:val="20"/>
                <w:szCs w:val="20"/>
                <w:u w:val="none"/>
                <w:lang w:val="en-US" w:eastAsia="zh-CN" w:bidi="ar"/>
              </w:rPr>
              <w:t>维护金融秩序，着力防范化解重大金融风险</w:t>
            </w:r>
          </w:p>
        </w:tc>
        <w:tc>
          <w:tcPr>
            <w:tcW w:w="1035" w:type="dxa"/>
            <w:vAlign w:val="center"/>
          </w:tcPr>
          <w:p w14:paraId="6E34F524">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金融服务中心经费</w:t>
            </w:r>
          </w:p>
        </w:tc>
        <w:tc>
          <w:tcPr>
            <w:tcW w:w="1299" w:type="dxa"/>
            <w:vAlign w:val="center"/>
          </w:tcPr>
          <w:p w14:paraId="4F438F12">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09" w:type="dxa"/>
            <w:vAlign w:val="center"/>
          </w:tcPr>
          <w:p w14:paraId="08B8EAC1">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8</w:t>
            </w:r>
          </w:p>
        </w:tc>
        <w:tc>
          <w:tcPr>
            <w:tcW w:w="782" w:type="dxa"/>
            <w:vAlign w:val="center"/>
          </w:tcPr>
          <w:p w14:paraId="36FA6706">
            <w:pPr>
              <w:keepNext w:val="0"/>
              <w:keepLines w:val="0"/>
              <w:widowControl/>
              <w:suppressLineNumbers w:val="0"/>
              <w:jc w:val="left"/>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8</w:t>
            </w:r>
          </w:p>
        </w:tc>
        <w:tc>
          <w:tcPr>
            <w:tcW w:w="871" w:type="dxa"/>
            <w:vAlign w:val="center"/>
          </w:tcPr>
          <w:p w14:paraId="5C2B2C06">
            <w:pPr>
              <w:jc w:val="center"/>
              <w:rPr>
                <w:rFonts w:ascii="仿宋" w:hAnsi="仿宋" w:eastAsia="仿宋" w:cs="仿宋"/>
                <w:color w:val="000000"/>
                <w:kern w:val="0"/>
                <w:sz w:val="20"/>
                <w:szCs w:val="20"/>
              </w:rPr>
            </w:pPr>
          </w:p>
        </w:tc>
      </w:tr>
      <w:tr w14:paraId="17A2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3E63F6F9">
            <w:pPr>
              <w:widowControl/>
              <w:spacing w:line="240" w:lineRule="exact"/>
              <w:jc w:val="left"/>
              <w:rPr>
                <w:rFonts w:ascii="仿宋" w:hAnsi="仿宋" w:eastAsia="仿宋" w:cs="仿宋"/>
                <w:color w:val="000000"/>
                <w:kern w:val="0"/>
                <w:sz w:val="20"/>
                <w:szCs w:val="20"/>
              </w:rPr>
            </w:pPr>
          </w:p>
        </w:tc>
        <w:tc>
          <w:tcPr>
            <w:tcW w:w="1176" w:type="dxa"/>
            <w:vAlign w:val="center"/>
          </w:tcPr>
          <w:p w14:paraId="35E28172">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792DCE8D">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16E4EA79">
            <w:pPr>
              <w:widowControl/>
              <w:spacing w:line="240" w:lineRule="exact"/>
              <w:jc w:val="center"/>
              <w:rPr>
                <w:rFonts w:ascii="仿宋" w:hAnsi="仿宋" w:eastAsia="仿宋" w:cs="仿宋"/>
                <w:color w:val="000000"/>
                <w:kern w:val="0"/>
                <w:sz w:val="20"/>
                <w:szCs w:val="20"/>
              </w:rPr>
            </w:pPr>
          </w:p>
        </w:tc>
        <w:tc>
          <w:tcPr>
            <w:tcW w:w="961" w:type="dxa"/>
            <w:vAlign w:val="center"/>
          </w:tcPr>
          <w:p w14:paraId="282E552B">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260" w:type="dxa"/>
            <w:gridSpan w:val="2"/>
            <w:vAlign w:val="center"/>
          </w:tcPr>
          <w:p w14:paraId="602DA80A">
            <w:pPr>
              <w:keepNext w:val="0"/>
              <w:keepLines w:val="0"/>
              <w:widowControl/>
              <w:suppressLineNumbers w:val="0"/>
              <w:jc w:val="center"/>
              <w:textAlignment w:val="center"/>
              <w:rPr>
                <w:rFonts w:ascii="仿宋" w:hAnsi="仿宋" w:eastAsia="仿宋" w:cs="仿宋"/>
                <w:color w:val="000000"/>
                <w:kern w:val="0"/>
                <w:sz w:val="20"/>
                <w:szCs w:val="20"/>
              </w:rPr>
            </w:pPr>
            <w:r>
              <w:rPr>
                <w:rFonts w:hint="eastAsia" w:ascii="仿宋" w:hAnsi="仿宋" w:eastAsia="仿宋" w:cs="仿宋"/>
                <w:i w:val="0"/>
                <w:iCs w:val="0"/>
                <w:color w:val="000000"/>
                <w:kern w:val="0"/>
                <w:sz w:val="20"/>
                <w:szCs w:val="20"/>
                <w:u w:val="none"/>
                <w:lang w:val="en-US" w:eastAsia="zh-CN" w:bidi="ar"/>
              </w:rPr>
              <w:t>社会公众满意目标</w:t>
            </w:r>
          </w:p>
        </w:tc>
        <w:tc>
          <w:tcPr>
            <w:tcW w:w="1035" w:type="dxa"/>
            <w:vAlign w:val="center"/>
          </w:tcPr>
          <w:p w14:paraId="0E3FA0CD">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群众满意度</w:t>
            </w:r>
          </w:p>
        </w:tc>
        <w:tc>
          <w:tcPr>
            <w:tcW w:w="1299" w:type="dxa"/>
            <w:vAlign w:val="center"/>
          </w:tcPr>
          <w:p w14:paraId="7E7C73F8">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09" w:type="dxa"/>
            <w:vAlign w:val="center"/>
          </w:tcPr>
          <w:p w14:paraId="44D54817">
            <w:pPr>
              <w:keepNext w:val="0"/>
              <w:keepLines w:val="0"/>
              <w:widowControl/>
              <w:suppressLineNumbers w:val="0"/>
              <w:jc w:val="center"/>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782" w:type="dxa"/>
            <w:vAlign w:val="center"/>
          </w:tcPr>
          <w:p w14:paraId="5BCDE542">
            <w:pPr>
              <w:keepNext w:val="0"/>
              <w:keepLines w:val="0"/>
              <w:widowControl/>
              <w:suppressLineNumbers w:val="0"/>
              <w:jc w:val="left"/>
              <w:textAlignment w:val="center"/>
              <w:rPr>
                <w:rFonts w:ascii="仿宋" w:hAnsi="仿宋" w:eastAsia="仿宋" w:cs="仿宋"/>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1" w:type="dxa"/>
            <w:vAlign w:val="center"/>
          </w:tcPr>
          <w:p w14:paraId="20D44E33">
            <w:pPr>
              <w:jc w:val="center"/>
              <w:rPr>
                <w:rFonts w:ascii="仿宋" w:hAnsi="仿宋" w:eastAsia="仿宋" w:cs="仿宋"/>
                <w:color w:val="000000"/>
                <w:kern w:val="0"/>
                <w:sz w:val="20"/>
                <w:szCs w:val="20"/>
              </w:rPr>
            </w:pPr>
          </w:p>
        </w:tc>
      </w:tr>
      <w:tr w14:paraId="0C79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1B41E593">
            <w:pPr>
              <w:widowControl/>
              <w:spacing w:line="240" w:lineRule="exact"/>
              <w:jc w:val="left"/>
              <w:rPr>
                <w:rFonts w:ascii="仿宋" w:hAnsi="仿宋" w:eastAsia="仿宋" w:cs="仿宋"/>
                <w:color w:val="000000"/>
                <w:kern w:val="0"/>
                <w:sz w:val="20"/>
                <w:szCs w:val="20"/>
              </w:rPr>
            </w:pPr>
          </w:p>
        </w:tc>
        <w:tc>
          <w:tcPr>
            <w:tcW w:w="1176" w:type="dxa"/>
            <w:vMerge w:val="restart"/>
            <w:vAlign w:val="center"/>
          </w:tcPr>
          <w:p w14:paraId="615EE30A">
            <w:pPr>
              <w:widowControl/>
              <w:spacing w:line="240" w:lineRule="exact"/>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961" w:type="dxa"/>
            <w:vMerge w:val="restart"/>
            <w:vAlign w:val="center"/>
          </w:tcPr>
          <w:p w14:paraId="2A9A7CEE">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260" w:type="dxa"/>
            <w:gridSpan w:val="2"/>
            <w:vAlign w:val="center"/>
          </w:tcPr>
          <w:p w14:paraId="2D384CDD">
            <w:pPr>
              <w:keepNext w:val="0"/>
              <w:keepLines w:val="0"/>
              <w:widowControl/>
              <w:suppressLineNumbers w:val="0"/>
              <w:jc w:val="center"/>
              <w:textAlignment w:val="center"/>
              <w:rPr>
                <w:rFonts w:ascii="仿宋" w:hAnsi="仿宋" w:eastAsia="仿宋" w:cs="仿宋"/>
                <w:color w:val="000000"/>
                <w:kern w:val="0"/>
                <w:sz w:val="20"/>
                <w:szCs w:val="20"/>
              </w:rPr>
            </w:pPr>
            <w:r>
              <w:rPr>
                <w:rFonts w:hint="eastAsia" w:ascii="仿宋" w:hAnsi="仿宋" w:eastAsia="仿宋" w:cs="仿宋"/>
                <w:i w:val="0"/>
                <w:iCs w:val="0"/>
                <w:color w:val="000000"/>
                <w:kern w:val="0"/>
                <w:sz w:val="20"/>
                <w:szCs w:val="20"/>
                <w:u w:val="none"/>
                <w:lang w:val="en-US" w:eastAsia="zh-CN" w:bidi="ar"/>
              </w:rPr>
              <w:t>完成年度办案工作需经费</w:t>
            </w:r>
          </w:p>
        </w:tc>
        <w:tc>
          <w:tcPr>
            <w:tcW w:w="1035" w:type="dxa"/>
            <w:vAlign w:val="center"/>
          </w:tcPr>
          <w:p w14:paraId="12C1043C">
            <w:pPr>
              <w:keepNext w:val="0"/>
              <w:keepLines w:val="0"/>
              <w:widowControl/>
              <w:suppressLineNumbers w:val="0"/>
              <w:jc w:val="center"/>
              <w:textAlignment w:val="center"/>
              <w:rPr>
                <w:rFonts w:ascii="仿宋_GB2312" w:hAnsi="宋体" w:eastAsia="仿宋_GB2312" w:cs="仿宋_GB2312"/>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建设提案办理经费</w:t>
            </w:r>
          </w:p>
        </w:tc>
        <w:tc>
          <w:tcPr>
            <w:tcW w:w="1299" w:type="dxa"/>
            <w:vAlign w:val="center"/>
          </w:tcPr>
          <w:p w14:paraId="58AE5FC6">
            <w:pPr>
              <w:keepNext w:val="0"/>
              <w:keepLines w:val="0"/>
              <w:widowControl/>
              <w:suppressLineNumbers w:val="0"/>
              <w:jc w:val="center"/>
              <w:textAlignment w:val="center"/>
              <w:rPr>
                <w:rFonts w:ascii="仿宋_GB2312" w:hAnsi="宋体" w:eastAsia="仿宋_GB2312" w:cs="仿宋_GB2312"/>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办理经费费用</w:t>
            </w:r>
          </w:p>
        </w:tc>
        <w:tc>
          <w:tcPr>
            <w:tcW w:w="709" w:type="dxa"/>
            <w:vAlign w:val="center"/>
          </w:tcPr>
          <w:p w14:paraId="5C893EAC">
            <w:pPr>
              <w:keepNext w:val="0"/>
              <w:keepLines w:val="0"/>
              <w:widowControl/>
              <w:suppressLineNumbers w:val="0"/>
              <w:jc w:val="center"/>
              <w:textAlignment w:val="center"/>
              <w:rPr>
                <w:rFonts w:ascii="仿宋_GB2312" w:hAnsi="宋体" w:eastAsia="仿宋_GB2312" w:cs="仿宋_GB2312"/>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782" w:type="dxa"/>
            <w:vAlign w:val="center"/>
          </w:tcPr>
          <w:p w14:paraId="00F5185E">
            <w:pPr>
              <w:keepNext w:val="0"/>
              <w:keepLines w:val="0"/>
              <w:widowControl/>
              <w:suppressLineNumbers w:val="0"/>
              <w:jc w:val="left"/>
              <w:textAlignment w:val="center"/>
              <w:rPr>
                <w:rFonts w:ascii="仿宋_GB2312" w:hAnsi="宋体" w:eastAsia="仿宋_GB2312" w:cs="仿宋_GB2312"/>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9</w:t>
            </w:r>
          </w:p>
        </w:tc>
        <w:tc>
          <w:tcPr>
            <w:tcW w:w="871" w:type="dxa"/>
            <w:vAlign w:val="center"/>
          </w:tcPr>
          <w:p w14:paraId="1F408D79">
            <w:pPr>
              <w:jc w:val="center"/>
              <w:rPr>
                <w:rFonts w:ascii="仿宋" w:hAnsi="仿宋" w:eastAsia="仿宋" w:cs="仿宋"/>
                <w:color w:val="000000"/>
                <w:kern w:val="0"/>
                <w:sz w:val="20"/>
                <w:szCs w:val="20"/>
              </w:rPr>
            </w:pPr>
          </w:p>
        </w:tc>
      </w:tr>
      <w:tr w14:paraId="67B5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6AE221A2">
            <w:pPr>
              <w:widowControl/>
              <w:spacing w:line="240" w:lineRule="exact"/>
              <w:jc w:val="left"/>
              <w:rPr>
                <w:rFonts w:ascii="仿宋" w:hAnsi="仿宋" w:eastAsia="仿宋" w:cs="仿宋"/>
                <w:color w:val="000000"/>
                <w:kern w:val="0"/>
                <w:sz w:val="20"/>
                <w:szCs w:val="20"/>
              </w:rPr>
            </w:pPr>
          </w:p>
        </w:tc>
        <w:tc>
          <w:tcPr>
            <w:tcW w:w="1176" w:type="dxa"/>
            <w:vMerge w:val="continue"/>
            <w:vAlign w:val="center"/>
          </w:tcPr>
          <w:p w14:paraId="096A9666">
            <w:pPr>
              <w:widowControl/>
              <w:spacing w:line="240" w:lineRule="exact"/>
              <w:jc w:val="left"/>
              <w:rPr>
                <w:rFonts w:hint="eastAsia" w:ascii="仿宋" w:hAnsi="仿宋" w:eastAsia="仿宋" w:cs="仿宋"/>
                <w:color w:val="000000"/>
                <w:kern w:val="0"/>
                <w:sz w:val="20"/>
                <w:szCs w:val="20"/>
              </w:rPr>
            </w:pPr>
          </w:p>
        </w:tc>
        <w:tc>
          <w:tcPr>
            <w:tcW w:w="961" w:type="dxa"/>
            <w:vMerge w:val="continue"/>
            <w:vAlign w:val="center"/>
          </w:tcPr>
          <w:p w14:paraId="3365BD8D">
            <w:pPr>
              <w:widowControl/>
              <w:spacing w:line="240" w:lineRule="exact"/>
              <w:jc w:val="center"/>
              <w:rPr>
                <w:rFonts w:hint="eastAsia" w:ascii="仿宋" w:hAnsi="仿宋" w:eastAsia="仿宋" w:cs="仿宋"/>
                <w:color w:val="000000"/>
                <w:kern w:val="0"/>
                <w:sz w:val="20"/>
                <w:szCs w:val="20"/>
              </w:rPr>
            </w:pPr>
          </w:p>
        </w:tc>
        <w:tc>
          <w:tcPr>
            <w:tcW w:w="1260" w:type="dxa"/>
            <w:gridSpan w:val="2"/>
            <w:vAlign w:val="center"/>
          </w:tcPr>
          <w:p w14:paraId="006201CA">
            <w:pPr>
              <w:keepNext w:val="0"/>
              <w:keepLines w:val="0"/>
              <w:widowControl/>
              <w:suppressLineNumbers w:val="0"/>
              <w:jc w:val="center"/>
              <w:textAlignment w:val="center"/>
              <w:rPr>
                <w:rFonts w:ascii="仿宋" w:hAnsi="仿宋" w:eastAsia="仿宋" w:cs="仿宋"/>
                <w:color w:val="000000"/>
                <w:kern w:val="0"/>
                <w:sz w:val="20"/>
                <w:szCs w:val="20"/>
              </w:rPr>
            </w:pPr>
            <w:r>
              <w:rPr>
                <w:rFonts w:hint="eastAsia" w:ascii="仿宋" w:hAnsi="仿宋" w:eastAsia="仿宋" w:cs="仿宋"/>
                <w:i w:val="0"/>
                <w:iCs w:val="0"/>
                <w:color w:val="000000"/>
                <w:kern w:val="0"/>
                <w:sz w:val="20"/>
                <w:szCs w:val="20"/>
                <w:u w:val="none"/>
                <w:lang w:val="en-US" w:eastAsia="zh-CN" w:bidi="ar"/>
              </w:rPr>
              <w:t>防范，打击和处置非法集资专项工作经费</w:t>
            </w:r>
          </w:p>
        </w:tc>
        <w:tc>
          <w:tcPr>
            <w:tcW w:w="1035" w:type="dxa"/>
            <w:vAlign w:val="center"/>
          </w:tcPr>
          <w:p w14:paraId="2711012D">
            <w:pPr>
              <w:keepNext w:val="0"/>
              <w:keepLines w:val="0"/>
              <w:widowControl/>
              <w:suppressLineNumbers w:val="0"/>
              <w:jc w:val="center"/>
              <w:textAlignment w:val="center"/>
              <w:rPr>
                <w:rFonts w:ascii="仿宋_GB2312" w:hAnsi="宋体" w:eastAsia="仿宋_GB2312" w:cs="仿宋_GB2312"/>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金融服务中心经费</w:t>
            </w:r>
          </w:p>
        </w:tc>
        <w:tc>
          <w:tcPr>
            <w:tcW w:w="1299" w:type="dxa"/>
            <w:vAlign w:val="center"/>
          </w:tcPr>
          <w:p w14:paraId="23D26B9E">
            <w:pPr>
              <w:keepNext w:val="0"/>
              <w:keepLines w:val="0"/>
              <w:widowControl/>
              <w:suppressLineNumbers w:val="0"/>
              <w:jc w:val="center"/>
              <w:textAlignment w:val="center"/>
              <w:rPr>
                <w:rFonts w:ascii="仿宋_GB2312" w:hAnsi="宋体" w:eastAsia="仿宋_GB2312" w:cs="仿宋_GB2312"/>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项目总成本</w:t>
            </w:r>
          </w:p>
        </w:tc>
        <w:tc>
          <w:tcPr>
            <w:tcW w:w="709" w:type="dxa"/>
            <w:vAlign w:val="center"/>
          </w:tcPr>
          <w:p w14:paraId="603C9C69">
            <w:pPr>
              <w:keepNext w:val="0"/>
              <w:keepLines w:val="0"/>
              <w:widowControl/>
              <w:suppressLineNumbers w:val="0"/>
              <w:jc w:val="center"/>
              <w:textAlignment w:val="center"/>
              <w:rPr>
                <w:rFonts w:ascii="仿宋_GB2312" w:hAnsi="宋体" w:eastAsia="仿宋_GB2312" w:cs="仿宋_GB2312"/>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5</w:t>
            </w:r>
          </w:p>
        </w:tc>
        <w:tc>
          <w:tcPr>
            <w:tcW w:w="782" w:type="dxa"/>
            <w:vAlign w:val="center"/>
          </w:tcPr>
          <w:p w14:paraId="697052A1">
            <w:pPr>
              <w:keepNext w:val="0"/>
              <w:keepLines w:val="0"/>
              <w:widowControl/>
              <w:suppressLineNumbers w:val="0"/>
              <w:jc w:val="left"/>
              <w:textAlignment w:val="center"/>
              <w:rPr>
                <w:rFonts w:ascii="仿宋_GB2312" w:hAnsi="宋体" w:eastAsia="仿宋_GB2312" w:cs="仿宋_GB2312"/>
                <w:color w:val="000000"/>
                <w:kern w:val="0"/>
                <w:sz w:val="20"/>
                <w:szCs w:val="20"/>
              </w:rPr>
            </w:pPr>
            <w:r>
              <w:rPr>
                <w:rFonts w:hint="default" w:ascii="仿宋_GB2312" w:hAnsi="宋体" w:eastAsia="仿宋_GB2312" w:cs="仿宋_GB2312"/>
                <w:i w:val="0"/>
                <w:iCs w:val="0"/>
                <w:color w:val="000000"/>
                <w:kern w:val="0"/>
                <w:sz w:val="20"/>
                <w:szCs w:val="20"/>
                <w:u w:val="none"/>
                <w:lang w:val="en-US" w:eastAsia="zh-CN" w:bidi="ar"/>
              </w:rPr>
              <w:t>5</w:t>
            </w:r>
          </w:p>
        </w:tc>
        <w:tc>
          <w:tcPr>
            <w:tcW w:w="871" w:type="dxa"/>
            <w:vAlign w:val="center"/>
          </w:tcPr>
          <w:p w14:paraId="02539F15">
            <w:pPr>
              <w:jc w:val="center"/>
              <w:rPr>
                <w:rFonts w:ascii="仿宋" w:hAnsi="仿宋" w:eastAsia="仿宋" w:cs="仿宋"/>
                <w:color w:val="000000"/>
                <w:kern w:val="0"/>
                <w:sz w:val="20"/>
                <w:szCs w:val="20"/>
              </w:rPr>
            </w:pPr>
          </w:p>
        </w:tc>
      </w:tr>
      <w:tr w14:paraId="3065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29DB96B2">
            <w:pPr>
              <w:widowControl/>
              <w:spacing w:line="240" w:lineRule="exact"/>
              <w:jc w:val="left"/>
              <w:rPr>
                <w:rFonts w:ascii="仿宋" w:hAnsi="仿宋" w:eastAsia="仿宋" w:cs="仿宋"/>
                <w:color w:val="000000"/>
                <w:kern w:val="0"/>
                <w:sz w:val="20"/>
                <w:szCs w:val="20"/>
              </w:rPr>
            </w:pPr>
          </w:p>
        </w:tc>
        <w:tc>
          <w:tcPr>
            <w:tcW w:w="1176" w:type="dxa"/>
            <w:vMerge w:val="continue"/>
            <w:vAlign w:val="center"/>
          </w:tcPr>
          <w:p w14:paraId="618D8BB3">
            <w:pPr>
              <w:widowControl/>
              <w:spacing w:line="240" w:lineRule="exact"/>
              <w:jc w:val="left"/>
              <w:rPr>
                <w:rFonts w:ascii="仿宋" w:hAnsi="仿宋" w:eastAsia="仿宋" w:cs="仿宋"/>
                <w:color w:val="000000"/>
                <w:kern w:val="0"/>
                <w:sz w:val="20"/>
                <w:szCs w:val="20"/>
              </w:rPr>
            </w:pPr>
          </w:p>
        </w:tc>
        <w:tc>
          <w:tcPr>
            <w:tcW w:w="961" w:type="dxa"/>
            <w:vAlign w:val="center"/>
          </w:tcPr>
          <w:p w14:paraId="474FDFF2">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260" w:type="dxa"/>
            <w:gridSpan w:val="2"/>
            <w:vAlign w:val="center"/>
          </w:tcPr>
          <w:p w14:paraId="41F3A7F5">
            <w:pPr>
              <w:widowControl/>
              <w:spacing w:line="240" w:lineRule="exact"/>
              <w:jc w:val="left"/>
              <w:rPr>
                <w:rFonts w:ascii="仿宋" w:hAnsi="仿宋" w:eastAsia="仿宋" w:cs="仿宋"/>
                <w:color w:val="000000"/>
                <w:kern w:val="0"/>
                <w:sz w:val="20"/>
                <w:szCs w:val="20"/>
              </w:rPr>
            </w:pPr>
          </w:p>
        </w:tc>
        <w:tc>
          <w:tcPr>
            <w:tcW w:w="1035" w:type="dxa"/>
            <w:vAlign w:val="center"/>
          </w:tcPr>
          <w:p w14:paraId="03417317">
            <w:pPr>
              <w:widowControl/>
              <w:jc w:val="center"/>
              <w:textAlignment w:val="center"/>
              <w:rPr>
                <w:rFonts w:ascii="仿宋_GB2312" w:hAnsi="宋体" w:eastAsia="仿宋_GB2312" w:cs="仿宋_GB2312"/>
                <w:color w:val="000000"/>
                <w:kern w:val="0"/>
                <w:sz w:val="20"/>
                <w:szCs w:val="20"/>
              </w:rPr>
            </w:pPr>
          </w:p>
        </w:tc>
        <w:tc>
          <w:tcPr>
            <w:tcW w:w="1299" w:type="dxa"/>
            <w:vAlign w:val="center"/>
          </w:tcPr>
          <w:p w14:paraId="5FFEFC32">
            <w:pPr>
              <w:widowControl/>
              <w:jc w:val="center"/>
              <w:textAlignment w:val="center"/>
              <w:rPr>
                <w:rFonts w:ascii="仿宋_GB2312" w:hAnsi="宋体" w:eastAsia="仿宋_GB2312" w:cs="仿宋_GB2312"/>
                <w:color w:val="000000"/>
                <w:kern w:val="0"/>
                <w:sz w:val="20"/>
                <w:szCs w:val="20"/>
              </w:rPr>
            </w:pPr>
          </w:p>
        </w:tc>
        <w:tc>
          <w:tcPr>
            <w:tcW w:w="709" w:type="dxa"/>
            <w:vAlign w:val="center"/>
          </w:tcPr>
          <w:p w14:paraId="6B18489C">
            <w:pPr>
              <w:widowControl/>
              <w:jc w:val="center"/>
              <w:textAlignment w:val="center"/>
              <w:rPr>
                <w:rFonts w:ascii="仿宋_GB2312" w:hAnsi="宋体" w:eastAsia="仿宋_GB2312" w:cs="仿宋_GB2312"/>
                <w:color w:val="000000"/>
                <w:kern w:val="0"/>
                <w:sz w:val="20"/>
                <w:szCs w:val="20"/>
              </w:rPr>
            </w:pPr>
          </w:p>
        </w:tc>
        <w:tc>
          <w:tcPr>
            <w:tcW w:w="782" w:type="dxa"/>
            <w:vAlign w:val="center"/>
          </w:tcPr>
          <w:p w14:paraId="3DF3EC98">
            <w:pPr>
              <w:widowControl/>
              <w:jc w:val="center"/>
              <w:textAlignment w:val="center"/>
              <w:rPr>
                <w:rFonts w:ascii="仿宋_GB2312" w:hAnsi="宋体" w:eastAsia="仿宋_GB2312" w:cs="仿宋_GB2312"/>
                <w:color w:val="000000"/>
                <w:kern w:val="0"/>
                <w:sz w:val="20"/>
                <w:szCs w:val="20"/>
              </w:rPr>
            </w:pPr>
          </w:p>
        </w:tc>
        <w:tc>
          <w:tcPr>
            <w:tcW w:w="871" w:type="dxa"/>
            <w:vAlign w:val="center"/>
          </w:tcPr>
          <w:p w14:paraId="2F58A6CA">
            <w:pPr>
              <w:jc w:val="center"/>
              <w:rPr>
                <w:rFonts w:ascii="仿宋" w:hAnsi="仿宋" w:eastAsia="仿宋" w:cs="仿宋"/>
                <w:color w:val="000000"/>
                <w:kern w:val="0"/>
                <w:sz w:val="20"/>
                <w:szCs w:val="20"/>
              </w:rPr>
            </w:pPr>
          </w:p>
        </w:tc>
      </w:tr>
      <w:tr w14:paraId="4488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vAlign w:val="center"/>
          </w:tcPr>
          <w:p w14:paraId="00396FF1">
            <w:pPr>
              <w:widowControl/>
              <w:spacing w:line="240" w:lineRule="exact"/>
              <w:jc w:val="left"/>
              <w:rPr>
                <w:rFonts w:ascii="仿宋" w:hAnsi="仿宋" w:eastAsia="仿宋" w:cs="仿宋"/>
                <w:color w:val="000000"/>
                <w:kern w:val="0"/>
                <w:sz w:val="20"/>
                <w:szCs w:val="20"/>
              </w:rPr>
            </w:pPr>
          </w:p>
        </w:tc>
        <w:tc>
          <w:tcPr>
            <w:tcW w:w="1176" w:type="dxa"/>
            <w:vMerge w:val="continue"/>
            <w:vAlign w:val="center"/>
          </w:tcPr>
          <w:p w14:paraId="0A86FC4F">
            <w:pPr>
              <w:widowControl/>
              <w:spacing w:line="240" w:lineRule="exact"/>
              <w:jc w:val="left"/>
              <w:rPr>
                <w:rFonts w:ascii="仿宋" w:hAnsi="仿宋" w:eastAsia="仿宋" w:cs="仿宋"/>
                <w:color w:val="000000"/>
                <w:kern w:val="0"/>
                <w:sz w:val="20"/>
                <w:szCs w:val="20"/>
              </w:rPr>
            </w:pPr>
          </w:p>
        </w:tc>
        <w:tc>
          <w:tcPr>
            <w:tcW w:w="961" w:type="dxa"/>
            <w:vAlign w:val="center"/>
          </w:tcPr>
          <w:p w14:paraId="589443DF">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260" w:type="dxa"/>
            <w:gridSpan w:val="2"/>
            <w:vAlign w:val="center"/>
          </w:tcPr>
          <w:p w14:paraId="3CB39644">
            <w:pPr>
              <w:widowControl/>
              <w:spacing w:line="240" w:lineRule="exact"/>
              <w:jc w:val="center"/>
              <w:rPr>
                <w:rFonts w:ascii="仿宋" w:hAnsi="仿宋" w:eastAsia="仿宋" w:cs="仿宋"/>
                <w:color w:val="000000"/>
                <w:kern w:val="0"/>
                <w:sz w:val="20"/>
                <w:szCs w:val="20"/>
              </w:rPr>
            </w:pPr>
          </w:p>
        </w:tc>
        <w:tc>
          <w:tcPr>
            <w:tcW w:w="1035" w:type="dxa"/>
            <w:vAlign w:val="center"/>
          </w:tcPr>
          <w:p w14:paraId="1ED68DDC">
            <w:pPr>
              <w:jc w:val="center"/>
              <w:rPr>
                <w:rFonts w:ascii="仿宋_GB2312" w:hAnsi="宋体" w:eastAsia="仿宋_GB2312" w:cs="仿宋_GB2312"/>
                <w:color w:val="000000"/>
                <w:kern w:val="0"/>
                <w:sz w:val="20"/>
                <w:szCs w:val="20"/>
              </w:rPr>
            </w:pPr>
          </w:p>
        </w:tc>
        <w:tc>
          <w:tcPr>
            <w:tcW w:w="1299" w:type="dxa"/>
            <w:vAlign w:val="center"/>
          </w:tcPr>
          <w:p w14:paraId="1A2B81A5">
            <w:pPr>
              <w:jc w:val="center"/>
              <w:rPr>
                <w:rFonts w:ascii="仿宋_GB2312" w:hAnsi="宋体" w:eastAsia="仿宋_GB2312" w:cs="仿宋_GB2312"/>
                <w:color w:val="000000"/>
                <w:kern w:val="0"/>
                <w:sz w:val="20"/>
                <w:szCs w:val="20"/>
              </w:rPr>
            </w:pPr>
          </w:p>
        </w:tc>
        <w:tc>
          <w:tcPr>
            <w:tcW w:w="709" w:type="dxa"/>
            <w:vAlign w:val="center"/>
          </w:tcPr>
          <w:p w14:paraId="336A380F">
            <w:pPr>
              <w:jc w:val="center"/>
              <w:rPr>
                <w:rFonts w:ascii="仿宋_GB2312" w:hAnsi="宋体" w:eastAsia="仿宋_GB2312" w:cs="仿宋_GB2312"/>
                <w:color w:val="000000"/>
                <w:kern w:val="0"/>
                <w:sz w:val="20"/>
                <w:szCs w:val="20"/>
              </w:rPr>
            </w:pPr>
          </w:p>
        </w:tc>
        <w:tc>
          <w:tcPr>
            <w:tcW w:w="782" w:type="dxa"/>
            <w:vAlign w:val="center"/>
          </w:tcPr>
          <w:p w14:paraId="5451B38B">
            <w:pPr>
              <w:jc w:val="center"/>
              <w:rPr>
                <w:rFonts w:ascii="仿宋_GB2312" w:hAnsi="宋体" w:eastAsia="仿宋_GB2312" w:cs="仿宋_GB2312"/>
                <w:color w:val="000000"/>
                <w:kern w:val="0"/>
                <w:sz w:val="20"/>
                <w:szCs w:val="20"/>
              </w:rPr>
            </w:pPr>
          </w:p>
        </w:tc>
        <w:tc>
          <w:tcPr>
            <w:tcW w:w="871" w:type="dxa"/>
            <w:vAlign w:val="center"/>
          </w:tcPr>
          <w:p w14:paraId="1EA74B82">
            <w:pPr>
              <w:jc w:val="center"/>
              <w:rPr>
                <w:rFonts w:ascii="仿宋" w:hAnsi="仿宋" w:eastAsia="仿宋" w:cs="仿宋"/>
                <w:color w:val="000000"/>
                <w:kern w:val="0"/>
                <w:sz w:val="20"/>
                <w:szCs w:val="20"/>
              </w:rPr>
            </w:pPr>
          </w:p>
        </w:tc>
      </w:tr>
      <w:tr w14:paraId="68C5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0" w:type="dxa"/>
            <w:gridSpan w:val="7"/>
            <w:vAlign w:val="center"/>
          </w:tcPr>
          <w:p w14:paraId="7448603F">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09" w:type="dxa"/>
            <w:vAlign w:val="center"/>
          </w:tcPr>
          <w:p w14:paraId="7456DB3A">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782" w:type="dxa"/>
            <w:vAlign w:val="center"/>
          </w:tcPr>
          <w:p w14:paraId="19CA1881">
            <w:pPr>
              <w:widowControl/>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9</w:t>
            </w:r>
            <w:r>
              <w:rPr>
                <w:rFonts w:hint="eastAsia" w:ascii="仿宋" w:hAnsi="仿宋" w:eastAsia="仿宋" w:cs="仿宋"/>
                <w:color w:val="000000"/>
                <w:kern w:val="0"/>
                <w:sz w:val="20"/>
                <w:szCs w:val="20"/>
                <w:lang w:val="en-US" w:eastAsia="zh-CN"/>
              </w:rPr>
              <w:t>7</w:t>
            </w:r>
          </w:p>
        </w:tc>
        <w:tc>
          <w:tcPr>
            <w:tcW w:w="871" w:type="dxa"/>
            <w:vAlign w:val="center"/>
          </w:tcPr>
          <w:p w14:paraId="0E5992B5">
            <w:pPr>
              <w:widowControl/>
              <w:spacing w:line="240" w:lineRule="exact"/>
              <w:jc w:val="left"/>
              <w:rPr>
                <w:rFonts w:ascii="仿宋" w:hAnsi="仿宋" w:eastAsia="仿宋" w:cs="仿宋"/>
                <w:color w:val="000000"/>
                <w:kern w:val="0"/>
                <w:sz w:val="20"/>
                <w:szCs w:val="20"/>
              </w:rPr>
            </w:pPr>
          </w:p>
        </w:tc>
      </w:tr>
    </w:tbl>
    <w:p w14:paraId="2BE4159E">
      <w:pPr>
        <w:pStyle w:val="6"/>
        <w:widowControl/>
        <w:shd w:val="clear" w:color="auto" w:fill="FFFFFF"/>
        <w:spacing w:beforeAutospacing="0" w:afterAutospacing="0" w:line="480" w:lineRule="exact"/>
        <w:jc w:val="both"/>
        <w:rPr>
          <w:rFonts w:hint="default" w:ascii="方正小标宋_GBK" w:hAnsi="方正小标宋_GBK" w:eastAsia="仿宋_GB2312" w:cs="方正小标宋_GBK"/>
          <w:color w:val="000000"/>
          <w:sz w:val="32"/>
          <w:szCs w:val="32"/>
          <w:shd w:val="clear" w:color="auto" w:fill="FFFFFF"/>
          <w:lang w:val="en-US" w:eastAsia="zh-CN"/>
        </w:rPr>
      </w:pPr>
      <w:r>
        <w:rPr>
          <w:rFonts w:ascii="Times New Roman" w:hAnsi="Times New Roman" w:eastAsia="仿宋_GB2312" w:cs="Times New Roman"/>
          <w:color w:val="000000"/>
          <w:kern w:val="0"/>
          <w:sz w:val="24"/>
        </w:rPr>
        <w:t>填表人：</w:t>
      </w:r>
      <w:r>
        <w:rPr>
          <w:rFonts w:hint="eastAsia" w:ascii="Times New Roman" w:hAnsi="Times New Roman" w:eastAsia="仿宋_GB2312" w:cs="Times New Roman"/>
          <w:color w:val="000000"/>
          <w:kern w:val="0"/>
          <w:sz w:val="24"/>
          <w:lang w:eastAsia="zh-CN"/>
        </w:rPr>
        <w:t>唐卫红</w:t>
      </w:r>
      <w:r>
        <w:rPr>
          <w:rFonts w:hint="eastAsia" w:ascii="Times New Roman" w:hAnsi="Times New Roman" w:eastAsia="仿宋_GB2312" w:cs="Times New Roman"/>
          <w:color w:val="000000"/>
          <w:kern w:val="0"/>
          <w:sz w:val="24"/>
        </w:rPr>
        <w:t xml:space="preserve">     </w:t>
      </w:r>
      <w:r>
        <w:rPr>
          <w:rFonts w:ascii="Times New Roman" w:hAnsi="Times New Roman" w:eastAsia="仿宋_GB2312" w:cs="Times New Roman"/>
          <w:color w:val="000000"/>
          <w:kern w:val="0"/>
          <w:sz w:val="24"/>
        </w:rPr>
        <w:t xml:space="preserve"> 填报日期：</w:t>
      </w:r>
      <w:r>
        <w:rPr>
          <w:rFonts w:hint="eastAsia" w:ascii="Times New Roman" w:hAnsi="Times New Roman" w:eastAsia="仿宋_GB2312" w:cs="Times New Roman"/>
          <w:color w:val="000000"/>
          <w:kern w:val="0"/>
          <w:sz w:val="24"/>
        </w:rPr>
        <w:t xml:space="preserve">2024年7月30日    </w:t>
      </w:r>
      <w:r>
        <w:rPr>
          <w:rFonts w:ascii="Times New Roman" w:hAnsi="Times New Roman" w:eastAsia="仿宋_GB2312" w:cs="Times New Roman"/>
          <w:color w:val="000000"/>
          <w:kern w:val="0"/>
          <w:sz w:val="24"/>
        </w:rPr>
        <w:t xml:space="preserve">  联系电话：</w:t>
      </w:r>
      <w:r>
        <w:rPr>
          <w:rFonts w:hint="eastAsia" w:ascii="Times New Roman" w:hAnsi="Times New Roman" w:eastAsia="仿宋_GB2312"/>
          <w:color w:val="000000"/>
          <w:lang w:val="en-US" w:eastAsia="zh-CN"/>
        </w:rPr>
        <w:t>13786927999</w:t>
      </w:r>
    </w:p>
    <w:p w14:paraId="317B71EF">
      <w:pPr>
        <w:spacing w:line="600" w:lineRule="exact"/>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827162-5142-42BB-980E-4EF38F32C0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9129778-FB7E-477A-A9A9-9F32A5A2F28B}"/>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3F98E5E8-2E26-47B4-9B82-D96B49C8F717}"/>
  </w:font>
  <w:font w:name="方正小标宋_GBK">
    <w:panose1 w:val="03000509000000000000"/>
    <w:charset w:val="86"/>
    <w:family w:val="auto"/>
    <w:pitch w:val="default"/>
    <w:sig w:usb0="00000001" w:usb1="080E0000" w:usb2="00000000" w:usb3="00000000" w:csb0="00040000" w:csb1="00000000"/>
    <w:embedRegular r:id="rId4" w:fontKey="{DB1F42E1-DD4F-4F35-9A0D-53627F61B723}"/>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5" w:fontKey="{17311991-BFEE-458E-9107-0BE4E2E38677}"/>
  </w:font>
  <w:font w:name="仿宋">
    <w:panose1 w:val="02010609060101010101"/>
    <w:charset w:val="86"/>
    <w:family w:val="modern"/>
    <w:pitch w:val="default"/>
    <w:sig w:usb0="800002BF" w:usb1="38CF7CFA" w:usb2="00000016" w:usb3="00000000" w:csb0="00040001" w:csb1="00000000"/>
    <w:embedRegular r:id="rId6" w:fontKey="{1993BF2F-4704-4E5F-BE66-3EC277C4BF47}"/>
  </w:font>
  <w:font w:name="楷体">
    <w:panose1 w:val="02010609060101010101"/>
    <w:charset w:val="86"/>
    <w:family w:val="modern"/>
    <w:pitch w:val="default"/>
    <w:sig w:usb0="800002BF" w:usb1="38CF7CFA" w:usb2="00000016" w:usb3="00000000" w:csb0="00040001" w:csb1="00000000"/>
    <w:embedRegular r:id="rId7" w:fontKey="{90598913-9F27-4B61-962D-CF766F7594D6}"/>
  </w:font>
  <w:font w:name="微软雅黑">
    <w:panose1 w:val="020B0503020204020204"/>
    <w:charset w:val="86"/>
    <w:family w:val="swiss"/>
    <w:pitch w:val="default"/>
    <w:sig w:usb0="80000287" w:usb1="2ACF3C50" w:usb2="00000016" w:usb3="00000000" w:csb0="0004001F" w:csb1="00000000"/>
    <w:embedRegular r:id="rId8" w:fontKey="{46E0E8A3-B8E4-42EF-9AB1-6C870AC59D9C}"/>
  </w:font>
  <w:font w:name="方正仿宋_GB2312">
    <w:altName w:val="仿宋"/>
    <w:panose1 w:val="00000000000000000000"/>
    <w:charset w:val="86"/>
    <w:family w:val="auto"/>
    <w:pitch w:val="default"/>
    <w:sig w:usb0="00000000" w:usb1="00000000" w:usb2="00000012" w:usb3="00000000" w:csb0="00040001" w:csb1="00000000"/>
    <w:embedRegular r:id="rId9" w:fontKey="{1830F62F-FAC1-4D2E-85BD-2351C86434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0720C">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2259E2C4">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ascii="方正仿宋_GB2312" w:hAnsi="方正仿宋_GB2312" w:eastAsia="方正仿宋_GB2312" w:cs="方正仿宋_GB2312"/>
                    <w:sz w:val="28"/>
                    <w:szCs w:val="28"/>
                  </w:rPr>
                  <w:t>9</w:t>
                </w:r>
                <w:r>
                  <w:rPr>
                    <w:rFonts w:hint="eastAsia" w:ascii="方正仿宋_GB2312" w:hAnsi="方正仿宋_GB2312" w:eastAsia="方正仿宋_GB2312" w:cs="方正仿宋_GB2312"/>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9C2FD"/>
    <w:multiLevelType w:val="singleLevel"/>
    <w:tmpl w:val="7DC9C2F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I4MWQ3MTA2NDg1ODFmMDZkMTdmZWViYzc0MTFjZjMifQ=="/>
    <w:docVar w:name="KSO_WPS_MARK_KEY" w:val="9920a277-c0c3-43b4-93d3-1636fe398e0b"/>
  </w:docVars>
  <w:rsids>
    <w:rsidRoot w:val="753C4E9B"/>
    <w:rsid w:val="001C089D"/>
    <w:rsid w:val="00230DAA"/>
    <w:rsid w:val="00292B84"/>
    <w:rsid w:val="00CE77EE"/>
    <w:rsid w:val="01AC7EAF"/>
    <w:rsid w:val="036020A8"/>
    <w:rsid w:val="052B72A3"/>
    <w:rsid w:val="05661B3C"/>
    <w:rsid w:val="05E95AA6"/>
    <w:rsid w:val="06117B6F"/>
    <w:rsid w:val="078C3E19"/>
    <w:rsid w:val="07B50942"/>
    <w:rsid w:val="0B9E7486"/>
    <w:rsid w:val="0C4447D8"/>
    <w:rsid w:val="0D276746"/>
    <w:rsid w:val="0D464D9C"/>
    <w:rsid w:val="0E7D7760"/>
    <w:rsid w:val="0E956870"/>
    <w:rsid w:val="0EBF12E1"/>
    <w:rsid w:val="11255584"/>
    <w:rsid w:val="1223366A"/>
    <w:rsid w:val="12917030"/>
    <w:rsid w:val="13A01720"/>
    <w:rsid w:val="143877FD"/>
    <w:rsid w:val="14AE41C6"/>
    <w:rsid w:val="17074EDC"/>
    <w:rsid w:val="18710338"/>
    <w:rsid w:val="19E805B2"/>
    <w:rsid w:val="19FA7F2D"/>
    <w:rsid w:val="1A0F7C3E"/>
    <w:rsid w:val="1C6258AD"/>
    <w:rsid w:val="2231148C"/>
    <w:rsid w:val="277E6F02"/>
    <w:rsid w:val="29990575"/>
    <w:rsid w:val="2BCC4802"/>
    <w:rsid w:val="2E28381B"/>
    <w:rsid w:val="312A2265"/>
    <w:rsid w:val="31356A0B"/>
    <w:rsid w:val="32CF13A1"/>
    <w:rsid w:val="366E53F1"/>
    <w:rsid w:val="36FC0F5D"/>
    <w:rsid w:val="375773F8"/>
    <w:rsid w:val="382A6CDB"/>
    <w:rsid w:val="390040E1"/>
    <w:rsid w:val="39725719"/>
    <w:rsid w:val="3A5A0BB6"/>
    <w:rsid w:val="3A7C1CE0"/>
    <w:rsid w:val="3F1C4B22"/>
    <w:rsid w:val="41633C91"/>
    <w:rsid w:val="419B2857"/>
    <w:rsid w:val="43FB1CAA"/>
    <w:rsid w:val="45450ACF"/>
    <w:rsid w:val="47F51878"/>
    <w:rsid w:val="480A688C"/>
    <w:rsid w:val="4A7A4C8C"/>
    <w:rsid w:val="4C0E7BEA"/>
    <w:rsid w:val="4CB35B85"/>
    <w:rsid w:val="4CBA5B6B"/>
    <w:rsid w:val="539B11B7"/>
    <w:rsid w:val="552A0475"/>
    <w:rsid w:val="554778A4"/>
    <w:rsid w:val="57EE2FC9"/>
    <w:rsid w:val="592D4769"/>
    <w:rsid w:val="5A5915AC"/>
    <w:rsid w:val="5BBF2DBE"/>
    <w:rsid w:val="65156EBC"/>
    <w:rsid w:val="6935615D"/>
    <w:rsid w:val="6A0A70D1"/>
    <w:rsid w:val="6A12486A"/>
    <w:rsid w:val="6AAF516E"/>
    <w:rsid w:val="6CD56003"/>
    <w:rsid w:val="6EFD60EB"/>
    <w:rsid w:val="70014D49"/>
    <w:rsid w:val="72D85A06"/>
    <w:rsid w:val="753C4E9B"/>
    <w:rsid w:val="767F01D6"/>
    <w:rsid w:val="781113A7"/>
    <w:rsid w:val="78A25F9F"/>
    <w:rsid w:val="790B0CCC"/>
    <w:rsid w:val="791E6510"/>
    <w:rsid w:val="7A1433E1"/>
    <w:rsid w:val="7A9E283F"/>
    <w:rsid w:val="7C8D4A41"/>
    <w:rsid w:val="7D8A69CB"/>
    <w:rsid w:val="7F0A22DB"/>
    <w:rsid w:val="7F0E03A6"/>
    <w:rsid w:val="7FD840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560" w:lineRule="exact"/>
      <w:ind w:firstLine="200" w:firstLineChars="200"/>
      <w:outlineLvl w:val="1"/>
    </w:pPr>
    <w:rPr>
      <w:rFonts w:eastAsia="楷体_GB2312" w:asciiTheme="majorHAnsi" w:hAnsiTheme="majorHAnsi" w:cstheme="majorBidi"/>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ind w:firstLine="640" w:firstLineChars="200"/>
    </w:pPr>
    <w:rPr>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3"/>
    <w:next w:val="1"/>
    <w:unhideWhenUsed/>
    <w:qFormat/>
    <w:uiPriority w:val="99"/>
    <w:pPr>
      <w:ind w:firstLine="420"/>
    </w:pPr>
  </w:style>
  <w:style w:type="paragraph" w:customStyle="1" w:styleId="10">
    <w:name w:val="标题1"/>
    <w:basedOn w:val="2"/>
    <w:qFormat/>
    <w:uiPriority w:val="0"/>
    <w:rPr>
      <w:rFonts w:eastAsia="黑体"/>
    </w:rPr>
  </w:style>
  <w:style w:type="paragraph" w:customStyle="1" w:styleId="11">
    <w:name w:val="首行缩进"/>
    <w:basedOn w:val="1"/>
    <w:qFormat/>
    <w:uiPriority w:val="0"/>
    <w:pPr>
      <w:ind w:firstLine="480" w:firstLineChars="200"/>
    </w:pPr>
    <w:rPr>
      <w:lang w:val="zh-CN"/>
    </w:rPr>
  </w:style>
  <w:style w:type="character" w:customStyle="1" w:styleId="12">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4907</Words>
  <Characters>5242</Characters>
  <Lines>8</Lines>
  <Paragraphs>12</Paragraphs>
  <TotalTime>2</TotalTime>
  <ScaleCrop>false</ScaleCrop>
  <LinksUpToDate>false</LinksUpToDate>
  <CharactersWithSpaces>5389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巨信</cp:lastModifiedBy>
  <cp:lastPrinted>2024-08-16T07:35:05Z</cp:lastPrinted>
  <dcterms:modified xsi:type="dcterms:W3CDTF">2024-08-16T07:35:10Z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C3122977022B45F399FAC8233ABA2157_13</vt:lpwstr>
  </property>
</Properties>
</file>