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color="040000" w:fill="FFFFFF"/>
        </w:rPr>
        <w:t> </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color="050000" w:fill="FFFFFF"/>
        </w:rPr>
        <w:t>第五部分</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color="040000" w:fill="FFFFFF"/>
        </w:rPr>
        <w:t> </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color="050000" w:fill="FFFFFF"/>
        </w:rPr>
        <w:t>附件</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sz w:val="28"/>
          <w:szCs w:val="28"/>
          <w:shd w:val="clear" w:color="040000" w:fill="FFFFFF"/>
        </w:rPr>
        <w:t> </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883" w:firstLineChars="200"/>
        <w:jc w:val="both"/>
        <w:rPr>
          <w:rFonts w:hint="eastAsia" w:ascii="宋体" w:hAnsi="宋体" w:eastAsia="宋体" w:cs="宋体"/>
          <w:sz w:val="44"/>
          <w:szCs w:val="44"/>
          <w:lang w:eastAsia="zh-CN"/>
        </w:rPr>
      </w:pPr>
      <w:r>
        <w:rPr>
          <w:rFonts w:hint="eastAsia" w:ascii="宋体" w:hAnsi="宋体" w:eastAsia="宋体" w:cs="宋体"/>
          <w:b/>
          <w:bCs/>
          <w:color w:val="444444"/>
          <w:sz w:val="44"/>
          <w:szCs w:val="44"/>
          <w:shd w:val="clear" w:color="060000" w:fill="FFFFFF"/>
        </w:rPr>
        <w:t>2021年度部门整体支出绩效评价报告</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一、部门概况</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（一）基本情况</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（1）主要职能</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1、负责应急管理工作，指导全区各</w:t>
      </w:r>
      <w:r>
        <w:rPr>
          <w:rFonts w:hint="eastAsia" w:ascii="宋体" w:hAnsi="宋体" w:cs="宋体"/>
          <w:color w:val="444444"/>
          <w:kern w:val="0"/>
          <w:sz w:val="28"/>
          <w:szCs w:val="28"/>
          <w:shd w:val="clear" w:color="050000" w:fill="FFFFFF"/>
          <w:lang w:eastAsia="zh-CN"/>
        </w:rPr>
        <w:t>镇</w:t>
      </w:r>
      <w:bookmarkStart w:id="1" w:name="_GoBack"/>
      <w:bookmarkEnd w:id="1"/>
      <w:r>
        <w:rPr>
          <w:rFonts w:hint="eastAsia" w:ascii="宋体" w:hAnsi="宋体" w:eastAsia="宋体" w:cs="宋体"/>
          <w:color w:val="444444"/>
          <w:kern w:val="0"/>
          <w:sz w:val="28"/>
          <w:szCs w:val="28"/>
          <w:shd w:val="clear" w:color="050000" w:fill="FFFFFF"/>
        </w:rPr>
        <w:t>（街道）、各部门应对安全生产类、自然灾害类等突发事件和综合防灾减灾救灾工作。负责安全生产综合监督管理和工矿商贸行业安全生产监督管理工作。</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 xml:space="preserve">2、贯彻实施相关法律法规、部门规章、规程和标准，组织编制全区应急体系建设、安全生产和综合防灾减灾规划。 </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3、指导应急预案体系建设，组织编制邵阳市北塔区总体应急预案和安全生产类、自然灾害类专项预案，综合协调应急预案衔接工作，组织开展预案演练。</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4、牵头推进全区统一的应急管理信息系统建设， 建立 监测预警和灾情报告制度，健全自然灾害信息资源获取和共享机制，依法统一发布灾情。</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5、组织指导协调安全生产类、自然灾害类等突发事件应急救援，承担区应对一般灾害指挥的相关工作，综合研判突发事件发展态势并提出应对建议，协助区委、区政府指定的负责同志组织一般灾害应急处置工作。</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6、统一协调指挥各类应急专业队伍，建立应急协调联动机制，推进指挥平台对接，负责做好解放军和武警部队参与应急救援相关衔接工作。</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7、统筹全区应急救援力量建设，负责消防、森林火灾扑救、抗洪抢险、地震和地质灾害救援、生产安全事故救援等专业应急救援力量建设，指导地方及社会应急救援力量建设。</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8、负责全区消防管理有关工作，指导地方消防监督、火灾预防、火灾扑救等工作。</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9、指导协调全区森林火灾、水旱灾害、地震和地质灾害等防治工作，负责自然灾害综合监测预警工作，指导开展自然灾害综合风险评估工作。</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10、组织协调灾害救助工作，组织指导灾情核查，损失评估、救灾捐赠工作，按权限管理，分配中央、省、市下达和区级救灾款物并监督使用。</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11、承担区安全生产委员会日常工作，依法行使安全生产综合监督管理职权，指导协调、监督检查区属有关部门和各乡、街道安全生产工作，组织开展安全生产巡查、考核工作。</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12、按照分级、属地原则，依法监督检查工矿商贸生产经营单位贯彻执行安全生产法律法规及其安全生产条件和有关设备（特种设备除外）、材料、劳动防护用品的安全生产管理工作。依法组织和指导监督实施安全生产准入制度。负责危险化学品安全监督管理综合工作和烟花爆竹经营单位安全生产监督管理工作。</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13、负责全区权限内的矿山安全生产地方监管和矿山安全基础监督指导工作。</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14、根据区人民政府授权，依法承担组织权限内一般生产安全事故的调查处理和办理结案工作，监督事故查处和责任追究落实情况。组织开展自然灾害类突发事件的调查评估工作。</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15、开展应急管理对外交流与合作，组织参与安全生产类、自然灾害类等突发事件的对外救援工作。</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16、制定全区应急物资储备和应急救援装备规划并组织实施，会同区发展和改革局等部门建立健全应急物资调拨制度，在救灾时统一调度。</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17、负责应急管理、安全生产宣传教育和培训工作，组织指导应急管理、安全生产的信息化建设工作；组织协调区内外应急管理、安全生产专家库管理；监督检查全区应急管理、安全生产检测、检验、评价、认证等服务工作，依法监督管理安全生产各类服务机构。</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18、承担区防汛抗旱指挥部日常工作，协调区防汛抗旱指挥部成员单位的相关工作，组织执行市防汛抗旱指挥部和区防汛抗旱指挥部的指示、命令。</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19、完成区委和区政府交办的其他任务、</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（2）机构情况</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纳入202</w:t>
      </w:r>
      <w:r>
        <w:rPr>
          <w:rFonts w:hint="eastAsia" w:ascii="宋体" w:hAnsi="宋体" w:eastAsia="宋体" w:cs="宋体"/>
          <w:color w:val="444444"/>
          <w:kern w:val="0"/>
          <w:sz w:val="28"/>
          <w:szCs w:val="28"/>
          <w:shd w:val="clear" w:color="050000" w:fill="FFFFFF"/>
          <w:lang w:val="en-US" w:eastAsia="zh-CN"/>
        </w:rPr>
        <w:t>1</w:t>
      </w:r>
      <w:r>
        <w:rPr>
          <w:rFonts w:hint="eastAsia" w:ascii="宋体" w:hAnsi="宋体" w:eastAsia="宋体" w:cs="宋体"/>
          <w:color w:val="444444"/>
          <w:kern w:val="0"/>
          <w:sz w:val="28"/>
          <w:szCs w:val="28"/>
          <w:shd w:val="clear" w:color="050000" w:fill="FFFFFF"/>
        </w:rPr>
        <w:t>年部门</w:t>
      </w:r>
      <w:r>
        <w:rPr>
          <w:rFonts w:hint="eastAsia" w:ascii="宋体" w:hAnsi="宋体" w:eastAsia="宋体" w:cs="宋体"/>
          <w:color w:val="444444"/>
          <w:kern w:val="0"/>
          <w:sz w:val="28"/>
          <w:szCs w:val="28"/>
          <w:shd w:val="clear" w:color="050000" w:fill="FFFFFF"/>
          <w:lang w:val="en-US" w:eastAsia="zh-CN"/>
        </w:rPr>
        <w:t>决算</w:t>
      </w:r>
      <w:r>
        <w:rPr>
          <w:rFonts w:hint="eastAsia" w:ascii="宋体" w:hAnsi="宋体" w:eastAsia="宋体" w:cs="宋体"/>
          <w:color w:val="444444"/>
          <w:kern w:val="0"/>
          <w:sz w:val="28"/>
          <w:szCs w:val="28"/>
          <w:shd w:val="clear" w:color="050000" w:fill="FFFFFF"/>
        </w:rPr>
        <w:t>编报的单位1个，包含邵阳市北塔区应急局</w:t>
      </w:r>
      <w:r>
        <w:rPr>
          <w:rFonts w:hint="eastAsia" w:ascii="宋体" w:hAnsi="宋体" w:cs="宋体"/>
          <w:color w:val="444444"/>
          <w:kern w:val="0"/>
          <w:sz w:val="28"/>
          <w:szCs w:val="28"/>
          <w:shd w:val="clear" w:color="050000" w:fill="FFFFFF"/>
          <w:lang w:val="en-US" w:eastAsia="zh-CN"/>
        </w:rPr>
        <w:t>及</w:t>
      </w:r>
      <w:r>
        <w:rPr>
          <w:rFonts w:hint="eastAsia" w:ascii="宋体" w:hAnsi="宋体" w:eastAsia="宋体" w:cs="宋体"/>
          <w:color w:val="444444"/>
          <w:kern w:val="0"/>
          <w:sz w:val="28"/>
          <w:szCs w:val="28"/>
          <w:shd w:val="clear" w:color="050000" w:fill="FFFFFF"/>
        </w:rPr>
        <w:t>内设事业单位安全生产执法大队和应急救援中心。邵阳市北塔区应急局内设机构6个包括办公室（政工、财务股）、政策法规股（加挂宣教股、调查评估股牌子）、安全监督管理股（加挂危险化学品和烟花爆竹安全监督管理股、非煤矿山安全监督管理股、地下矿山安全监督管理股）、应急指挥中心（加挂风险监测股、救援协调和预案管理股、规划股牌子）、自然灾害防治股（火灾防治管理股、地震和地质灾害救援股、防汛抗旱股、救灾和物资保障股、综合减灾股牌子），综合协调股。内设事业单位2个，分别为：安全生产执法大队和应急救援中心。</w:t>
      </w:r>
    </w:p>
    <w:p>
      <w:pPr>
        <w:pStyle w:val="4"/>
        <w:widowControl/>
        <w:numPr>
          <w:ilvl w:val="0"/>
          <w:numId w:val="1"/>
        </w:numPr>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人员情况</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邵阳市北塔区应急局行政编制人数6个，事业编制人数9个。实有人数：行政人员8个，事业人员13个。</w:t>
      </w:r>
    </w:p>
    <w:p>
      <w:pPr>
        <w:pStyle w:val="4"/>
        <w:widowControl/>
        <w:numPr>
          <w:ilvl w:val="0"/>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560" w:firstLineChars="200"/>
        <w:jc w:val="left"/>
        <w:rPr>
          <w:rFonts w:hint="eastAsia" w:ascii="宋体" w:hAnsi="宋体" w:cs="宋体"/>
          <w:color w:val="444444"/>
          <w:kern w:val="0"/>
          <w:sz w:val="28"/>
          <w:szCs w:val="28"/>
          <w:shd w:val="clear" w:color="050000" w:fill="FFFFFF"/>
          <w:lang w:val="en-US" w:eastAsia="zh-CN"/>
        </w:rPr>
      </w:pPr>
      <w:r>
        <w:rPr>
          <w:rFonts w:hint="eastAsia" w:ascii="宋体" w:hAnsi="宋体" w:cs="宋体"/>
          <w:color w:val="444444"/>
          <w:kern w:val="0"/>
          <w:sz w:val="28"/>
          <w:szCs w:val="28"/>
          <w:shd w:val="clear" w:color="050000" w:fill="FFFFFF"/>
          <w:lang w:eastAsia="zh-CN"/>
        </w:rPr>
        <w:t>（</w:t>
      </w:r>
      <w:r>
        <w:rPr>
          <w:rFonts w:hint="eastAsia" w:ascii="宋体" w:hAnsi="宋体" w:cs="宋体"/>
          <w:color w:val="444444"/>
          <w:kern w:val="0"/>
          <w:sz w:val="28"/>
          <w:szCs w:val="28"/>
          <w:shd w:val="clear" w:color="050000" w:fill="FFFFFF"/>
          <w:lang w:val="en-US" w:eastAsia="zh-CN"/>
        </w:rPr>
        <w:t>二）部门整体支出规模、使用方向和主要内容、涉及范围等。</w:t>
      </w:r>
    </w:p>
    <w:p>
      <w:pPr>
        <w:pStyle w:val="4"/>
        <w:widowControl/>
        <w:numPr>
          <w:ilvl w:val="0"/>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560" w:firstLineChars="200"/>
        <w:jc w:val="left"/>
        <w:rPr>
          <w:rFonts w:hint="eastAsia" w:ascii="宋体" w:hAnsi="宋体" w:cs="宋体"/>
          <w:color w:val="444444"/>
          <w:kern w:val="0"/>
          <w:sz w:val="28"/>
          <w:szCs w:val="28"/>
          <w:shd w:val="clear" w:color="050000" w:fill="FFFFFF"/>
          <w:lang w:val="en-US" w:eastAsia="zh-CN"/>
        </w:rPr>
      </w:pPr>
      <w:r>
        <w:rPr>
          <w:rFonts w:hint="eastAsia" w:ascii="宋体" w:hAnsi="宋体" w:cs="宋体"/>
          <w:color w:val="444444"/>
          <w:kern w:val="0"/>
          <w:sz w:val="28"/>
          <w:szCs w:val="28"/>
          <w:shd w:val="clear" w:color="050000" w:fill="FFFFFF"/>
          <w:lang w:val="en-US" w:eastAsia="zh-CN"/>
        </w:rPr>
        <w:t>我局部门整体支出使用内容及范围为人员工资、公用支出和专项支出，包括“打非治违”、“隐患排查”、“安全生产大整治大管控大排查”专项整治行动和应急救援、防汛抗旱、森林防火等方面的工作。</w:t>
      </w:r>
      <w:bookmarkStart w:id="0" w:name="RANGE!A1:H22"/>
    </w:p>
    <w:p>
      <w:pPr>
        <w:pStyle w:val="4"/>
        <w:widowControl/>
        <w:numPr>
          <w:ilvl w:val="0"/>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二、部门整体支出管理及使用情况</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（一）预算执行情况。</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2021年收入</w:t>
      </w:r>
      <w:r>
        <w:rPr>
          <w:rFonts w:hint="eastAsia" w:ascii="宋体" w:hAnsi="宋体" w:cs="宋体"/>
          <w:color w:val="444444"/>
          <w:kern w:val="0"/>
          <w:sz w:val="28"/>
          <w:szCs w:val="28"/>
          <w:shd w:val="clear" w:color="050000" w:fill="FFFFFF"/>
          <w:lang w:val="en-US" w:eastAsia="zh-CN"/>
        </w:rPr>
        <w:t>653.17</w:t>
      </w:r>
      <w:r>
        <w:rPr>
          <w:rFonts w:hint="eastAsia" w:ascii="宋体" w:hAnsi="宋体" w:eastAsia="宋体" w:cs="宋体"/>
          <w:color w:val="444444"/>
          <w:kern w:val="0"/>
          <w:sz w:val="28"/>
          <w:szCs w:val="28"/>
          <w:shd w:val="clear" w:color="050000" w:fill="FFFFFF"/>
        </w:rPr>
        <w:t>万元，其中一般公共预算拨款收入</w:t>
      </w:r>
      <w:r>
        <w:rPr>
          <w:rFonts w:hint="eastAsia" w:ascii="宋体" w:hAnsi="宋体" w:cs="宋体"/>
          <w:color w:val="444444"/>
          <w:kern w:val="0"/>
          <w:sz w:val="28"/>
          <w:szCs w:val="28"/>
          <w:shd w:val="clear" w:color="050000" w:fill="FFFFFF"/>
          <w:lang w:val="en-US" w:eastAsia="zh-CN"/>
        </w:rPr>
        <w:t>643.17</w:t>
      </w:r>
      <w:r>
        <w:rPr>
          <w:rFonts w:hint="eastAsia" w:ascii="宋体" w:hAnsi="宋体" w:eastAsia="宋体" w:cs="宋体"/>
          <w:color w:val="444444"/>
          <w:kern w:val="0"/>
          <w:sz w:val="28"/>
          <w:szCs w:val="28"/>
          <w:shd w:val="clear" w:color="050000" w:fill="FFFFFF"/>
        </w:rPr>
        <w:t>万元，其他收入</w:t>
      </w:r>
      <w:r>
        <w:rPr>
          <w:rFonts w:hint="eastAsia" w:ascii="宋体" w:hAnsi="宋体" w:cs="宋体"/>
          <w:color w:val="444444"/>
          <w:kern w:val="0"/>
          <w:sz w:val="28"/>
          <w:szCs w:val="28"/>
          <w:shd w:val="clear" w:color="050000" w:fill="FFFFFF"/>
          <w:lang w:val="en-US" w:eastAsia="zh-CN"/>
        </w:rPr>
        <w:t>10</w:t>
      </w:r>
      <w:r>
        <w:rPr>
          <w:rFonts w:hint="eastAsia" w:ascii="宋体" w:hAnsi="宋体" w:eastAsia="宋体" w:cs="宋体"/>
          <w:color w:val="444444"/>
          <w:kern w:val="0"/>
          <w:sz w:val="28"/>
          <w:szCs w:val="28"/>
          <w:shd w:val="clear" w:color="050000" w:fill="FFFFFF"/>
        </w:rPr>
        <w:t>万元。</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2021年经费支出</w:t>
      </w:r>
      <w:r>
        <w:rPr>
          <w:rFonts w:hint="eastAsia" w:ascii="宋体" w:hAnsi="宋体" w:cs="宋体"/>
          <w:color w:val="444444"/>
          <w:kern w:val="0"/>
          <w:sz w:val="28"/>
          <w:szCs w:val="28"/>
          <w:shd w:val="clear" w:color="050000" w:fill="FFFFFF"/>
          <w:lang w:val="en-US" w:eastAsia="zh-CN"/>
        </w:rPr>
        <w:t>653.17</w:t>
      </w:r>
      <w:r>
        <w:rPr>
          <w:rFonts w:hint="eastAsia" w:ascii="宋体" w:hAnsi="宋体" w:eastAsia="宋体" w:cs="宋体"/>
          <w:color w:val="444444"/>
          <w:kern w:val="0"/>
          <w:sz w:val="28"/>
          <w:szCs w:val="28"/>
          <w:shd w:val="clear" w:color="050000" w:fill="FFFFFF"/>
        </w:rPr>
        <w:t>万元，其中基本支出</w:t>
      </w:r>
      <w:r>
        <w:rPr>
          <w:rFonts w:hint="eastAsia" w:ascii="宋体" w:hAnsi="宋体" w:cs="宋体"/>
          <w:color w:val="444444"/>
          <w:kern w:val="0"/>
          <w:sz w:val="28"/>
          <w:szCs w:val="28"/>
          <w:shd w:val="clear" w:color="050000" w:fill="FFFFFF"/>
          <w:lang w:val="en-US" w:eastAsia="zh-CN"/>
        </w:rPr>
        <w:t>393.12</w:t>
      </w:r>
      <w:r>
        <w:rPr>
          <w:rFonts w:hint="eastAsia" w:ascii="宋体" w:hAnsi="宋体" w:eastAsia="宋体" w:cs="宋体"/>
          <w:color w:val="444444"/>
          <w:kern w:val="0"/>
          <w:sz w:val="28"/>
          <w:szCs w:val="28"/>
          <w:shd w:val="clear" w:color="050000" w:fill="FFFFFF"/>
        </w:rPr>
        <w:t>万元，项目支出</w:t>
      </w:r>
      <w:r>
        <w:rPr>
          <w:rFonts w:hint="eastAsia" w:ascii="宋体" w:hAnsi="宋体" w:cs="宋体"/>
          <w:color w:val="444444"/>
          <w:kern w:val="0"/>
          <w:sz w:val="28"/>
          <w:szCs w:val="28"/>
          <w:shd w:val="clear" w:color="050000" w:fill="FFFFFF"/>
          <w:lang w:val="en-US" w:eastAsia="zh-CN"/>
        </w:rPr>
        <w:t>260.05</w:t>
      </w:r>
      <w:r>
        <w:rPr>
          <w:rFonts w:hint="eastAsia" w:ascii="宋体" w:hAnsi="宋体" w:eastAsia="宋体" w:cs="宋体"/>
          <w:color w:val="444444"/>
          <w:kern w:val="0"/>
          <w:sz w:val="28"/>
          <w:szCs w:val="28"/>
          <w:shd w:val="clear" w:color="050000" w:fill="FFFFFF"/>
        </w:rPr>
        <w:t>万元。</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一般公共预算财政拨款支出</w:t>
      </w:r>
      <w:r>
        <w:rPr>
          <w:rFonts w:hint="eastAsia" w:ascii="宋体" w:hAnsi="宋体" w:cs="宋体"/>
          <w:color w:val="444444"/>
          <w:kern w:val="0"/>
          <w:sz w:val="28"/>
          <w:szCs w:val="28"/>
          <w:shd w:val="clear" w:color="050000" w:fill="FFFFFF"/>
          <w:lang w:val="en-US" w:eastAsia="zh-CN"/>
        </w:rPr>
        <w:t>653.17</w:t>
      </w:r>
      <w:r>
        <w:rPr>
          <w:rFonts w:hint="eastAsia" w:ascii="宋体" w:hAnsi="宋体" w:eastAsia="宋体" w:cs="宋体"/>
          <w:color w:val="444444"/>
          <w:kern w:val="0"/>
          <w:sz w:val="28"/>
          <w:szCs w:val="28"/>
          <w:shd w:val="clear" w:color="050000" w:fill="FFFFFF"/>
        </w:rPr>
        <w:t>万元，主要用于以下方面：</w:t>
      </w:r>
      <w:r>
        <w:rPr>
          <w:rFonts w:hint="eastAsia" w:ascii="宋体" w:hAnsi="宋体" w:cs="宋体"/>
          <w:color w:val="444444"/>
          <w:kern w:val="0"/>
          <w:sz w:val="28"/>
          <w:szCs w:val="28"/>
          <w:shd w:val="clear" w:color="050000" w:fill="FFFFFF"/>
          <w:lang w:val="en-US" w:eastAsia="zh-CN"/>
        </w:rPr>
        <w:t>一般公共服务支出30.39万元，占4.65%，</w:t>
      </w:r>
      <w:r>
        <w:rPr>
          <w:rFonts w:hint="eastAsia" w:ascii="宋体" w:hAnsi="宋体" w:eastAsia="宋体" w:cs="宋体"/>
          <w:color w:val="444444"/>
          <w:kern w:val="0"/>
          <w:sz w:val="28"/>
          <w:szCs w:val="28"/>
          <w:shd w:val="clear" w:color="050000" w:fill="FFFFFF"/>
        </w:rPr>
        <w:t>社会保障和就业（类）支出</w:t>
      </w:r>
      <w:r>
        <w:rPr>
          <w:rFonts w:hint="eastAsia" w:ascii="宋体" w:hAnsi="宋体" w:cs="宋体"/>
          <w:color w:val="444444"/>
          <w:kern w:val="0"/>
          <w:sz w:val="28"/>
          <w:szCs w:val="28"/>
          <w:shd w:val="clear" w:color="050000" w:fill="FFFFFF"/>
          <w:lang w:val="en-US" w:eastAsia="zh-CN"/>
        </w:rPr>
        <w:t>18.49</w:t>
      </w:r>
      <w:r>
        <w:rPr>
          <w:rFonts w:hint="eastAsia" w:ascii="宋体" w:hAnsi="宋体" w:eastAsia="宋体" w:cs="宋体"/>
          <w:color w:val="444444"/>
          <w:kern w:val="0"/>
          <w:sz w:val="28"/>
          <w:szCs w:val="28"/>
          <w:shd w:val="clear" w:color="050000" w:fill="FFFFFF"/>
        </w:rPr>
        <w:t>万元，占</w:t>
      </w:r>
      <w:r>
        <w:rPr>
          <w:rFonts w:hint="eastAsia" w:ascii="宋体" w:hAnsi="宋体" w:cs="宋体"/>
          <w:color w:val="444444"/>
          <w:kern w:val="0"/>
          <w:sz w:val="28"/>
          <w:szCs w:val="28"/>
          <w:shd w:val="clear" w:color="050000" w:fill="FFFFFF"/>
          <w:lang w:val="en-US" w:eastAsia="zh-CN"/>
        </w:rPr>
        <w:t>2.83</w:t>
      </w:r>
      <w:r>
        <w:rPr>
          <w:rFonts w:hint="eastAsia" w:ascii="宋体" w:hAnsi="宋体" w:eastAsia="宋体" w:cs="宋体"/>
          <w:color w:val="444444"/>
          <w:kern w:val="0"/>
          <w:sz w:val="28"/>
          <w:szCs w:val="28"/>
          <w:shd w:val="clear" w:color="050000" w:fill="FFFFFF"/>
        </w:rPr>
        <w:t>%；卫生健康（类）支出</w:t>
      </w:r>
      <w:r>
        <w:rPr>
          <w:rFonts w:hint="eastAsia" w:ascii="宋体" w:hAnsi="宋体" w:cs="宋体"/>
          <w:color w:val="444444"/>
          <w:kern w:val="0"/>
          <w:sz w:val="28"/>
          <w:szCs w:val="28"/>
          <w:shd w:val="clear" w:color="050000" w:fill="FFFFFF"/>
          <w:lang w:val="en-US" w:eastAsia="zh-CN"/>
        </w:rPr>
        <w:t>12.56</w:t>
      </w:r>
      <w:r>
        <w:rPr>
          <w:rFonts w:hint="eastAsia" w:ascii="宋体" w:hAnsi="宋体" w:eastAsia="宋体" w:cs="宋体"/>
          <w:color w:val="444444"/>
          <w:kern w:val="0"/>
          <w:sz w:val="28"/>
          <w:szCs w:val="28"/>
          <w:shd w:val="clear" w:color="050000" w:fill="FFFFFF"/>
        </w:rPr>
        <w:t>万元，占</w:t>
      </w:r>
      <w:r>
        <w:rPr>
          <w:rFonts w:hint="eastAsia" w:ascii="宋体" w:hAnsi="宋体" w:cs="宋体"/>
          <w:color w:val="444444"/>
          <w:kern w:val="0"/>
          <w:sz w:val="28"/>
          <w:szCs w:val="28"/>
          <w:shd w:val="clear" w:color="050000" w:fill="FFFFFF"/>
          <w:lang w:val="en-US" w:eastAsia="zh-CN"/>
        </w:rPr>
        <w:t>1.92</w:t>
      </w:r>
      <w:r>
        <w:rPr>
          <w:rFonts w:hint="eastAsia" w:ascii="宋体" w:hAnsi="宋体" w:eastAsia="宋体" w:cs="宋体"/>
          <w:color w:val="444444"/>
          <w:kern w:val="0"/>
          <w:sz w:val="28"/>
          <w:szCs w:val="28"/>
          <w:shd w:val="clear" w:color="050000" w:fill="FFFFFF"/>
        </w:rPr>
        <w:t>%;</w:t>
      </w:r>
      <w:r>
        <w:rPr>
          <w:rFonts w:hint="eastAsia" w:ascii="宋体" w:hAnsi="宋体" w:cs="宋体"/>
          <w:color w:val="444444"/>
          <w:kern w:val="0"/>
          <w:sz w:val="28"/>
          <w:szCs w:val="28"/>
          <w:shd w:val="clear" w:color="050000" w:fill="FFFFFF"/>
          <w:lang w:val="en-US" w:eastAsia="zh-CN"/>
        </w:rPr>
        <w:t>农林水支出5万元，占0.77%，自然资源海洋气象等支出2.5万元，占0.38%，</w:t>
      </w:r>
      <w:r>
        <w:rPr>
          <w:rFonts w:hint="eastAsia" w:ascii="宋体" w:hAnsi="宋体" w:eastAsia="宋体" w:cs="宋体"/>
          <w:color w:val="444444"/>
          <w:kern w:val="0"/>
          <w:sz w:val="28"/>
          <w:szCs w:val="28"/>
          <w:shd w:val="clear" w:color="050000" w:fill="FFFFFF"/>
        </w:rPr>
        <w:t>住房保障（类）支出</w:t>
      </w:r>
      <w:r>
        <w:rPr>
          <w:rFonts w:hint="eastAsia" w:ascii="宋体" w:hAnsi="宋体" w:cs="宋体"/>
          <w:color w:val="444444"/>
          <w:kern w:val="0"/>
          <w:sz w:val="28"/>
          <w:szCs w:val="28"/>
          <w:shd w:val="clear" w:color="050000" w:fill="FFFFFF"/>
          <w:lang w:val="en-US" w:eastAsia="zh-CN"/>
        </w:rPr>
        <w:t>19.72</w:t>
      </w:r>
      <w:r>
        <w:rPr>
          <w:rFonts w:hint="eastAsia" w:ascii="宋体" w:hAnsi="宋体" w:eastAsia="宋体" w:cs="宋体"/>
          <w:color w:val="444444"/>
          <w:kern w:val="0"/>
          <w:sz w:val="28"/>
          <w:szCs w:val="28"/>
          <w:shd w:val="clear" w:color="050000" w:fill="FFFFFF"/>
        </w:rPr>
        <w:t>万元，占3.</w:t>
      </w:r>
      <w:r>
        <w:rPr>
          <w:rFonts w:hint="eastAsia" w:ascii="宋体" w:hAnsi="宋体" w:cs="宋体"/>
          <w:color w:val="444444"/>
          <w:kern w:val="0"/>
          <w:sz w:val="28"/>
          <w:szCs w:val="28"/>
          <w:shd w:val="clear" w:color="050000" w:fill="FFFFFF"/>
          <w:lang w:val="en-US" w:eastAsia="zh-CN"/>
        </w:rPr>
        <w:t>02</w:t>
      </w:r>
      <w:r>
        <w:rPr>
          <w:rFonts w:hint="eastAsia" w:ascii="宋体" w:hAnsi="宋体" w:eastAsia="宋体" w:cs="宋体"/>
          <w:color w:val="444444"/>
          <w:kern w:val="0"/>
          <w:sz w:val="28"/>
          <w:szCs w:val="28"/>
          <w:shd w:val="clear" w:color="050000" w:fill="FFFFFF"/>
        </w:rPr>
        <w:t>%；灾害防治及应急管理（类）支出</w:t>
      </w:r>
      <w:r>
        <w:rPr>
          <w:rFonts w:hint="eastAsia" w:ascii="宋体" w:hAnsi="宋体" w:cs="宋体"/>
          <w:color w:val="444444"/>
          <w:kern w:val="0"/>
          <w:sz w:val="28"/>
          <w:szCs w:val="28"/>
          <w:shd w:val="clear" w:color="050000" w:fill="FFFFFF"/>
          <w:lang w:val="en-US" w:eastAsia="zh-CN"/>
        </w:rPr>
        <w:t>554.51</w:t>
      </w:r>
      <w:r>
        <w:rPr>
          <w:rFonts w:hint="eastAsia" w:ascii="宋体" w:hAnsi="宋体" w:eastAsia="宋体" w:cs="宋体"/>
          <w:color w:val="444444"/>
          <w:kern w:val="0"/>
          <w:sz w:val="28"/>
          <w:szCs w:val="28"/>
          <w:shd w:val="clear" w:color="050000" w:fill="FFFFFF"/>
        </w:rPr>
        <w:t>万元，占8</w:t>
      </w:r>
      <w:r>
        <w:rPr>
          <w:rFonts w:hint="eastAsia" w:ascii="宋体" w:hAnsi="宋体" w:cs="宋体"/>
          <w:color w:val="444444"/>
          <w:kern w:val="0"/>
          <w:sz w:val="28"/>
          <w:szCs w:val="28"/>
          <w:shd w:val="clear" w:color="050000" w:fill="FFFFFF"/>
          <w:lang w:val="en-US" w:eastAsia="zh-CN"/>
        </w:rPr>
        <w:t>4.9</w:t>
      </w:r>
      <w:r>
        <w:rPr>
          <w:rFonts w:hint="eastAsia" w:ascii="宋体" w:hAnsi="宋体" w:eastAsia="宋体" w:cs="宋体"/>
          <w:color w:val="444444"/>
          <w:kern w:val="0"/>
          <w:sz w:val="28"/>
          <w:szCs w:val="28"/>
          <w:shd w:val="clear" w:color="050000" w:fill="FFFFFF"/>
        </w:rPr>
        <w:t>%</w:t>
      </w:r>
      <w:r>
        <w:rPr>
          <w:rFonts w:hint="eastAsia" w:ascii="宋体" w:hAnsi="宋体" w:cs="宋体"/>
          <w:color w:val="444444"/>
          <w:kern w:val="0"/>
          <w:sz w:val="28"/>
          <w:szCs w:val="28"/>
          <w:shd w:val="clear" w:color="050000" w:fill="FFFFFF"/>
          <w:lang w:eastAsia="zh-CN"/>
        </w:rPr>
        <w:t>，</w:t>
      </w:r>
      <w:r>
        <w:rPr>
          <w:rFonts w:hint="eastAsia" w:ascii="宋体" w:hAnsi="宋体" w:cs="宋体"/>
          <w:color w:val="444444"/>
          <w:kern w:val="0"/>
          <w:sz w:val="28"/>
          <w:szCs w:val="28"/>
          <w:shd w:val="clear" w:color="050000" w:fill="FFFFFF"/>
          <w:lang w:val="en-US" w:eastAsia="zh-CN"/>
        </w:rPr>
        <w:t>其他支出10万元，占1.53%</w:t>
      </w:r>
      <w:r>
        <w:rPr>
          <w:rFonts w:hint="eastAsia" w:ascii="宋体" w:hAnsi="宋体" w:eastAsia="宋体" w:cs="宋体"/>
          <w:color w:val="444444"/>
          <w:kern w:val="0"/>
          <w:sz w:val="28"/>
          <w:szCs w:val="28"/>
          <w:shd w:val="clear" w:color="050000" w:fill="FFFFFF"/>
        </w:rPr>
        <w:t>。</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（二）基本支出。</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基本支出是为保障单位机构正常运转、完成日常工作任务而发生的各项支出，包括人员经费和日常公用经费。2021年度一般公共预算财政拨款基本支出</w:t>
      </w:r>
      <w:r>
        <w:rPr>
          <w:rFonts w:hint="eastAsia" w:ascii="宋体" w:hAnsi="宋体" w:cs="宋体"/>
          <w:color w:val="444444"/>
          <w:kern w:val="0"/>
          <w:sz w:val="28"/>
          <w:szCs w:val="28"/>
          <w:shd w:val="clear" w:color="050000" w:fill="FFFFFF"/>
          <w:lang w:val="en-US" w:eastAsia="zh-CN"/>
        </w:rPr>
        <w:t>393.12</w:t>
      </w:r>
      <w:r>
        <w:rPr>
          <w:rFonts w:hint="eastAsia" w:ascii="宋体" w:hAnsi="宋体" w:eastAsia="宋体" w:cs="宋体"/>
          <w:color w:val="444444"/>
          <w:kern w:val="0"/>
          <w:sz w:val="28"/>
          <w:szCs w:val="28"/>
          <w:shd w:val="clear" w:color="050000" w:fill="FFFFFF"/>
        </w:rPr>
        <w:t>万元，其中：工资福利支出</w:t>
      </w:r>
      <w:r>
        <w:rPr>
          <w:rFonts w:hint="eastAsia" w:ascii="宋体" w:hAnsi="宋体" w:cs="宋体"/>
          <w:color w:val="444444"/>
          <w:kern w:val="0"/>
          <w:sz w:val="28"/>
          <w:szCs w:val="28"/>
          <w:shd w:val="clear" w:color="050000" w:fill="FFFFFF"/>
          <w:lang w:val="en-US" w:eastAsia="zh-CN"/>
        </w:rPr>
        <w:t>281.23</w:t>
      </w:r>
      <w:r>
        <w:rPr>
          <w:rFonts w:hint="eastAsia" w:ascii="宋体" w:hAnsi="宋体" w:eastAsia="宋体" w:cs="宋体"/>
          <w:color w:val="444444"/>
          <w:kern w:val="0"/>
          <w:sz w:val="28"/>
          <w:szCs w:val="28"/>
          <w:shd w:val="clear" w:color="050000" w:fill="FFFFFF"/>
        </w:rPr>
        <w:t>万元；商品和服务支出</w:t>
      </w:r>
      <w:r>
        <w:rPr>
          <w:rFonts w:hint="eastAsia" w:ascii="宋体" w:hAnsi="宋体" w:cs="宋体"/>
          <w:color w:val="444444"/>
          <w:kern w:val="0"/>
          <w:sz w:val="28"/>
          <w:szCs w:val="28"/>
          <w:shd w:val="clear" w:color="050000" w:fill="FFFFFF"/>
          <w:lang w:val="en-US" w:eastAsia="zh-CN"/>
        </w:rPr>
        <w:t>97.13</w:t>
      </w:r>
      <w:r>
        <w:rPr>
          <w:rFonts w:hint="eastAsia" w:ascii="宋体" w:hAnsi="宋体" w:eastAsia="宋体" w:cs="宋体"/>
          <w:color w:val="444444"/>
          <w:kern w:val="0"/>
          <w:sz w:val="28"/>
          <w:szCs w:val="28"/>
          <w:shd w:val="clear" w:color="050000" w:fill="FFFFFF"/>
        </w:rPr>
        <w:t>万元；对个人和家庭的补助</w:t>
      </w:r>
      <w:r>
        <w:rPr>
          <w:rFonts w:hint="eastAsia" w:ascii="宋体" w:hAnsi="宋体" w:cs="宋体"/>
          <w:color w:val="444444"/>
          <w:kern w:val="0"/>
          <w:sz w:val="28"/>
          <w:szCs w:val="28"/>
          <w:shd w:val="clear" w:color="050000" w:fill="FFFFFF"/>
          <w:lang w:val="en-US" w:eastAsia="zh-CN"/>
        </w:rPr>
        <w:t>2.15</w:t>
      </w:r>
      <w:r>
        <w:rPr>
          <w:rFonts w:hint="eastAsia" w:ascii="宋体" w:hAnsi="宋体" w:eastAsia="宋体" w:cs="宋体"/>
          <w:color w:val="444444"/>
          <w:kern w:val="0"/>
          <w:sz w:val="28"/>
          <w:szCs w:val="28"/>
          <w:shd w:val="clear" w:color="050000" w:fill="FFFFFF"/>
        </w:rPr>
        <w:t>万元</w:t>
      </w:r>
      <w:r>
        <w:rPr>
          <w:rFonts w:hint="eastAsia" w:ascii="宋体" w:hAnsi="宋体" w:cs="宋体"/>
          <w:color w:val="444444"/>
          <w:kern w:val="0"/>
          <w:sz w:val="28"/>
          <w:szCs w:val="28"/>
          <w:shd w:val="clear" w:color="050000" w:fill="FFFFFF"/>
          <w:lang w:eastAsia="zh-CN"/>
        </w:rPr>
        <w:t>；</w:t>
      </w:r>
      <w:r>
        <w:rPr>
          <w:rFonts w:hint="eastAsia" w:ascii="宋体" w:hAnsi="宋体" w:cs="宋体"/>
          <w:color w:val="444444"/>
          <w:kern w:val="0"/>
          <w:sz w:val="28"/>
          <w:szCs w:val="28"/>
          <w:shd w:val="clear" w:color="050000" w:fill="FFFFFF"/>
          <w:lang w:val="en-US" w:eastAsia="zh-CN"/>
        </w:rPr>
        <w:t>资本性支出12.61万元</w:t>
      </w:r>
      <w:r>
        <w:rPr>
          <w:rFonts w:hint="eastAsia" w:ascii="宋体" w:hAnsi="宋体" w:eastAsia="宋体" w:cs="宋体"/>
          <w:color w:val="444444"/>
          <w:kern w:val="0"/>
          <w:sz w:val="28"/>
          <w:szCs w:val="28"/>
          <w:shd w:val="clear" w:color="050000" w:fill="FFFFFF"/>
        </w:rPr>
        <w:t>。</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资金通过财政实行国库集中支付，资金的使用严格按照财务审批制度和审批程序层层把关。“三公经费”中，公务用车购置及运行维护费</w:t>
      </w:r>
      <w:r>
        <w:rPr>
          <w:rFonts w:hint="eastAsia" w:ascii="宋体" w:hAnsi="宋体" w:cs="宋体"/>
          <w:color w:val="444444"/>
          <w:kern w:val="0"/>
          <w:sz w:val="28"/>
          <w:szCs w:val="28"/>
          <w:shd w:val="clear" w:color="050000" w:fill="FFFFFF"/>
          <w:lang w:val="en-US" w:eastAsia="zh-CN"/>
        </w:rPr>
        <w:t>4.1</w:t>
      </w:r>
      <w:r>
        <w:rPr>
          <w:rFonts w:hint="eastAsia" w:ascii="宋体" w:hAnsi="宋体" w:eastAsia="宋体" w:cs="宋体"/>
          <w:color w:val="444444"/>
          <w:kern w:val="0"/>
          <w:sz w:val="28"/>
          <w:szCs w:val="28"/>
          <w:shd w:val="clear" w:color="050000" w:fill="FFFFFF"/>
        </w:rPr>
        <w:t>万元；公务接待费</w:t>
      </w:r>
      <w:r>
        <w:rPr>
          <w:rFonts w:hint="eastAsia" w:ascii="宋体" w:hAnsi="宋体" w:cs="宋体"/>
          <w:color w:val="444444"/>
          <w:kern w:val="0"/>
          <w:sz w:val="28"/>
          <w:szCs w:val="28"/>
          <w:shd w:val="clear" w:color="050000" w:fill="FFFFFF"/>
          <w:lang w:val="en-US" w:eastAsia="zh-CN"/>
        </w:rPr>
        <w:t>0</w:t>
      </w:r>
      <w:r>
        <w:rPr>
          <w:rFonts w:hint="eastAsia" w:ascii="宋体" w:hAnsi="宋体" w:eastAsia="宋体" w:cs="宋体"/>
          <w:color w:val="444444"/>
          <w:kern w:val="0"/>
          <w:sz w:val="28"/>
          <w:szCs w:val="28"/>
          <w:shd w:val="clear" w:color="050000" w:fill="FFFFFF"/>
        </w:rPr>
        <w:t>万元，出国境费为0。公务接待严格控制接待标准和陪餐人数，车辆管理均实行在公务用车平台申报制度，全局按照厉行节约的管理思路，严格控制“三公经费”的支出。</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（三）专项支出。</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1.2021年我局专项资金支出</w:t>
      </w:r>
      <w:r>
        <w:rPr>
          <w:rFonts w:hint="eastAsia" w:ascii="宋体" w:hAnsi="宋体" w:cs="宋体"/>
          <w:color w:val="444444"/>
          <w:kern w:val="0"/>
          <w:sz w:val="28"/>
          <w:szCs w:val="28"/>
          <w:shd w:val="clear" w:color="050000" w:fill="FFFFFF"/>
          <w:lang w:val="en-US" w:eastAsia="zh-CN"/>
        </w:rPr>
        <w:t>260.05</w:t>
      </w:r>
      <w:r>
        <w:rPr>
          <w:rFonts w:hint="eastAsia" w:ascii="宋体" w:hAnsi="宋体" w:eastAsia="宋体" w:cs="宋体"/>
          <w:color w:val="444444"/>
          <w:kern w:val="0"/>
          <w:sz w:val="28"/>
          <w:szCs w:val="28"/>
          <w:shd w:val="clear" w:color="050000" w:fill="FFFFFF"/>
        </w:rPr>
        <w:t>万元。</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2.专项资金具体开支情况为：</w:t>
      </w:r>
      <w:r>
        <w:rPr>
          <w:rFonts w:hint="eastAsia" w:ascii="宋体" w:hAnsi="宋体" w:cs="宋体"/>
          <w:color w:val="444444"/>
          <w:kern w:val="0"/>
          <w:sz w:val="28"/>
          <w:szCs w:val="28"/>
          <w:shd w:val="clear" w:color="050000" w:fill="FFFFFF"/>
          <w:lang w:val="en-US" w:eastAsia="zh-CN"/>
        </w:rPr>
        <w:t>安全生产与应急救援20</w:t>
      </w:r>
      <w:r>
        <w:rPr>
          <w:rFonts w:hint="eastAsia" w:ascii="宋体" w:hAnsi="宋体" w:eastAsia="宋体" w:cs="宋体"/>
          <w:color w:val="444444"/>
          <w:kern w:val="0"/>
          <w:sz w:val="28"/>
          <w:szCs w:val="28"/>
          <w:shd w:val="clear" w:color="050000" w:fill="FFFFFF"/>
        </w:rPr>
        <w:t>万元，</w:t>
      </w:r>
      <w:r>
        <w:rPr>
          <w:rFonts w:hint="eastAsia" w:ascii="宋体" w:hAnsi="宋体" w:cs="宋体"/>
          <w:color w:val="444444"/>
          <w:kern w:val="0"/>
          <w:sz w:val="28"/>
          <w:szCs w:val="28"/>
          <w:shd w:val="clear" w:color="050000" w:fill="FFFFFF"/>
          <w:lang w:val="en-US" w:eastAsia="zh-CN"/>
        </w:rPr>
        <w:t>防汛抗旱抢险11.35</w:t>
      </w:r>
      <w:r>
        <w:rPr>
          <w:rFonts w:hint="eastAsia" w:ascii="宋体" w:hAnsi="宋体" w:eastAsia="宋体" w:cs="宋体"/>
          <w:color w:val="444444"/>
          <w:kern w:val="0"/>
          <w:sz w:val="28"/>
          <w:szCs w:val="28"/>
          <w:shd w:val="clear" w:color="050000" w:fill="FFFFFF"/>
        </w:rPr>
        <w:t>万元,</w:t>
      </w:r>
      <w:r>
        <w:rPr>
          <w:rFonts w:hint="eastAsia" w:ascii="宋体" w:hAnsi="宋体" w:cs="宋体"/>
          <w:color w:val="444444"/>
          <w:kern w:val="0"/>
          <w:sz w:val="28"/>
          <w:szCs w:val="28"/>
          <w:shd w:val="clear" w:color="050000" w:fill="FFFFFF"/>
          <w:lang w:val="en-US" w:eastAsia="zh-CN"/>
        </w:rPr>
        <w:t>安全监管31.18</w:t>
      </w:r>
      <w:r>
        <w:rPr>
          <w:rFonts w:hint="eastAsia" w:ascii="宋体" w:hAnsi="宋体" w:eastAsia="宋体" w:cs="宋体"/>
          <w:color w:val="444444"/>
          <w:kern w:val="0"/>
          <w:sz w:val="28"/>
          <w:szCs w:val="28"/>
          <w:shd w:val="clear" w:color="050000" w:fill="FFFFFF"/>
        </w:rPr>
        <w:t>万元，</w:t>
      </w:r>
      <w:r>
        <w:rPr>
          <w:rFonts w:hint="eastAsia" w:ascii="宋体" w:hAnsi="宋体" w:cs="宋体"/>
          <w:color w:val="444444"/>
          <w:kern w:val="0"/>
          <w:sz w:val="28"/>
          <w:szCs w:val="28"/>
          <w:shd w:val="clear" w:color="050000" w:fill="FFFFFF"/>
          <w:lang w:val="en-US" w:eastAsia="zh-CN"/>
        </w:rPr>
        <w:t>地震工作经费1</w:t>
      </w:r>
      <w:r>
        <w:rPr>
          <w:rFonts w:hint="eastAsia" w:ascii="宋体" w:hAnsi="宋体" w:eastAsia="宋体" w:cs="宋体"/>
          <w:color w:val="444444"/>
          <w:kern w:val="0"/>
          <w:sz w:val="28"/>
          <w:szCs w:val="28"/>
          <w:shd w:val="clear" w:color="050000" w:fill="FFFFFF"/>
        </w:rPr>
        <w:t>万元</w:t>
      </w:r>
      <w:r>
        <w:rPr>
          <w:rFonts w:hint="eastAsia" w:ascii="宋体" w:hAnsi="宋体" w:cs="宋体"/>
          <w:color w:val="444444"/>
          <w:kern w:val="0"/>
          <w:sz w:val="28"/>
          <w:szCs w:val="28"/>
          <w:shd w:val="clear" w:color="050000" w:fill="FFFFFF"/>
          <w:lang w:val="en-US" w:eastAsia="zh-CN"/>
        </w:rPr>
        <w:t>应急管理经费20.9</w:t>
      </w:r>
      <w:r>
        <w:rPr>
          <w:rFonts w:hint="eastAsia" w:ascii="宋体" w:hAnsi="宋体" w:eastAsia="宋体" w:cs="宋体"/>
          <w:color w:val="444444"/>
          <w:kern w:val="0"/>
          <w:sz w:val="28"/>
          <w:szCs w:val="28"/>
          <w:shd w:val="clear" w:color="050000" w:fill="FFFFFF"/>
        </w:rPr>
        <w:t>万元，</w:t>
      </w:r>
      <w:r>
        <w:rPr>
          <w:rFonts w:hint="eastAsia" w:ascii="宋体" w:hAnsi="宋体" w:cs="宋体"/>
          <w:color w:val="444444"/>
          <w:kern w:val="0"/>
          <w:sz w:val="28"/>
          <w:szCs w:val="28"/>
          <w:shd w:val="clear" w:color="050000" w:fill="FFFFFF"/>
          <w:lang w:val="en-US" w:eastAsia="zh-CN"/>
        </w:rPr>
        <w:t>村（社区）安监员工作补助5.34</w:t>
      </w:r>
      <w:r>
        <w:rPr>
          <w:rFonts w:hint="eastAsia" w:ascii="宋体" w:hAnsi="宋体" w:eastAsia="宋体" w:cs="宋体"/>
          <w:color w:val="444444"/>
          <w:kern w:val="0"/>
          <w:sz w:val="28"/>
          <w:szCs w:val="28"/>
          <w:shd w:val="clear" w:color="050000" w:fill="FFFFFF"/>
        </w:rPr>
        <w:t>万元，</w:t>
      </w:r>
      <w:r>
        <w:rPr>
          <w:rFonts w:hint="eastAsia" w:ascii="宋体" w:hAnsi="宋体" w:cs="宋体"/>
          <w:color w:val="444444"/>
          <w:kern w:val="0"/>
          <w:sz w:val="28"/>
          <w:szCs w:val="28"/>
          <w:shd w:val="clear" w:color="050000" w:fill="FFFFFF"/>
          <w:lang w:val="en-US" w:eastAsia="zh-CN"/>
        </w:rPr>
        <w:t>备灾应急能力建设55.81</w:t>
      </w:r>
      <w:r>
        <w:rPr>
          <w:rFonts w:hint="eastAsia" w:ascii="宋体" w:hAnsi="宋体" w:eastAsia="宋体" w:cs="宋体"/>
          <w:color w:val="444444"/>
          <w:kern w:val="0"/>
          <w:sz w:val="28"/>
          <w:szCs w:val="28"/>
          <w:shd w:val="clear" w:color="050000" w:fill="FFFFFF"/>
        </w:rPr>
        <w:t>万元，</w:t>
      </w:r>
      <w:r>
        <w:rPr>
          <w:rFonts w:hint="eastAsia" w:ascii="宋体" w:hAnsi="宋体" w:cs="宋体"/>
          <w:color w:val="444444"/>
          <w:kern w:val="0"/>
          <w:sz w:val="28"/>
          <w:szCs w:val="28"/>
          <w:shd w:val="clear" w:color="050000" w:fill="FFFFFF"/>
          <w:lang w:val="en-US" w:eastAsia="zh-CN"/>
        </w:rPr>
        <w:t>基层应急能力建设10</w:t>
      </w:r>
      <w:r>
        <w:rPr>
          <w:rFonts w:hint="eastAsia" w:ascii="宋体" w:hAnsi="宋体" w:eastAsia="宋体" w:cs="宋体"/>
          <w:color w:val="444444"/>
          <w:kern w:val="0"/>
          <w:sz w:val="28"/>
          <w:szCs w:val="28"/>
          <w:shd w:val="clear" w:color="050000" w:fill="FFFFFF"/>
        </w:rPr>
        <w:t>万元，</w:t>
      </w:r>
      <w:r>
        <w:rPr>
          <w:rFonts w:hint="eastAsia" w:ascii="宋体" w:hAnsi="宋体" w:cs="宋体"/>
          <w:color w:val="444444"/>
          <w:kern w:val="0"/>
          <w:sz w:val="28"/>
          <w:szCs w:val="28"/>
          <w:shd w:val="clear" w:color="050000" w:fill="FFFFFF"/>
          <w:lang w:val="en-US" w:eastAsia="zh-CN"/>
        </w:rPr>
        <w:t>森林防火3.54</w:t>
      </w:r>
      <w:r>
        <w:rPr>
          <w:rFonts w:hint="eastAsia" w:ascii="宋体" w:hAnsi="宋体" w:eastAsia="宋体" w:cs="宋体"/>
          <w:color w:val="444444"/>
          <w:kern w:val="0"/>
          <w:sz w:val="28"/>
          <w:szCs w:val="28"/>
          <w:shd w:val="clear" w:color="050000" w:fill="FFFFFF"/>
        </w:rPr>
        <w:t>万元</w:t>
      </w:r>
      <w:r>
        <w:rPr>
          <w:rFonts w:hint="eastAsia" w:ascii="宋体" w:hAnsi="宋体" w:cs="宋体"/>
          <w:color w:val="444444"/>
          <w:kern w:val="0"/>
          <w:sz w:val="28"/>
          <w:szCs w:val="28"/>
          <w:shd w:val="clear" w:color="050000" w:fill="FFFFFF"/>
          <w:lang w:eastAsia="zh-CN"/>
        </w:rPr>
        <w:t>，</w:t>
      </w:r>
      <w:r>
        <w:rPr>
          <w:rFonts w:hint="eastAsia" w:ascii="宋体" w:hAnsi="宋体" w:cs="宋体"/>
          <w:color w:val="444444"/>
          <w:kern w:val="0"/>
          <w:sz w:val="28"/>
          <w:szCs w:val="28"/>
          <w:shd w:val="clear" w:color="050000" w:fill="FFFFFF"/>
          <w:lang w:val="en-US" w:eastAsia="zh-CN"/>
        </w:rPr>
        <w:t>冬春救助49.08万元，救灾1万元，自然灾害风险普查50.85万元</w:t>
      </w:r>
      <w:r>
        <w:rPr>
          <w:rFonts w:hint="eastAsia" w:ascii="宋体" w:hAnsi="宋体" w:eastAsia="宋体" w:cs="宋体"/>
          <w:color w:val="444444"/>
          <w:kern w:val="0"/>
          <w:sz w:val="28"/>
          <w:szCs w:val="28"/>
          <w:shd w:val="clear" w:color="050000" w:fill="FFFFFF"/>
        </w:rPr>
        <w:t>。</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3.我局严格执行财务与内控规章制度，严格按照政府采购相关文件要求，走政府采购流程并向财政局报备，严格按照专款专用确保每笔款项用到实处。</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三、资产管理情况</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截至2021年12月31日，</w:t>
      </w:r>
      <w:r>
        <w:rPr>
          <w:rFonts w:hint="eastAsia" w:ascii="宋体" w:hAnsi="宋体" w:cs="宋体"/>
          <w:color w:val="444444"/>
          <w:kern w:val="0"/>
          <w:sz w:val="28"/>
          <w:szCs w:val="28"/>
          <w:shd w:val="clear" w:color="050000" w:fill="FFFFFF"/>
          <w:lang w:val="en-US" w:eastAsia="zh-CN"/>
        </w:rPr>
        <w:t>我</w:t>
      </w:r>
      <w:r>
        <w:rPr>
          <w:rFonts w:hint="eastAsia" w:ascii="宋体" w:hAnsi="宋体" w:eastAsia="宋体" w:cs="宋体"/>
          <w:color w:val="444444"/>
          <w:kern w:val="0"/>
          <w:sz w:val="28"/>
          <w:szCs w:val="28"/>
          <w:shd w:val="clear" w:color="050000" w:fill="FFFFFF"/>
        </w:rPr>
        <w:t>局资产总额为</w:t>
      </w:r>
      <w:r>
        <w:rPr>
          <w:rFonts w:hint="eastAsia" w:ascii="宋体" w:hAnsi="宋体" w:cs="宋体"/>
          <w:color w:val="444444"/>
          <w:kern w:val="0"/>
          <w:sz w:val="28"/>
          <w:szCs w:val="28"/>
          <w:shd w:val="clear" w:color="050000" w:fill="FFFFFF"/>
          <w:lang w:val="en-US" w:eastAsia="zh-CN"/>
        </w:rPr>
        <w:t>43.6</w:t>
      </w:r>
      <w:r>
        <w:rPr>
          <w:rFonts w:hint="eastAsia" w:ascii="宋体" w:hAnsi="宋体" w:eastAsia="宋体" w:cs="宋体"/>
          <w:color w:val="444444"/>
          <w:kern w:val="0"/>
          <w:sz w:val="28"/>
          <w:szCs w:val="28"/>
          <w:shd w:val="clear" w:color="050000" w:fill="FFFFFF"/>
        </w:rPr>
        <w:t>万元，主要由以下部分构成：流动资产</w:t>
      </w:r>
      <w:r>
        <w:rPr>
          <w:rFonts w:hint="eastAsia" w:ascii="宋体" w:hAnsi="宋体" w:cs="宋体"/>
          <w:color w:val="444444"/>
          <w:kern w:val="0"/>
          <w:sz w:val="28"/>
          <w:szCs w:val="28"/>
          <w:shd w:val="clear" w:color="050000" w:fill="FFFFFF"/>
          <w:lang w:val="en-US" w:eastAsia="zh-CN"/>
        </w:rPr>
        <w:t>5.64</w:t>
      </w:r>
      <w:r>
        <w:rPr>
          <w:rFonts w:hint="eastAsia" w:ascii="宋体" w:hAnsi="宋体" w:eastAsia="宋体" w:cs="宋体"/>
          <w:color w:val="444444"/>
          <w:kern w:val="0"/>
          <w:sz w:val="28"/>
          <w:szCs w:val="28"/>
          <w:shd w:val="clear" w:color="050000" w:fill="FFFFFF"/>
        </w:rPr>
        <w:t>万元,占资产总额的</w:t>
      </w:r>
      <w:r>
        <w:rPr>
          <w:rFonts w:hint="eastAsia" w:ascii="宋体" w:hAnsi="宋体" w:cs="宋体"/>
          <w:color w:val="444444"/>
          <w:kern w:val="0"/>
          <w:sz w:val="28"/>
          <w:szCs w:val="28"/>
          <w:shd w:val="clear" w:color="050000" w:fill="FFFFFF"/>
          <w:lang w:val="en-US" w:eastAsia="zh-CN"/>
        </w:rPr>
        <w:t>12.94</w:t>
      </w:r>
      <w:r>
        <w:rPr>
          <w:rFonts w:hint="eastAsia" w:ascii="宋体" w:hAnsi="宋体" w:eastAsia="宋体" w:cs="宋体"/>
          <w:color w:val="444444"/>
          <w:kern w:val="0"/>
          <w:sz w:val="28"/>
          <w:szCs w:val="28"/>
          <w:shd w:val="clear" w:color="050000" w:fill="FFFFFF"/>
        </w:rPr>
        <w:t>%,主要</w:t>
      </w:r>
      <w:r>
        <w:rPr>
          <w:rFonts w:hint="eastAsia" w:ascii="宋体" w:hAnsi="宋体" w:cs="宋体"/>
          <w:color w:val="444444"/>
          <w:kern w:val="0"/>
          <w:sz w:val="28"/>
          <w:szCs w:val="28"/>
          <w:shd w:val="clear" w:color="050000" w:fill="FFFFFF"/>
          <w:lang w:eastAsia="zh-CN"/>
        </w:rPr>
        <w:t>为</w:t>
      </w:r>
      <w:r>
        <w:rPr>
          <w:rFonts w:hint="eastAsia" w:ascii="宋体" w:hAnsi="宋体" w:eastAsia="宋体" w:cs="宋体"/>
          <w:color w:val="444444"/>
          <w:kern w:val="0"/>
          <w:sz w:val="28"/>
          <w:szCs w:val="28"/>
          <w:shd w:val="clear" w:color="050000" w:fill="FFFFFF"/>
        </w:rPr>
        <w:t>其他应收款等;固定资产</w:t>
      </w:r>
      <w:r>
        <w:rPr>
          <w:rFonts w:hint="eastAsia" w:ascii="宋体" w:hAnsi="宋体" w:cs="宋体"/>
          <w:color w:val="444444"/>
          <w:kern w:val="0"/>
          <w:sz w:val="28"/>
          <w:szCs w:val="28"/>
          <w:shd w:val="clear" w:color="050000" w:fill="FFFFFF"/>
          <w:lang w:val="en-US" w:eastAsia="zh-CN"/>
        </w:rPr>
        <w:t>37.96</w:t>
      </w:r>
      <w:r>
        <w:rPr>
          <w:rFonts w:hint="eastAsia" w:ascii="宋体" w:hAnsi="宋体" w:eastAsia="宋体" w:cs="宋体"/>
          <w:color w:val="444444"/>
          <w:kern w:val="0"/>
          <w:sz w:val="28"/>
          <w:szCs w:val="28"/>
          <w:shd w:val="clear" w:color="050000" w:fill="FFFFFF"/>
        </w:rPr>
        <w:t>万元,占资产总额的</w:t>
      </w:r>
      <w:r>
        <w:rPr>
          <w:rFonts w:hint="eastAsia" w:ascii="宋体" w:hAnsi="宋体" w:cs="宋体"/>
          <w:color w:val="444444"/>
          <w:kern w:val="0"/>
          <w:sz w:val="28"/>
          <w:szCs w:val="28"/>
          <w:shd w:val="clear" w:color="050000" w:fill="FFFFFF"/>
          <w:lang w:val="en-US" w:eastAsia="zh-CN"/>
        </w:rPr>
        <w:t>87.06</w:t>
      </w:r>
      <w:r>
        <w:rPr>
          <w:rFonts w:hint="eastAsia" w:ascii="宋体" w:hAnsi="宋体" w:eastAsia="宋体" w:cs="宋体"/>
          <w:color w:val="444444"/>
          <w:kern w:val="0"/>
          <w:sz w:val="28"/>
          <w:szCs w:val="28"/>
          <w:shd w:val="clear" w:color="050000" w:fill="FFFFFF"/>
        </w:rPr>
        <w:t>%，主要包括车辆、电脑、打印机、传真机、复印机、办公桌椅、空调等。</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固定资产采购由局办公室和财务科负责，政府集中采购目录及限额以上的采购项目严格按照采购程序报批。日常办公用品坚持按照“统一管理、按需分配、责任到人、物尽其用”的原则，由办公室统一调配，建立台帐，所有固定资产都登记入账，填制实物登记卡片，做到帐卡相符，帐物相符。建立健全财产损坏、损失赔偿制度，对因管理使用不善造成损坏、损失的，要追究管理、使用人员责任，区别情况作出处理。年底对固定资产进行一次全面清查，核准数量，及时作好固定资产价值的增减处理，对盈亏要查明原因，进行认真分析，及时向局党委会报告。</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四、绩效评价工作情况</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根据财政局要求，我局对本单位的预算执行、预算管理、资产管理、绩效管理、职责履行、履职效益等方面进行了自评，形成该评价结论。</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五、综合评价情况及评价结论</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能够按照国家的法律法规加强预算管理，建立健全内控制度，取得了较好的执行效果，认真完成了2021年度的预算和决算工作，财务管理和会计基础工作日益完善。但仍存在部门预算编制不太科学、不太精准，预算管理欠规范等问题，须在今后的工作中加以改进。2021年部门整体支出绩效评价指标评分为95分。</w:t>
      </w:r>
    </w:p>
    <w:p>
      <w:pPr>
        <w:numPr>
          <w:ilvl w:val="0"/>
          <w:numId w:val="2"/>
        </w:num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部门整体支出主要绩效</w:t>
      </w:r>
    </w:p>
    <w:p>
      <w:pPr>
        <w:numPr>
          <w:ilvl w:val="0"/>
          <w:numId w:val="0"/>
        </w:numPr>
        <w:spacing w:line="600" w:lineRule="exact"/>
        <w:rPr>
          <w:rFonts w:hint="eastAsia" w:ascii="宋体" w:hAnsi="宋体" w:cs="宋体"/>
          <w:color w:val="444444"/>
          <w:kern w:val="0"/>
          <w:sz w:val="28"/>
          <w:szCs w:val="28"/>
          <w:shd w:val="clear" w:color="050000" w:fill="FFFFFF"/>
          <w:lang w:val="en-US" w:eastAsia="zh-CN"/>
        </w:rPr>
      </w:pPr>
      <w:r>
        <w:rPr>
          <w:rFonts w:hint="eastAsia" w:ascii="宋体" w:hAnsi="宋体" w:cs="宋体"/>
          <w:color w:val="444444"/>
          <w:kern w:val="0"/>
          <w:sz w:val="28"/>
          <w:szCs w:val="28"/>
          <w:shd w:val="clear" w:color="050000" w:fill="FFFFFF"/>
          <w:lang w:val="en-US" w:eastAsia="zh-CN"/>
        </w:rPr>
        <w:t xml:space="preserve">     （一）深入学习习近平总书记关于应急管理、安全生产、防灾减灾救灾的重要论述。通过党委理论学习中心组、党员干部集中学、自学等方式深入学习习近平总书记关于应急管理、安全生产、防灾减灾救灾重要论述，在各项活动和培训时灌输理念，坚决把思想和行动统一到习近平总书记关于应急管理、安全生产、防灾减灾救灾工作的重要论述和党中央关于应急管理、安全生产、防灾减灾救灾的决策部署上来，进一步增强安全生产、防灾减灾意识，树牢安全发展理念。</w:t>
      </w:r>
    </w:p>
    <w:p>
      <w:pPr>
        <w:numPr>
          <w:ilvl w:val="0"/>
          <w:numId w:val="0"/>
        </w:numPr>
        <w:spacing w:line="600" w:lineRule="exact"/>
        <w:ind w:firstLine="280" w:firstLineChars="100"/>
        <w:rPr>
          <w:rFonts w:hint="eastAsia" w:ascii="宋体" w:hAnsi="宋体" w:cs="宋体"/>
          <w:color w:val="444444"/>
          <w:kern w:val="0"/>
          <w:sz w:val="28"/>
          <w:szCs w:val="28"/>
          <w:shd w:val="clear" w:color="050000" w:fill="FFFFFF"/>
          <w:lang w:val="en-US" w:eastAsia="zh-CN"/>
        </w:rPr>
      </w:pPr>
      <w:r>
        <w:rPr>
          <w:rFonts w:hint="eastAsia" w:ascii="宋体" w:hAnsi="宋体" w:cs="宋体"/>
          <w:color w:val="444444"/>
          <w:kern w:val="0"/>
          <w:sz w:val="28"/>
          <w:szCs w:val="28"/>
          <w:shd w:val="clear" w:color="050000" w:fill="FFFFFF"/>
          <w:lang w:val="en-US" w:eastAsia="zh-CN"/>
        </w:rPr>
        <w:t>（二）安全生产监管执法抓细抓严。坚持安全生产党政同责、一岗双责，全面落实安全生产责任制，坚持实行安全生产区长值周制。结合安全生产专项整治三年行动，深入开展“管行业必须管安全”百日行动、打非治违、交通顽瘴痼疾“亮剑”行动、有限空间专项整治和厂房消防安全专项整治行动，全力开展“秋季攻势”专项整治行动和岁末年初安全生产百日大会战专项整治行动，针对危险化学品、烟花爆竹、工贸、城市燃气、道路交通、建筑工地、防溺水等重点行业领域开展地毯式摸排，按照区委常委包镇（街道）、副区长按照分管领域分条线、各专业委员会牵头对全区各行业、各重点部位开展了地毯式安全隐患排查，举行集中销毁非法违法烟花爆竹制品行动，销毁非法烟花爆竹制品1000余件。组织开展《新安全生产法》宣贯活动，发放《领导干部安全生产工作手册》口袋书。加强重要时间节点特别是庆祝建党100周年特护期、国庆、党代会期间的安保值班值守工作，严防死守，严阵以待，力保平安。今年以来全区未发生较大及以上生产安全事故和非生产经营性事故，安全生产形势总体平稳。</w:t>
      </w:r>
    </w:p>
    <w:p>
      <w:pPr>
        <w:numPr>
          <w:ilvl w:val="0"/>
          <w:numId w:val="0"/>
        </w:numPr>
        <w:spacing w:line="600" w:lineRule="exact"/>
        <w:ind w:firstLine="280" w:firstLineChars="100"/>
        <w:rPr>
          <w:rFonts w:hint="eastAsia" w:ascii="宋体" w:hAnsi="宋体" w:cs="宋体"/>
          <w:color w:val="444444"/>
          <w:kern w:val="0"/>
          <w:sz w:val="28"/>
          <w:szCs w:val="28"/>
          <w:shd w:val="clear" w:color="050000" w:fill="FFFFFF"/>
          <w:lang w:val="en-US" w:eastAsia="zh-CN"/>
        </w:rPr>
      </w:pPr>
      <w:r>
        <w:rPr>
          <w:rFonts w:hint="eastAsia" w:ascii="宋体" w:hAnsi="宋体" w:cs="宋体"/>
          <w:color w:val="444444"/>
          <w:kern w:val="0"/>
          <w:sz w:val="28"/>
          <w:szCs w:val="28"/>
          <w:shd w:val="clear" w:color="050000" w:fill="FFFFFF"/>
          <w:lang w:val="en-US" w:eastAsia="zh-CN"/>
        </w:rPr>
        <w:t>（三）自然灾害防治和风险普查工作开展有序。防灭火方面，做实预防宣传，严格落实野外火源管理制度，全面开展森林火灾隐患排查；及时补充扑火物资，开展了清明节防火专项演练；防汛方面，汛期前开展了转移安置受困群众、堤坝加固及水上救援演练，主汛期来临后，全区域摸排辖区内河岸塌方、城市内涝、地质灾害、老旧民房及山塘水库，及时消除安全隐患和补充防汛物资；救灾方面，及时解决受灾群众、特困户等弱势群体平稳过渡；地震方面，开展地震防灾宣传，加强地震监测预报；风险普查方面，多次举办普查会议、进行普查培训与宣传，截止目前，自然灾害风险普查应急系统前期准备工作已全部完成，正等待市级质检。</w:t>
      </w:r>
    </w:p>
    <w:p>
      <w:pPr>
        <w:numPr>
          <w:ilvl w:val="0"/>
          <w:numId w:val="0"/>
        </w:numPr>
        <w:spacing w:line="600" w:lineRule="exact"/>
        <w:ind w:firstLine="280" w:firstLineChars="100"/>
        <w:rPr>
          <w:rFonts w:hint="eastAsia" w:ascii="宋体" w:hAnsi="宋体" w:cs="宋体"/>
          <w:color w:val="444444"/>
          <w:kern w:val="0"/>
          <w:sz w:val="28"/>
          <w:szCs w:val="28"/>
          <w:shd w:val="clear" w:color="050000" w:fill="FFFFFF"/>
          <w:lang w:val="en-US" w:eastAsia="zh-CN"/>
        </w:rPr>
      </w:pPr>
      <w:r>
        <w:rPr>
          <w:rFonts w:hint="eastAsia" w:ascii="宋体" w:hAnsi="宋体" w:cs="宋体"/>
          <w:color w:val="444444"/>
          <w:kern w:val="0"/>
          <w:sz w:val="28"/>
          <w:szCs w:val="28"/>
          <w:shd w:val="clear" w:color="050000" w:fill="FFFFFF"/>
          <w:lang w:val="en-US" w:eastAsia="zh-CN"/>
        </w:rPr>
        <w:t>（四）应急管理基础扎实。按照《湖南省关于加强乡（街道）应急能力建设实施方案》，为各镇（街道）配备和及时补充了应急救援装备，目前我区2个镇（街道）应急能力建设已经省厅考核验收通过；成立了北塔区半专业化应急救援队伍，组建了北塔区救援队；组织救援队伍进行应急知识培训，开展各类应急演练活动30余场次；修订并发布了《区级应急救援队伍管理办法（试行）》及《北塔区自然灾害和安全生产类突发事件应急处置暂行办法》；严格落实领导干部带班及24小时应急值班值守制度。</w:t>
      </w:r>
    </w:p>
    <w:p>
      <w:pPr>
        <w:numPr>
          <w:ilvl w:val="0"/>
          <w:numId w:val="0"/>
        </w:numPr>
        <w:spacing w:line="600" w:lineRule="exact"/>
        <w:ind w:firstLine="280" w:firstLineChars="100"/>
        <w:rPr>
          <w:rFonts w:hint="default" w:ascii="宋体" w:hAnsi="宋体" w:eastAsia="宋体" w:cs="宋体"/>
          <w:color w:val="444444"/>
          <w:kern w:val="0"/>
          <w:sz w:val="28"/>
          <w:szCs w:val="28"/>
          <w:shd w:val="clear" w:color="050000" w:fill="FFFFFF"/>
          <w:lang w:val="en-US" w:eastAsia="zh-CN"/>
        </w:rPr>
      </w:pPr>
      <w:r>
        <w:rPr>
          <w:rFonts w:hint="eastAsia" w:ascii="宋体" w:hAnsi="宋体" w:cs="宋体"/>
          <w:color w:val="444444"/>
          <w:kern w:val="0"/>
          <w:sz w:val="28"/>
          <w:szCs w:val="28"/>
          <w:shd w:val="clear" w:color="050000" w:fill="FFFFFF"/>
          <w:lang w:val="en-US" w:eastAsia="zh-CN"/>
        </w:rPr>
        <w:t>（五）安全知识宣传点多面广。安全知识进入了企业、学校、乡村、社区、家庭；举办了全区烟花爆竹经营单位安全知识培训班、落实企业安全生产主体责任专项培训班、安全生产监管和应急管理业务知识培训班、防汛抢险及森林防灭火知识培训班等各类安全生产专题培训；开展了“5·12”防灾减灾日、“安全生产月”、“10·13国际减灾日”等集中宣传活动。</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七、存在的问题</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预算一体化处于实施的初级阶段，预算更加注重资金预算绩效管理，绩效管理体系不够完善，绩效指标填报精准度有待提高。</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预算编制及执行存在偏差，预算执行率有待提高。年初预算与年末决算支出存在差异，因单位职能较多，工作任务繁重，应急项目增加，中央、省以及市项目经费指标有所追加，预算执行率有待进一步提高。</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八、改进措施和有关建议</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（一）做好年度预算编制，规范资金管理，完善财务制度，强化预算执行。</w:t>
      </w:r>
    </w:p>
    <w:p>
      <w:pPr>
        <w:spacing w:line="600" w:lineRule="exact"/>
        <w:ind w:firstLine="560" w:firstLineChars="200"/>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（二）加强培训，提高财务人员的工作水平。</w:t>
      </w:r>
    </w:p>
    <w:p>
      <w:pPr>
        <w:spacing w:line="600" w:lineRule="exact"/>
        <w:rPr>
          <w:rFonts w:hint="eastAsia" w:ascii="宋体" w:hAnsi="宋体" w:eastAsia="宋体" w:cs="宋体"/>
          <w:kern w:val="0"/>
          <w:sz w:val="28"/>
          <w:szCs w:val="28"/>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ascii="宋体" w:hAnsi="宋体" w:cs="宋体"/>
          <w:kern w:val="0"/>
          <w:sz w:val="32"/>
          <w:szCs w:val="32"/>
        </w:rPr>
      </w:pPr>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5"/>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2</w:t>
            </w: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851"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年行政事业单位资产报表的，每延迟一天，扣1分，扣完为止。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472" w:type="dxa"/>
            <w:vAlign w:val="center"/>
          </w:tcPr>
          <w:p>
            <w:pPr>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vAlign w:val="center"/>
          </w:tcPr>
          <w:p>
            <w:pPr>
              <w:autoSpaceDN w:val="0"/>
              <w:jc w:val="left"/>
              <w:textAlignment w:val="center"/>
              <w:rPr>
                <w:rFonts w:hint="eastAsia" w:ascii="仿宋_GB2312" w:hAnsi="宋体" w:eastAsia="仿宋_GB2312" w:cs="宋体"/>
                <w:kern w:val="0"/>
                <w:sz w:val="20"/>
                <w:szCs w:val="20"/>
              </w:rPr>
            </w:pPr>
          </w:p>
        </w:tc>
        <w:tc>
          <w:tcPr>
            <w:tcW w:w="617" w:type="dxa"/>
            <w:vAlign w:val="center"/>
          </w:tcPr>
          <w:p>
            <w:pPr>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vAlign w:val="center"/>
          </w:tcPr>
          <w:p>
            <w:pPr>
              <w:widowControl/>
              <w:jc w:val="both"/>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vAlign w:val="center"/>
          </w:tcPr>
          <w:p>
            <w:pPr>
              <w:widowControl/>
              <w:jc w:val="both"/>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95</w:t>
            </w:r>
          </w:p>
        </w:tc>
      </w:tr>
    </w:tbl>
    <w:p>
      <w:pPr>
        <w:spacing w:line="600" w:lineRule="exact"/>
        <w:rPr>
          <w:rFonts w:ascii="宋体" w:hAnsi="宋体" w:cs="宋体"/>
          <w:kern w:val="0"/>
          <w:sz w:val="32"/>
          <w:szCs w:val="32"/>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DCE745"/>
    <w:multiLevelType w:val="singleLevel"/>
    <w:tmpl w:val="84DCE745"/>
    <w:lvl w:ilvl="0" w:tentative="0">
      <w:start w:val="3"/>
      <w:numFmt w:val="decimal"/>
      <w:suff w:val="nothing"/>
      <w:lvlText w:val="（%1）"/>
      <w:lvlJc w:val="left"/>
    </w:lvl>
  </w:abstractNum>
  <w:abstractNum w:abstractNumId="1">
    <w:nsid w:val="19ED45D2"/>
    <w:multiLevelType w:val="singleLevel"/>
    <w:tmpl w:val="19ED45D2"/>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mE1NGViNGJmZmRmMzA4YTdmYTU5Y2U4YWFlMWQ1YzgifQ=="/>
  </w:docVars>
  <w:rsids>
    <w:rsidRoot w:val="00000000"/>
    <w:rsid w:val="13FE1EE0"/>
    <w:rsid w:val="166B03F1"/>
    <w:rsid w:val="3A58692D"/>
    <w:rsid w:val="6457118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rPr>
      <w:sz w:val="24"/>
    </w:rPr>
  </w:style>
  <w:style w:type="character" w:styleId="7">
    <w:name w:val="page number"/>
    <w:basedOn w:val="6"/>
    <w:qFormat/>
    <w:uiPriority w:val="0"/>
  </w:style>
  <w:style w:type="character" w:styleId="8">
    <w:name w:val="FollowedHyperlink"/>
    <w:basedOn w:val="6"/>
    <w:qFormat/>
    <w:uiPriority w:val="0"/>
    <w:rPr>
      <w:color w:val="444444"/>
      <w:u w:val="none"/>
    </w:rPr>
  </w:style>
  <w:style w:type="character" w:styleId="9">
    <w:name w:val="Hyperlink"/>
    <w:basedOn w:val="6"/>
    <w:uiPriority w:val="0"/>
    <w:rPr>
      <w:color w:val="444444"/>
      <w:u w:val="none"/>
    </w:rPr>
  </w:style>
  <w:style w:type="character" w:customStyle="1" w:styleId="10">
    <w:name w:val="gai"/>
    <w:basedOn w:val="6"/>
    <w:qFormat/>
    <w:uiPriority w:val="0"/>
  </w:style>
  <w:style w:type="character" w:customStyle="1" w:styleId="11">
    <w:name w:val="gai1"/>
    <w:basedOn w:val="6"/>
    <w:qFormat/>
    <w:uiPriority w:val="0"/>
  </w:style>
  <w:style w:type="character" w:customStyle="1" w:styleId="12">
    <w:name w:val="gai2"/>
    <w:basedOn w:val="6"/>
    <w:qFormat/>
    <w:uiPriority w:val="0"/>
  </w:style>
  <w:style w:type="character" w:customStyle="1" w:styleId="13">
    <w:name w:val="gai3"/>
    <w:basedOn w:val="6"/>
    <w:qFormat/>
    <w:uiPriority w:val="0"/>
  </w:style>
  <w:style w:type="character" w:customStyle="1" w:styleId="14">
    <w:name w:val="gai4"/>
    <w:basedOn w:val="6"/>
    <w:qFormat/>
    <w:uiPriority w:val="0"/>
  </w:style>
  <w:style w:type="character" w:customStyle="1" w:styleId="15">
    <w:name w:val="you"/>
    <w:basedOn w:val="6"/>
    <w:qFormat/>
    <w:uiPriority w:val="0"/>
  </w:style>
  <w:style w:type="character" w:customStyle="1" w:styleId="16">
    <w:name w:val="info-valid"/>
    <w:basedOn w:val="6"/>
    <w:qFormat/>
    <w:uiPriority w:val="0"/>
    <w:rPr>
      <w:color w:val="444444"/>
    </w:rPr>
  </w:style>
  <w:style w:type="character" w:customStyle="1" w:styleId="17">
    <w:name w:val="tit2"/>
    <w:basedOn w:val="6"/>
    <w:qFormat/>
    <w:uiPriority w:val="0"/>
    <w:rPr>
      <w:color w:val="1D0000"/>
      <w:sz w:val="33"/>
      <w:szCs w:val="33"/>
    </w:rPr>
  </w:style>
  <w:style w:type="character" w:customStyle="1" w:styleId="18">
    <w:name w:val="tianqi"/>
    <w:basedOn w:val="6"/>
    <w:qFormat/>
    <w:uiPriority w:val="0"/>
  </w:style>
  <w:style w:type="character" w:customStyle="1" w:styleId="19">
    <w:name w:val="sjzs"/>
    <w:basedOn w:val="6"/>
    <w:qFormat/>
    <w:uiPriority w:val="0"/>
    <w:rPr>
      <w:sz w:val="27"/>
      <w:szCs w:val="27"/>
    </w:rPr>
  </w:style>
  <w:style w:type="character" w:customStyle="1" w:styleId="20">
    <w:name w:val="quanp"/>
    <w:basedOn w:val="6"/>
    <w:qFormat/>
    <w:uiPriority w:val="0"/>
    <w:rPr>
      <w:color w:val="FFFFFF"/>
      <w:shd w:val="clear" w:color="010000" w:fill="7CB8FE"/>
    </w:rPr>
  </w:style>
  <w:style w:type="character" w:customStyle="1" w:styleId="21">
    <w:name w:val="lname"/>
    <w:basedOn w:val="6"/>
    <w:qFormat/>
    <w:uiPriority w:val="0"/>
    <w:rPr>
      <w:color w:val="000000"/>
      <w:sz w:val="30"/>
      <w:szCs w:val="30"/>
    </w:rPr>
  </w:style>
  <w:style w:type="character" w:customStyle="1" w:styleId="22">
    <w:name w:val="first-child4"/>
    <w:basedOn w:val="6"/>
    <w:qFormat/>
    <w:uiPriority w:val="0"/>
    <w:rPr>
      <w:color w:val="BD1B09"/>
    </w:rPr>
  </w:style>
  <w:style w:type="character" w:customStyle="1" w:styleId="23">
    <w:name w:val="first-child5"/>
    <w:basedOn w:val="6"/>
    <w:qFormat/>
    <w:uiPriority w:val="0"/>
    <w:rPr>
      <w:color w:val="878787"/>
      <w:sz w:val="36"/>
      <w:szCs w:val="36"/>
      <w:shd w:val="clear" w:color="030000" w:fill="FFFFFF"/>
    </w:rPr>
  </w:style>
  <w:style w:type="character" w:customStyle="1" w:styleId="24">
    <w:name w:val="ldjs"/>
    <w:basedOn w:val="6"/>
    <w:qFormat/>
    <w:uiPriority w:val="0"/>
    <w:rPr>
      <w:color w:val="666666"/>
      <w:sz w:val="24"/>
      <w:szCs w:val="24"/>
    </w:rPr>
  </w:style>
  <w:style w:type="character" w:customStyle="1" w:styleId="25">
    <w:name w:val="quanp2"/>
    <w:basedOn w:val="6"/>
    <w:qFormat/>
    <w:uiPriority w:val="0"/>
    <w:rPr>
      <w:color w:val="FFFFFF"/>
      <w:sz w:val="16"/>
      <w:szCs w:val="16"/>
      <w:shd w:val="clear" w:color="030000" w:fill="7CB8FE"/>
    </w:rPr>
  </w:style>
  <w:style w:type="character" w:customStyle="1" w:styleId="26">
    <w:name w:val="jiaoluo"/>
    <w:basedOn w:val="6"/>
    <w:qFormat/>
    <w:uiPriority w:val="0"/>
  </w:style>
  <w:style w:type="character" w:customStyle="1" w:styleId="27">
    <w:name w:val="last3"/>
    <w:basedOn w:val="6"/>
    <w:qFormat/>
    <w:uiPriority w:val="0"/>
  </w:style>
  <w:style w:type="character" w:customStyle="1" w:styleId="28">
    <w:name w:val="last4"/>
    <w:basedOn w:val="6"/>
    <w:qFormat/>
    <w:uiPriority w:val="0"/>
  </w:style>
  <w:style w:type="character" w:customStyle="1" w:styleId="29">
    <w:name w:val="fanhui"/>
    <w:basedOn w:val="6"/>
    <w:qFormat/>
    <w:uiPriority w:val="0"/>
    <w:rPr>
      <w:color w:val="FFFFFF"/>
      <w:sz w:val="24"/>
      <w:szCs w:val="24"/>
    </w:rPr>
  </w:style>
  <w:style w:type="character" w:customStyle="1" w:styleId="30">
    <w:name w:val="jiaoluo2"/>
    <w:basedOn w:val="6"/>
    <w:qFormat/>
    <w:uiPriority w:val="0"/>
  </w:style>
  <w:style w:type="character" w:customStyle="1" w:styleId="31">
    <w:name w:val="zuo"/>
    <w:basedOn w:val="6"/>
    <w:qFormat/>
    <w:uiPriority w:val="0"/>
  </w:style>
  <w:style w:type="character" w:customStyle="1" w:styleId="32">
    <w:name w:val="dcs"/>
    <w:basedOn w:val="6"/>
    <w:qFormat/>
    <w:uiPriority w:val="0"/>
    <w:rPr>
      <w:color w:val="BD1B09"/>
    </w:rPr>
  </w:style>
  <w:style w:type="character" w:customStyle="1" w:styleId="33">
    <w:name w:val="time"/>
    <w:basedOn w:val="6"/>
    <w:qFormat/>
    <w:uiPriority w:val="0"/>
    <w:rPr>
      <w:color w:val="999999"/>
    </w:rPr>
  </w:style>
  <w:style w:type="character" w:customStyle="1" w:styleId="34">
    <w:name w:val="time1"/>
    <w:basedOn w:val="6"/>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7583</Words>
  <Characters>7973</Characters>
  <Lines>0</Lines>
  <Paragraphs>0</Paragraphs>
  <TotalTime>7</TotalTime>
  <ScaleCrop>false</ScaleCrop>
  <LinksUpToDate>false</LinksUpToDate>
  <CharactersWithSpaces>8136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Administrator</cp:lastModifiedBy>
  <cp:lastPrinted>2022-10-20T08:07:00Z</cp:lastPrinted>
  <dcterms:modified xsi:type="dcterms:W3CDTF">2023-04-28T01:38:44Z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2F54F18A2CE84DADA1B21E746E2F1685</vt:lpwstr>
  </property>
</Properties>
</file>