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邵阳市北塔区医疗保障局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9"/>
      </w:pPr>
    </w:p>
    <w:p>
      <w:pPr>
        <w:pStyle w:val="9"/>
      </w:pPr>
    </w:p>
    <w:p>
      <w:pPr>
        <w:pStyle w:val="24"/>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both"/>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21"/>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_Toc6886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一、</w:t>
          </w:r>
          <w:r>
            <w:rPr>
              <w:rFonts w:hint="default" w:ascii="Times New Roman" w:hAnsi="Times New Roman" w:eastAsia="仿宋" w:cs="Times New Roman"/>
              <w:bCs/>
              <w:sz w:val="28"/>
              <w:szCs w:val="28"/>
              <w:lang w:val="en-US" w:eastAsia="zh-CN"/>
            </w:rPr>
            <w:t>单位基本情况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_Toc6886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_Toc4096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（一）部门概况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_Toc4096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_Toc19997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（二）主要职责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_Toc19997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_Toc24822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（三）人员情况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_Toc24822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_Toc4237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二、部门整体收支情况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_Toc4237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_Toc6745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（一）资金收入情况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_Toc6745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_Toc111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（二）资金支出情况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_Toc7212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（三）资金管理情况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_Toc7212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_Toc5547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三、制度建设情况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_Toc5547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_Toc24314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（一）内控制度建设情况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_Toc24314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_Toc19926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（二）资产管理制度建设及使用情况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_Toc19926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_Toc7256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（三）政</w:t>
          </w:r>
          <w:r>
            <w:rPr>
              <w:rFonts w:hint="default" w:ascii="Times New Roman" w:hAnsi="Times New Roman" w:eastAsia="仿宋" w:cs="Times New Roman"/>
              <w:bCs/>
              <w:sz w:val="28"/>
              <w:szCs w:val="28"/>
              <w:highlight w:val="none"/>
              <w:lang w:val="en-US" w:eastAsia="zh-CN"/>
            </w:rPr>
            <w:t>府采购制度建设情况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_Toc7256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_Toc11580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四、第三方重点绩效评价工作情况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_Toc11580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_Toc23621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（一）重点绩效评价目的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_Toc23621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_Toc25915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（二）重点绩效评价工作过程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_Toc25915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_Toc5784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五、部门整体支出绩效情况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_Toc5784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_Toc12919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w:t>
          </w:r>
          <w:r>
            <w:rPr>
              <w:rFonts w:hint="default" w:ascii="Times New Roman" w:hAnsi="Times New Roman" w:eastAsia="仿宋" w:cs="Times New Roman"/>
              <w:bCs/>
              <w:sz w:val="28"/>
              <w:szCs w:val="28"/>
              <w:highlight w:val="none"/>
              <w:lang w:val="en-US" w:eastAsia="zh-CN"/>
            </w:rPr>
            <w:t>部门整体实际产出情况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_Toc12919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_Toc13672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w:t>
          </w:r>
          <w:r>
            <w:rPr>
              <w:rFonts w:hint="default" w:ascii="Times New Roman" w:hAnsi="Times New Roman" w:eastAsia="仿宋" w:cs="Times New Roman"/>
              <w:bCs/>
              <w:sz w:val="28"/>
              <w:szCs w:val="28"/>
              <w:highlight w:val="none"/>
              <w:lang w:val="en-US" w:eastAsia="zh-CN"/>
            </w:rPr>
            <w:t>部门整体效益情况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_Toc13672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_Toc9179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（三）部门整体满意度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_Toc9179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_Toc7506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六、综合评价情况及评价结论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_Toc7506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_Toc20026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highlight w:val="none"/>
              <w:lang w:val="en-US" w:eastAsia="zh-CN" w:bidi="ar-SA"/>
            </w:rPr>
            <w:t>七、存在的主要问题</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_Toc20026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_Toc17587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w:t>
          </w:r>
          <w:r>
            <w:rPr>
              <w:rFonts w:hint="eastAsia" w:ascii="Times New Roman" w:hAnsi="Times New Roman" w:eastAsia="仿宋" w:cs="Times New Roman"/>
              <w:bCs/>
              <w:sz w:val="28"/>
              <w:szCs w:val="28"/>
              <w:lang w:val="en-US" w:eastAsia="zh-CN"/>
            </w:rPr>
            <w:t>一</w:t>
          </w:r>
          <w:r>
            <w:rPr>
              <w:rFonts w:hint="default" w:ascii="Times New Roman" w:hAnsi="Times New Roman" w:eastAsia="仿宋" w:cs="Times New Roman"/>
              <w:bCs/>
              <w:sz w:val="28"/>
              <w:szCs w:val="28"/>
              <w:lang w:val="en-US" w:eastAsia="zh-CN"/>
            </w:rPr>
            <w:t>）政府采购方面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_Toc17587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_Toc21027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w:t>
          </w:r>
          <w:r>
            <w:rPr>
              <w:rFonts w:hint="eastAsia" w:ascii="Times New Roman" w:hAnsi="Times New Roman" w:eastAsia="仿宋" w:cs="Times New Roman"/>
              <w:bCs/>
              <w:sz w:val="28"/>
              <w:szCs w:val="28"/>
              <w:lang w:val="en-US" w:eastAsia="zh-CN"/>
            </w:rPr>
            <w:t>二</w:t>
          </w:r>
          <w:r>
            <w:rPr>
              <w:rFonts w:hint="default" w:ascii="Times New Roman" w:hAnsi="Times New Roman" w:eastAsia="仿宋" w:cs="Times New Roman"/>
              <w:bCs/>
              <w:sz w:val="28"/>
              <w:szCs w:val="28"/>
              <w:lang w:val="en-US" w:eastAsia="zh-CN"/>
            </w:rPr>
            <w:t>）资产管理方面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_Toc21027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_Toc26705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八</w:t>
          </w:r>
          <w:r>
            <w:rPr>
              <w:rFonts w:hint="default" w:ascii="Times New Roman" w:hAnsi="Times New Roman" w:eastAsia="仿宋" w:cs="Times New Roman"/>
              <w:bCs/>
              <w:kern w:val="2"/>
              <w:sz w:val="28"/>
              <w:szCs w:val="28"/>
              <w:highlight w:val="none"/>
              <w:lang w:val="en-US" w:eastAsia="zh-CN" w:bidi="ar-SA"/>
            </w:rPr>
            <w:t>、相关建议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_Toc26705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_Toc13883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w:t>
          </w:r>
          <w:r>
            <w:rPr>
              <w:rFonts w:hint="eastAsia" w:ascii="Times New Roman" w:hAnsi="Times New Roman" w:eastAsia="仿宋" w:cs="Times New Roman"/>
              <w:bCs/>
              <w:sz w:val="28"/>
              <w:szCs w:val="28"/>
              <w:lang w:val="en-US" w:eastAsia="zh-CN"/>
            </w:rPr>
            <w:t>一</w:t>
          </w:r>
          <w:r>
            <w:rPr>
              <w:rFonts w:hint="default" w:ascii="Times New Roman" w:hAnsi="Times New Roman" w:eastAsia="仿宋" w:cs="Times New Roman"/>
              <w:bCs/>
              <w:sz w:val="28"/>
              <w:szCs w:val="28"/>
              <w:lang w:val="en-US" w:eastAsia="zh-CN"/>
            </w:rPr>
            <w:t>）加强政府采购管理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_Toc13883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5"/>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_Toc606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w:t>
          </w:r>
          <w:r>
            <w:rPr>
              <w:rFonts w:hint="eastAsia" w:ascii="Times New Roman" w:hAnsi="Times New Roman" w:eastAsia="仿宋" w:cs="Times New Roman"/>
              <w:bCs/>
              <w:sz w:val="28"/>
              <w:szCs w:val="28"/>
              <w:lang w:val="en-US" w:eastAsia="zh-CN"/>
            </w:rPr>
            <w:t>二</w:t>
          </w:r>
          <w:r>
            <w:rPr>
              <w:rFonts w:hint="default" w:ascii="Times New Roman" w:hAnsi="Times New Roman" w:eastAsia="仿宋" w:cs="Times New Roman"/>
              <w:bCs/>
              <w:sz w:val="28"/>
              <w:szCs w:val="28"/>
              <w:lang w:val="en-US" w:eastAsia="zh-CN"/>
            </w:rPr>
            <w:t>）规范资产管理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_Toc606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_Toc18000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九、报告使用情况说明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_Toc18000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仿宋" w:cs="Times New Roman Regular"/>
          <w:b w:val="0"/>
          <w:bCs w:val="0"/>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eastAsia="仿宋" w:cs="Times New Roman Regular"/>
          <w:b w:val="0"/>
          <w:bCs w:val="0"/>
          <w:color w:val="auto"/>
          <w:sz w:val="33"/>
          <w:lang w:val="en-US" w:eastAsia="zh-CN"/>
        </w:rPr>
        <w:t>93</w:t>
      </w:r>
      <w:r>
        <w:rPr>
          <w:rFonts w:hint="default" w:ascii="Times New Roman Regular" w:hAnsi="Times New Roman Regular" w:eastAsia="仿宋" w:cs="Times New Roman Regular"/>
          <w:b/>
          <w:bCs/>
          <w:sz w:val="33"/>
          <w:lang w:val="en-US" w:eastAsia="zh-CN"/>
        </w:rPr>
        <w:t>号</w:t>
      </w:r>
    </w:p>
    <w:p>
      <w:pPr>
        <w:jc w:val="center"/>
        <w:rPr>
          <w:rFonts w:hint="default" w:ascii="Times New Roman Regular" w:hAnsi="Times New Roman Regular" w:eastAsia="仿宋" w:cs="Times New Roman Regular"/>
          <w:sz w:val="33"/>
          <w:lang w:val="en-US" w:eastAsia="zh-CN"/>
        </w:rPr>
      </w:pPr>
    </w:p>
    <w:p>
      <w:pPr>
        <w:jc w:val="center"/>
        <w:rPr>
          <w:rFonts w:hint="eastAsia" w:ascii="Times New Roman Regular" w:hAnsi="Times New Roman Regular" w:eastAsia="方正小标宋简体" w:cs="Times New Roman Regular"/>
          <w:b w:val="0"/>
          <w:bCs w:val="0"/>
          <w:sz w:val="40"/>
          <w:szCs w:val="40"/>
          <w:lang w:val="en-US" w:eastAsia="zh-CN"/>
        </w:rPr>
      </w:pPr>
      <w:r>
        <w:rPr>
          <w:rFonts w:hint="eastAsia" w:ascii="Times New Roman Regular" w:hAnsi="Times New Roman Regular" w:eastAsia="方正小标宋简体" w:cs="Times New Roman Regular"/>
          <w:b w:val="0"/>
          <w:bCs w:val="0"/>
          <w:sz w:val="40"/>
          <w:szCs w:val="40"/>
          <w:lang w:val="en-US" w:eastAsia="zh-CN"/>
        </w:rPr>
        <w:t>邵阳市北塔区医疗保障局</w:t>
      </w:r>
      <w:bookmarkStart w:id="67" w:name="_GoBack"/>
      <w:bookmarkEnd w:id="67"/>
    </w:p>
    <w:p>
      <w:pPr>
        <w:jc w:val="center"/>
        <w:rPr>
          <w:rFonts w:hint="default" w:ascii="Times New Roman Regular" w:hAnsi="Times New Roman Regular" w:eastAsia="宋体" w:cs="Times New Roman Regular"/>
          <w:b w:val="0"/>
          <w:bCs w:val="0"/>
          <w:sz w:val="40"/>
          <w:szCs w:val="40"/>
          <w:lang w:val="en-US" w:eastAsia="zh-CN"/>
        </w:rPr>
      </w:pPr>
      <w:r>
        <w:rPr>
          <w:rFonts w:hint="default" w:ascii="Times New Roman Regular" w:hAnsi="Times New Roman Regular" w:eastAsia="方正小标宋简体" w:cs="Times New Roman Regular"/>
          <w:b w:val="0"/>
          <w:bCs w:val="0"/>
          <w:sz w:val="40"/>
          <w:szCs w:val="40"/>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pStyle w:val="17"/>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default" w:ascii="Times New Roman" w:hAnsi="Times New Roman" w:eastAsia="仿宋" w:cs="Times New Roman"/>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等精神及相关工作要求，受邵阳市北塔区财政局委托，湖南财正会计师事务所（以下简称“我所”）对邵阳市北塔区医疗保障局2022年度部门整体支出开展了绩效评价。现将有关情况报告如下：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default" w:ascii="Times New Roman" w:hAnsi="Times New Roman" w:eastAsia="仿宋" w:cs="Times New Roman"/>
          <w:b/>
          <w:bCs/>
          <w:kern w:val="2"/>
          <w:sz w:val="31"/>
          <w:szCs w:val="31"/>
          <w:lang w:val="en-US" w:eastAsia="zh-CN" w:bidi="ar-SA"/>
        </w:rPr>
        <w:sectPr>
          <w:footerReference r:id="rId3"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23508"/>
      <w:bookmarkStart w:id="1" w:name="_Toc6886"/>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 w:name="_Toc7170"/>
      <w:bookmarkStart w:id="3" w:name="_Toc4096"/>
      <w:r>
        <w:rPr>
          <w:rFonts w:hint="default" w:ascii="Times New Roman Regular" w:hAnsi="Times New Roman Regular" w:eastAsia="楷体" w:cs="Times New Roman Regular"/>
          <w:b/>
          <w:bCs/>
          <w:sz w:val="32"/>
          <w:szCs w:val="32"/>
          <w:lang w:val="en-US" w:eastAsia="zh-CN"/>
        </w:rPr>
        <w:t>（一）部门概况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邵阳市北塔区医疗保障局（以下简称“医疗保障局”）是邵阳市北塔区人民政府直属的正科级公益一类全额拨款事业单位。下设办公室、待遇保障股、医药服务管理股、医药价格和招标采购股、基金监管股5个内部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4" w:name="_Toc19997"/>
      <w:bookmarkStart w:id="5" w:name="_Toc23398"/>
      <w:r>
        <w:rPr>
          <w:rFonts w:hint="default" w:ascii="Times New Roman Regular" w:hAnsi="Times New Roman Regular" w:eastAsia="楷体" w:cs="Times New Roman Regular"/>
          <w:b/>
          <w:bCs/>
          <w:sz w:val="32"/>
          <w:szCs w:val="32"/>
          <w:lang w:val="en-US" w:eastAsia="zh-CN"/>
        </w:rPr>
        <w:t>（二）主要职责</w:t>
      </w:r>
      <w:bookmarkEnd w:id="4"/>
      <w:bookmarkEnd w:id="5"/>
    </w:p>
    <w:p>
      <w:pPr>
        <w:numPr>
          <w:ilvl w:val="0"/>
          <w:numId w:val="0"/>
        </w:numPr>
        <w:ind w:firstLine="640" w:firstLineChars="200"/>
        <w:jc w:val="both"/>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医疗保障局主要职责为：</w:t>
      </w:r>
    </w:p>
    <w:p>
      <w:pPr>
        <w:numPr>
          <w:ilvl w:val="0"/>
          <w:numId w:val="0"/>
        </w:numPr>
        <w:ind w:firstLine="640" w:firstLineChars="200"/>
        <w:jc w:val="both"/>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1"/>
          <w:szCs w:val="31"/>
          <w:lang w:val="en-US" w:eastAsia="zh-CN"/>
        </w:rPr>
        <w:t>贯彻执行国家、省和市关于医疗保险、生育保险、医疗救助等医疗保障制度的法律法规、政策规划和标准</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拟订相关政策、规划和标准，并组织实施</w:t>
      </w:r>
      <w:r>
        <w:rPr>
          <w:rFonts w:hint="eastAsia" w:ascii="Times New Roman Regular" w:hAnsi="Times New Roman Regular" w:eastAsia="仿宋" w:cs="Times New Roman Regular"/>
          <w:b w:val="0"/>
          <w:bCs w:val="0"/>
          <w:sz w:val="31"/>
          <w:szCs w:val="31"/>
          <w:lang w:val="en-US" w:eastAsia="zh-CN"/>
        </w:rPr>
        <w:t>；</w:t>
      </w:r>
    </w:p>
    <w:p>
      <w:pPr>
        <w:numPr>
          <w:ilvl w:val="0"/>
          <w:numId w:val="0"/>
        </w:numPr>
        <w:ind w:firstLine="620" w:firstLineChars="200"/>
        <w:jc w:val="both"/>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2、组织制定并实施全区医疗保障基金监督管理办法，监督管理相关医疗保障基金，建立健全医疗保障基金安全防控机制，推进医疗保障基金支付方式改革；</w:t>
      </w:r>
    </w:p>
    <w:p>
      <w:pPr>
        <w:numPr>
          <w:ilvl w:val="0"/>
          <w:numId w:val="0"/>
        </w:numPr>
        <w:ind w:firstLine="620" w:firstLineChars="200"/>
        <w:jc w:val="both"/>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3、组织制定全区医疗保障筹资和待遇政策，完善动态调整和区域调剂平衡机制，统筹城乡医疗保障待遇标准，建立健全与筹资水平相适应的待遇调整机制，组织拟订并实施长期护理保险制度改革方案；</w:t>
      </w:r>
    </w:p>
    <w:p>
      <w:pPr>
        <w:numPr>
          <w:ilvl w:val="0"/>
          <w:numId w:val="0"/>
        </w:numPr>
        <w:ind w:firstLine="620" w:firstLineChars="200"/>
        <w:jc w:val="both"/>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4、组织实施全区城乡统一的药品、医用耗材、医疗服务项目、医疗服务设施等医保目录和支付标准，建立动态调整机制，组织实施医保目录准入相关工作；组织实施全区药品、医用耗材价格和医疗服务项目医疗服务设施收费等政策，建立医保支付医药服务价格合理确定和动态调整机制，推动建立市场主导的社会医药服务价格形成机制，建立价格信息监测和信息发布制度；</w:t>
      </w:r>
    </w:p>
    <w:p>
      <w:pPr>
        <w:numPr>
          <w:ilvl w:val="0"/>
          <w:numId w:val="0"/>
        </w:numPr>
        <w:ind w:firstLine="620" w:firstLineChars="200"/>
        <w:jc w:val="both"/>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5、贯彻落实国家和省市药品、医用耗材的招标采购政策制定全区药品、医用耗材的招标采购政策并监督实施，指导药品医用耗材招标采购平台建设；</w:t>
      </w:r>
    </w:p>
    <w:p>
      <w:pPr>
        <w:numPr>
          <w:ilvl w:val="0"/>
          <w:numId w:val="0"/>
        </w:numPr>
        <w:ind w:firstLine="620" w:firstLineChars="200"/>
        <w:jc w:val="both"/>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6、制定全区定点医药机构协议和支付管理办法并组织实施，建立健全医疗保障信用评价体系和信息披露制度，监督管理纳入医保范围内的医疗服务行为和医疗费用，依法查处医疗保障领域违法违规行为；</w:t>
      </w:r>
    </w:p>
    <w:p>
      <w:pPr>
        <w:numPr>
          <w:ilvl w:val="0"/>
          <w:numId w:val="0"/>
        </w:numPr>
        <w:ind w:firstLine="620" w:firstLineChars="200"/>
        <w:jc w:val="both"/>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7、负责全区医疗保障经办管理、公共服务体系和信息化建设。拟定社会力量参与基本医保经办服务的具体办法并组织实施；</w:t>
      </w:r>
    </w:p>
    <w:p>
      <w:pPr>
        <w:numPr>
          <w:ilvl w:val="0"/>
          <w:numId w:val="0"/>
        </w:numPr>
        <w:ind w:firstLine="620" w:firstLineChars="200"/>
        <w:jc w:val="both"/>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8、指导和监督全区医疗保险、生育保险、医疗救助等医疗保障经办业务工作。组织制定和完善异地就医管理和费用结算政策。建立健全医疗保障关系转移接续制度；</w:t>
      </w:r>
    </w:p>
    <w:p>
      <w:pPr>
        <w:numPr>
          <w:ilvl w:val="0"/>
          <w:numId w:val="0"/>
        </w:numPr>
        <w:ind w:firstLine="620" w:firstLineChars="200"/>
        <w:jc w:val="both"/>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1"/>
          <w:szCs w:val="31"/>
          <w:lang w:val="en-US" w:eastAsia="zh-CN"/>
        </w:rPr>
        <w:t>8、完成区委、区政府交办的其他任务</w:t>
      </w:r>
      <w:r>
        <w:rPr>
          <w:rFonts w:hint="default" w:ascii="Times New Roman Regular" w:hAnsi="Times New Roman Regular" w:eastAsia="仿宋" w:cs="Times New Roman Regular"/>
          <w:b w:val="0"/>
          <w:bCs w:val="0"/>
          <w:sz w:val="31"/>
          <w:szCs w:val="3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6" w:name="_Toc24822"/>
      <w:bookmarkStart w:id="7" w:name="_Toc3110"/>
      <w:r>
        <w:rPr>
          <w:rFonts w:hint="default" w:ascii="Times New Roman Regular" w:hAnsi="Times New Roman Regular" w:eastAsia="楷体" w:cs="Times New Roman Regular"/>
          <w:b/>
          <w:bCs/>
          <w:sz w:val="32"/>
          <w:szCs w:val="32"/>
          <w:lang w:val="en-US" w:eastAsia="zh-CN"/>
        </w:rPr>
        <w:t>（三）人员情况</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楷体" w:cs="Times New Roman Regular"/>
          <w:b/>
          <w:bCs/>
          <w:color w:val="FF000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eastAsia="zh-CN"/>
        </w:rPr>
        <w:t>实有人员15人</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设主任1名，副主任2名。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楷体" w:cs="Times New Roman Regular"/>
          <w:b/>
          <w:bCs/>
          <w:sz w:val="32"/>
          <w:szCs w:val="32"/>
          <w:lang w:val="en-US" w:eastAsia="zh-CN"/>
        </w:rPr>
      </w:pPr>
      <w:bookmarkStart w:id="8" w:name="_Toc4237"/>
      <w:bookmarkStart w:id="9" w:name="_Toc8464"/>
      <w:r>
        <w:rPr>
          <w:rFonts w:hint="default" w:ascii="Times New Roman Regular" w:hAnsi="Times New Roman Regular" w:eastAsia="黑体" w:cs="Times New Roman Regular"/>
          <w:b/>
          <w:bCs/>
          <w:kern w:val="2"/>
          <w:sz w:val="32"/>
          <w:szCs w:val="32"/>
          <w:lang w:val="en-US" w:eastAsia="zh-CN" w:bidi="ar-SA"/>
        </w:rPr>
        <w:t>二、部门整体收支情况</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0" w:name="_Toc20736"/>
      <w:bookmarkStart w:id="11" w:name="_Toc6745"/>
      <w:r>
        <w:rPr>
          <w:rFonts w:hint="default" w:ascii="Times New Roman Regular" w:hAnsi="Times New Roman Regular" w:eastAsia="楷体" w:cs="Times New Roman Regular"/>
          <w:b/>
          <w:bCs/>
          <w:sz w:val="32"/>
          <w:szCs w:val="32"/>
          <w:lang w:val="en-US" w:eastAsia="zh-CN"/>
        </w:rPr>
        <w:t>（一）资金收入情况</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val="en-US" w:eastAsia="zh-CN"/>
        </w:rPr>
        <w:t>2022年度部门</w:t>
      </w:r>
      <w:r>
        <w:rPr>
          <w:rFonts w:hint="default" w:ascii="Times New Roman Regular" w:hAnsi="Times New Roman Regular" w:eastAsia="仿宋" w:cs="Times New Roman Regular"/>
          <w:b w:val="0"/>
          <w:bCs w:val="0"/>
          <w:sz w:val="32"/>
          <w:szCs w:val="32"/>
          <w:lang w:eastAsia="zh-CN"/>
        </w:rPr>
        <w:t>预</w:t>
      </w:r>
      <w:r>
        <w:rPr>
          <w:rFonts w:hint="default" w:ascii="Times New Roman Regular" w:hAnsi="Times New Roman Regular" w:eastAsia="仿宋" w:cs="Times New Roman Regular"/>
          <w:b w:val="0"/>
          <w:bCs w:val="0"/>
          <w:sz w:val="32"/>
          <w:szCs w:val="32"/>
          <w:lang w:val="en-US" w:eastAsia="zh-CN"/>
        </w:rPr>
        <w:t>决算报表，2022</w:t>
      </w:r>
      <w:r>
        <w:rPr>
          <w:rFonts w:hint="eastAsia" w:ascii="Times New Roman Regular" w:hAnsi="Times New Roman Regular" w:eastAsia="仿宋" w:cs="Times New Roman Regular"/>
          <w:b w:val="0"/>
          <w:bCs w:val="0"/>
          <w:sz w:val="32"/>
          <w:szCs w:val="32"/>
          <w:lang w:val="en-US" w:eastAsia="zh-CN"/>
        </w:rPr>
        <w:t>年度部门收入</w:t>
      </w:r>
      <w:r>
        <w:rPr>
          <w:rFonts w:hint="default" w:ascii="Times New Roman Regular" w:hAnsi="Times New Roman Regular" w:eastAsia="仿宋" w:cs="Times New Roman Regular"/>
          <w:b w:val="0"/>
          <w:bCs w:val="0"/>
          <w:sz w:val="32"/>
          <w:szCs w:val="32"/>
          <w:lang w:eastAsia="zh-CN"/>
        </w:rPr>
        <w:t>预算数为211.16万元，其中：一般公共预算拨款收入211.16万元；</w:t>
      </w:r>
      <w:r>
        <w:rPr>
          <w:rFonts w:hint="eastAsia" w:ascii="Times New Roman Regular" w:hAnsi="Times New Roman Regular" w:eastAsia="仿宋" w:cs="Times New Roman Regular"/>
          <w:b w:val="0"/>
          <w:bCs w:val="0"/>
          <w:sz w:val="32"/>
          <w:szCs w:val="32"/>
          <w:lang w:val="en-US" w:eastAsia="zh-CN"/>
        </w:rPr>
        <w:t>决算数</w:t>
      </w:r>
      <w:r>
        <w:rPr>
          <w:rFonts w:hint="default" w:ascii="Times New Roman Regular" w:hAnsi="Times New Roman Regular" w:eastAsia="仿宋" w:cs="Times New Roman Regular"/>
          <w:b w:val="0"/>
          <w:bCs w:val="0"/>
          <w:sz w:val="32"/>
          <w:szCs w:val="32"/>
          <w:lang w:val="en-US" w:eastAsia="zh-CN"/>
        </w:rPr>
        <w:t>为401.17万元，其中</w:t>
      </w:r>
      <w:r>
        <w:rPr>
          <w:rFonts w:hint="default" w:ascii="Times New Roman Regular" w:hAnsi="Times New Roman Regular" w:eastAsia="仿宋" w:cs="Times New Roman Regular"/>
          <w:b w:val="0"/>
          <w:bCs w:val="0"/>
          <w:sz w:val="32"/>
          <w:szCs w:val="32"/>
          <w:lang w:eastAsia="zh-CN"/>
        </w:rPr>
        <w:t>：</w:t>
      </w:r>
      <w:r>
        <w:rPr>
          <w:rFonts w:hint="default" w:ascii="Times New Roman Regular" w:hAnsi="Times New Roman Regular" w:eastAsia="仿宋" w:cs="Times New Roman Regular"/>
          <w:b w:val="0"/>
          <w:bCs w:val="0"/>
          <w:sz w:val="32"/>
          <w:szCs w:val="32"/>
          <w:lang w:val="en-US" w:eastAsia="zh-CN"/>
        </w:rPr>
        <w:t>一般公共预算财政拨款收入321.52万元、其他收入79.65万元</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2" w:name="_Toc111"/>
      <w:bookmarkStart w:id="13" w:name="_Toc2199"/>
      <w:r>
        <w:rPr>
          <w:rFonts w:hint="default" w:ascii="Times New Roman Regular" w:hAnsi="Times New Roman Regular" w:eastAsia="楷体" w:cs="Times New Roman Regular"/>
          <w:b/>
          <w:bCs/>
          <w:sz w:val="32"/>
          <w:szCs w:val="32"/>
          <w:lang w:val="en-US" w:eastAsia="zh-CN"/>
        </w:rPr>
        <w:t>（二）资金</w:t>
      </w:r>
      <w:r>
        <w:rPr>
          <w:rFonts w:hint="eastAsia" w:ascii="Times New Roman Regular" w:hAnsi="Times New Roman Regular" w:eastAsia="楷体" w:cs="Times New Roman Regular"/>
          <w:b/>
          <w:bCs/>
          <w:sz w:val="32"/>
          <w:szCs w:val="32"/>
          <w:lang w:val="en-US" w:eastAsia="zh-CN"/>
        </w:rPr>
        <w:t>支出</w:t>
      </w:r>
      <w:r>
        <w:rPr>
          <w:rFonts w:hint="default" w:ascii="Times New Roman Regular" w:hAnsi="Times New Roman Regular" w:eastAsia="楷体" w:cs="Times New Roman Regular"/>
          <w:b/>
          <w:bCs/>
          <w:sz w:val="32"/>
          <w:szCs w:val="32"/>
          <w:lang w:val="en-US" w:eastAsia="zh-CN"/>
        </w:rPr>
        <w:t>情况</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val="en-US" w:eastAsia="zh-CN"/>
        </w:rPr>
        <w:t>2022年度部门决算报表，2022年度共计支出401.17万元，其中：基本支出337.97万元，项目支出63.2万元；年末结转和结余0.00万元。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val="en-US" w:eastAsia="zh-CN"/>
        </w:rPr>
        <w:t>基本支出共计337.97万元，</w:t>
      </w:r>
      <w:r>
        <w:rPr>
          <w:rFonts w:hint="default" w:ascii="Times New Roman Regular" w:hAnsi="Times New Roman Regular" w:eastAsia="仿宋" w:cs="Times New Roman Regular"/>
          <w:b w:val="0"/>
          <w:bCs w:val="0"/>
          <w:color w:val="auto"/>
          <w:sz w:val="32"/>
          <w:szCs w:val="32"/>
          <w:lang w:val="en-US" w:eastAsia="zh-CN"/>
        </w:rPr>
        <w:t>其中</w:t>
      </w:r>
      <w:r>
        <w:rPr>
          <w:rFonts w:hint="eastAsia" w:ascii="Times New Roman Regular" w:hAnsi="Times New Roman Regular" w:eastAsia="仿宋" w:cs="Times New Roman Regular"/>
          <w:b w:val="0"/>
          <w:bCs w:val="0"/>
          <w:color w:val="auto"/>
          <w:sz w:val="32"/>
          <w:szCs w:val="32"/>
          <w:lang w:val="en-US" w:eastAsia="zh-CN"/>
        </w:rPr>
        <w:t>一般公共预算财政拨款支出321.52万元（人员经费183.36万元，公用经费138.16万元）。一般公共预算财政拨款支出中人员经费和公用经费</w:t>
      </w:r>
      <w:r>
        <w:rPr>
          <w:rFonts w:hint="default" w:ascii="Times New Roman Regular" w:hAnsi="Times New Roman Regular" w:eastAsia="仿宋" w:cs="Times New Roman Regular"/>
          <w:b w:val="0"/>
          <w:bCs w:val="0"/>
          <w:color w:val="auto"/>
          <w:sz w:val="32"/>
          <w:szCs w:val="32"/>
          <w:lang w:val="en-US" w:eastAsia="zh-CN"/>
        </w:rPr>
        <w:t>具体明细如下：</w:t>
      </w:r>
    </w:p>
    <w:tbl>
      <w:tblPr>
        <w:tblStyle w:val="21"/>
        <w:tblW w:w="50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56"/>
        <w:gridCol w:w="4990"/>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trPr>
        <w:tc>
          <w:tcPr>
            <w:tcW w:w="804" w:type="pct"/>
            <w:vAlign w:val="top"/>
          </w:tcPr>
          <w:p>
            <w:pPr>
              <w:spacing w:before="61" w:line="221" w:lineRule="auto"/>
              <w:ind w:left="448"/>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5"/>
                <w:sz w:val="24"/>
                <w:szCs w:val="24"/>
              </w:rPr>
              <w:t>序号</w:t>
            </w:r>
          </w:p>
        </w:tc>
        <w:tc>
          <w:tcPr>
            <w:tcW w:w="2959" w:type="pct"/>
            <w:vAlign w:val="top"/>
          </w:tcPr>
          <w:p>
            <w:pPr>
              <w:spacing w:before="61" w:line="220" w:lineRule="auto"/>
              <w:ind w:left="2025"/>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6"/>
                <w:sz w:val="24"/>
                <w:szCs w:val="24"/>
              </w:rPr>
              <w:t>支出项目</w:t>
            </w:r>
          </w:p>
        </w:tc>
        <w:tc>
          <w:tcPr>
            <w:tcW w:w="1235" w:type="pct"/>
            <w:vAlign w:val="top"/>
          </w:tcPr>
          <w:p>
            <w:pPr>
              <w:spacing w:before="60" w:line="219" w:lineRule="auto"/>
              <w:ind w:left="491"/>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4"/>
                <w:sz w:val="24"/>
                <w:szCs w:val="24"/>
              </w:rPr>
              <w:t>金额</w:t>
            </w:r>
            <w:r>
              <w:rPr>
                <w:rFonts w:hint="eastAsia" w:ascii="Times New Roman Regular" w:hAnsi="Times New Roman Regular" w:eastAsia="仿宋" w:cs="Times New Roman Regular"/>
                <w:b/>
                <w:bCs/>
                <w:spacing w:val="4"/>
                <w:sz w:val="24"/>
                <w:szCs w:val="24"/>
                <w:lang w:eastAsia="zh-CN"/>
              </w:rPr>
              <w:t>（</w:t>
            </w:r>
            <w:r>
              <w:rPr>
                <w:rFonts w:hint="default" w:ascii="Times New Roman Regular" w:hAnsi="Times New Roman Regular" w:eastAsia="仿宋" w:cs="Times New Roman Regular"/>
                <w:b/>
                <w:bCs/>
                <w:spacing w:val="4"/>
                <w:sz w:val="24"/>
                <w:szCs w:val="24"/>
              </w:rPr>
              <w:t>万元</w:t>
            </w:r>
            <w:r>
              <w:rPr>
                <w:rFonts w:hint="eastAsia" w:ascii="Times New Roman Regular" w:hAnsi="Times New Roman Regular" w:eastAsia="仿宋" w:cs="Times New Roman Regular"/>
                <w:b/>
                <w:bCs/>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04" w:type="pct"/>
            <w:vAlign w:val="top"/>
          </w:tcPr>
          <w:p>
            <w:pPr>
              <w:jc w:val="center"/>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b/>
                <w:bCs/>
                <w:sz w:val="24"/>
                <w:szCs w:val="24"/>
                <w:lang w:val="en-US" w:eastAsia="zh-CN"/>
              </w:rPr>
              <w:t>一</w:t>
            </w:r>
          </w:p>
        </w:tc>
        <w:tc>
          <w:tcPr>
            <w:tcW w:w="2959" w:type="pct"/>
            <w:vAlign w:val="top"/>
          </w:tcPr>
          <w:p>
            <w:pPr>
              <w:spacing w:before="57" w:line="220" w:lineRule="auto"/>
              <w:ind w:left="2025"/>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5"/>
                <w:sz w:val="24"/>
                <w:szCs w:val="24"/>
              </w:rPr>
              <w:t>人员经费</w:t>
            </w:r>
          </w:p>
        </w:tc>
        <w:tc>
          <w:tcPr>
            <w:tcW w:w="1235" w:type="pct"/>
            <w:vAlign w:val="top"/>
          </w:tcPr>
          <w:p>
            <w:pPr>
              <w:spacing w:before="86" w:line="183" w:lineRule="auto"/>
              <w:jc w:val="center"/>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183.36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04" w:type="pct"/>
            <w:vAlign w:val="top"/>
          </w:tcPr>
          <w:p>
            <w:pPr>
              <w:spacing w:before="124" w:line="184" w:lineRule="auto"/>
              <w:jc w:val="center"/>
              <w:rPr>
                <w:rFonts w:hint="default" w:ascii="Times New Roman Regular" w:hAnsi="Times New Roman Regular" w:eastAsia="仿宋" w:cs="Times New Roman Regular"/>
                <w:sz w:val="24"/>
                <w:szCs w:val="24"/>
                <w:lang w:val="en-US" w:eastAsia="zh-CN"/>
              </w:rPr>
            </w:pPr>
            <w:bookmarkStart w:id="14" w:name="OLE_LINK1" w:colFirst="2" w:colLast="2"/>
            <w:r>
              <w:rPr>
                <w:rFonts w:hint="default" w:ascii="Times New Roman Regular" w:hAnsi="Times New Roman Regular" w:eastAsia="仿宋" w:cs="Times New Roman Regular"/>
                <w:sz w:val="24"/>
                <w:szCs w:val="24"/>
                <w:lang w:val="en-US" w:eastAsia="zh-CN"/>
              </w:rPr>
              <w:t>1</w:t>
            </w:r>
          </w:p>
        </w:tc>
        <w:tc>
          <w:tcPr>
            <w:tcW w:w="2959" w:type="pct"/>
            <w:vAlign w:val="top"/>
          </w:tcPr>
          <w:p>
            <w:pPr>
              <w:spacing w:before="70" w:line="219" w:lineRule="auto"/>
              <w:ind w:left="2022"/>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3"/>
                <w:sz w:val="24"/>
                <w:szCs w:val="24"/>
              </w:rPr>
              <w:t>基本工资</w:t>
            </w:r>
          </w:p>
        </w:tc>
        <w:tc>
          <w:tcPr>
            <w:tcW w:w="1235" w:type="pct"/>
            <w:vAlign w:val="top"/>
          </w:tcPr>
          <w:p>
            <w:pPr>
              <w:spacing w:before="100" w:line="184" w:lineRule="auto"/>
              <w:jc w:val="center"/>
              <w:rPr>
                <w:rFonts w:hint="default" w:ascii="Times New Roman Regular" w:hAnsi="Times New Roman Regular" w:eastAsia="仿宋" w:cs="Times New Roman Regular"/>
                <w:sz w:val="24"/>
                <w:szCs w:val="24"/>
                <w:lang w:eastAsia="zh-CN"/>
              </w:rPr>
            </w:pPr>
            <w:r>
              <w:rPr>
                <w:rFonts w:hint="default" w:ascii="Times New Roman Regular" w:hAnsi="Times New Roman Regular" w:eastAsia="仿宋" w:cs="Times New Roman Regular"/>
                <w:sz w:val="24"/>
                <w:szCs w:val="24"/>
                <w:lang w:eastAsia="zh-CN"/>
              </w:rPr>
              <w:t>64.36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04" w:type="pct"/>
            <w:vAlign w:val="top"/>
          </w:tcPr>
          <w:p>
            <w:pPr>
              <w:spacing w:before="116" w:line="183" w:lineRule="auto"/>
              <w:jc w:val="center"/>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2</w:t>
            </w:r>
          </w:p>
        </w:tc>
        <w:tc>
          <w:tcPr>
            <w:tcW w:w="2959" w:type="pct"/>
            <w:vAlign w:val="top"/>
          </w:tcPr>
          <w:p>
            <w:pPr>
              <w:spacing w:before="62" w:line="219" w:lineRule="auto"/>
              <w:ind w:left="2022"/>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2"/>
                <w:sz w:val="24"/>
                <w:szCs w:val="24"/>
              </w:rPr>
              <w:t>津贴补贴</w:t>
            </w:r>
          </w:p>
        </w:tc>
        <w:tc>
          <w:tcPr>
            <w:tcW w:w="1235" w:type="pct"/>
            <w:vAlign w:val="top"/>
          </w:tcPr>
          <w:p>
            <w:pPr>
              <w:spacing w:before="116" w:line="183"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2"/>
                <w:sz w:val="24"/>
                <w:szCs w:val="24"/>
                <w:lang w:val="en-US" w:eastAsia="zh-CN"/>
              </w:rPr>
              <w:t>34.35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04" w:type="pct"/>
            <w:vAlign w:val="top"/>
          </w:tcPr>
          <w:p>
            <w:pPr>
              <w:spacing w:before="116" w:line="183" w:lineRule="auto"/>
              <w:jc w:val="center"/>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3</w:t>
            </w:r>
          </w:p>
        </w:tc>
        <w:tc>
          <w:tcPr>
            <w:tcW w:w="2959" w:type="pct"/>
            <w:vAlign w:val="top"/>
          </w:tcPr>
          <w:p>
            <w:pPr>
              <w:spacing w:before="62" w:line="219" w:lineRule="auto"/>
              <w:jc w:val="center"/>
              <w:rPr>
                <w:rFonts w:hint="default" w:ascii="Times New Roman Regular" w:hAnsi="Times New Roman Regular" w:eastAsia="仿宋" w:cs="Times New Roman Regular"/>
                <w:snapToGrid w:val="0"/>
                <w:color w:val="000000"/>
                <w:spacing w:val="-2"/>
                <w:kern w:val="0"/>
                <w:sz w:val="24"/>
                <w:szCs w:val="24"/>
                <w:lang w:val="en-US" w:eastAsia="zh-CN"/>
              </w:rPr>
            </w:pPr>
            <w:r>
              <w:rPr>
                <w:rFonts w:hint="default" w:ascii="Times New Roman Regular" w:hAnsi="Times New Roman Regular" w:eastAsia="仿宋" w:cs="Times New Roman Regular"/>
                <w:spacing w:val="-2"/>
                <w:sz w:val="24"/>
                <w:szCs w:val="24"/>
                <w:lang w:val="en-US" w:eastAsia="zh-CN"/>
              </w:rPr>
              <w:t>奖金</w:t>
            </w:r>
          </w:p>
        </w:tc>
        <w:tc>
          <w:tcPr>
            <w:tcW w:w="1235" w:type="pct"/>
            <w:vAlign w:val="top"/>
          </w:tcPr>
          <w:p>
            <w:pPr>
              <w:spacing w:before="116" w:line="183" w:lineRule="auto"/>
              <w:jc w:val="center"/>
              <w:rPr>
                <w:rFonts w:hint="default" w:ascii="Times New Roman Regular" w:hAnsi="Times New Roman Regular" w:eastAsia="仿宋" w:cs="Times New Roman Regular"/>
                <w:snapToGrid w:val="0"/>
                <w:color w:val="000000"/>
                <w:spacing w:val="-2"/>
                <w:kern w:val="0"/>
                <w:sz w:val="24"/>
                <w:szCs w:val="24"/>
                <w:lang w:val="en-US" w:eastAsia="zh-CN"/>
              </w:rPr>
            </w:pPr>
            <w:r>
              <w:rPr>
                <w:rFonts w:hint="eastAsia" w:ascii="Times New Roman Regular" w:hAnsi="Times New Roman Regular" w:eastAsia="仿宋" w:cs="Times New Roman Regular"/>
                <w:spacing w:val="-2"/>
                <w:sz w:val="24"/>
                <w:szCs w:val="24"/>
                <w:lang w:val="en-US" w:eastAsia="zh-CN"/>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04" w:type="pct"/>
            <w:vAlign w:val="top"/>
          </w:tcPr>
          <w:p>
            <w:pPr>
              <w:spacing w:before="118" w:line="183" w:lineRule="auto"/>
              <w:jc w:val="center"/>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4</w:t>
            </w:r>
          </w:p>
        </w:tc>
        <w:tc>
          <w:tcPr>
            <w:tcW w:w="2959" w:type="pct"/>
            <w:vAlign w:val="top"/>
          </w:tcPr>
          <w:p>
            <w:pPr>
              <w:spacing w:before="64" w:line="219" w:lineRule="auto"/>
              <w:ind w:left="1911"/>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2"/>
                <w:sz w:val="24"/>
                <w:szCs w:val="24"/>
              </w:rPr>
              <w:t>伙食补助费</w:t>
            </w:r>
          </w:p>
        </w:tc>
        <w:tc>
          <w:tcPr>
            <w:tcW w:w="1235" w:type="pct"/>
            <w:vAlign w:val="top"/>
          </w:tcPr>
          <w:p>
            <w:pPr>
              <w:spacing w:before="118" w:line="183"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2"/>
                <w:sz w:val="24"/>
                <w:szCs w:val="24"/>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04" w:type="pct"/>
            <w:vAlign w:val="top"/>
          </w:tcPr>
          <w:p>
            <w:pPr>
              <w:spacing w:before="119" w:line="175" w:lineRule="auto"/>
              <w:jc w:val="center"/>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5</w:t>
            </w:r>
          </w:p>
        </w:tc>
        <w:tc>
          <w:tcPr>
            <w:tcW w:w="2959" w:type="pct"/>
            <w:vAlign w:val="top"/>
          </w:tcPr>
          <w:p>
            <w:pPr>
              <w:spacing w:before="64" w:line="219" w:lineRule="auto"/>
              <w:ind w:left="972"/>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机关事业单位基本养老保险缴费</w:t>
            </w:r>
          </w:p>
        </w:tc>
        <w:tc>
          <w:tcPr>
            <w:tcW w:w="1235" w:type="pct"/>
            <w:vAlign w:val="top"/>
          </w:tcPr>
          <w:p>
            <w:pPr>
              <w:spacing w:before="118" w:line="176"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4"/>
                <w:sz w:val="24"/>
                <w:szCs w:val="24"/>
                <w:lang w:val="en-US" w:eastAsia="zh-CN"/>
              </w:rPr>
              <w:t>12.88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04" w:type="pct"/>
            <w:vAlign w:val="top"/>
          </w:tcPr>
          <w:p>
            <w:pPr>
              <w:spacing w:before="131" w:line="182" w:lineRule="auto"/>
              <w:jc w:val="center"/>
              <w:rPr>
                <w:rFonts w:hint="default" w:ascii="Times New Roman Regular" w:hAnsi="Times New Roman Regular" w:eastAsia="仿宋" w:cs="Times New Roman Regular"/>
                <w:kern w:val="2"/>
                <w:sz w:val="24"/>
                <w:szCs w:val="24"/>
                <w:lang w:val="en-US" w:eastAsia="zh-CN" w:bidi="ar-SA"/>
              </w:rPr>
            </w:pPr>
            <w:r>
              <w:rPr>
                <w:rFonts w:hint="default" w:ascii="Times New Roman Regular" w:hAnsi="Times New Roman Regular" w:eastAsia="仿宋" w:cs="Times New Roman Regular"/>
                <w:sz w:val="24"/>
                <w:szCs w:val="24"/>
                <w:lang w:val="en-US" w:eastAsia="zh-CN"/>
              </w:rPr>
              <w:t>6</w:t>
            </w:r>
          </w:p>
        </w:tc>
        <w:tc>
          <w:tcPr>
            <w:tcW w:w="2959" w:type="pct"/>
            <w:vAlign w:val="top"/>
          </w:tcPr>
          <w:p>
            <w:pPr>
              <w:spacing w:before="64" w:line="219" w:lineRule="auto"/>
              <w:ind w:left="972" w:firstLine="708" w:firstLineChars="300"/>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pacing w:val="-2"/>
                <w:sz w:val="24"/>
                <w:szCs w:val="24"/>
                <w:lang w:val="en-US" w:eastAsia="zh-CN"/>
              </w:rPr>
              <w:t>职业年金缴费</w:t>
            </w:r>
          </w:p>
        </w:tc>
        <w:tc>
          <w:tcPr>
            <w:tcW w:w="1235" w:type="pct"/>
            <w:vAlign w:val="top"/>
          </w:tcPr>
          <w:p>
            <w:pPr>
              <w:spacing w:before="118" w:line="176" w:lineRule="auto"/>
              <w:jc w:val="center"/>
              <w:rPr>
                <w:rFonts w:hint="default" w:ascii="Times New Roman Regular" w:hAnsi="Times New Roman Regular" w:eastAsia="仿宋" w:cs="Times New Roman Regular"/>
                <w:spacing w:val="-4"/>
                <w:sz w:val="24"/>
                <w:szCs w:val="24"/>
                <w:lang w:val="en-US" w:eastAsia="zh-CN"/>
              </w:rPr>
            </w:pPr>
            <w:r>
              <w:rPr>
                <w:rFonts w:hint="eastAsia" w:ascii="Times New Roman Regular" w:hAnsi="Times New Roman Regular" w:eastAsia="仿宋" w:cs="Times New Roman Regular"/>
                <w:spacing w:val="-4"/>
                <w:sz w:val="24"/>
                <w:szCs w:val="24"/>
                <w:lang w:val="en-US" w:eastAsia="zh-CN"/>
              </w:rPr>
              <w:t>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31" w:line="182" w:lineRule="auto"/>
              <w:jc w:val="center"/>
              <w:rPr>
                <w:rFonts w:hint="default" w:ascii="Times New Roman Regular" w:hAnsi="Times New Roman Regular" w:eastAsia="仿宋" w:cs="Times New Roman Regular"/>
                <w:kern w:val="2"/>
                <w:sz w:val="24"/>
                <w:szCs w:val="24"/>
                <w:lang w:val="en-US" w:eastAsia="zh-CN" w:bidi="ar-SA"/>
              </w:rPr>
            </w:pPr>
            <w:r>
              <w:rPr>
                <w:rFonts w:hint="default" w:ascii="Times New Roman Regular" w:hAnsi="Times New Roman Regular" w:eastAsia="仿宋" w:cs="Times New Roman Regular"/>
                <w:sz w:val="24"/>
                <w:szCs w:val="24"/>
                <w:lang w:val="en-US" w:eastAsia="zh-CN"/>
              </w:rPr>
              <w:t>7</w:t>
            </w:r>
          </w:p>
        </w:tc>
        <w:tc>
          <w:tcPr>
            <w:tcW w:w="2959" w:type="pct"/>
            <w:vAlign w:val="top"/>
          </w:tcPr>
          <w:p>
            <w:pPr>
              <w:spacing w:before="67" w:line="219" w:lineRule="auto"/>
              <w:ind w:left="14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1"/>
                <w:sz w:val="24"/>
                <w:szCs w:val="24"/>
              </w:rPr>
              <w:t>职工基本医疗保险缴费</w:t>
            </w:r>
          </w:p>
        </w:tc>
        <w:tc>
          <w:tcPr>
            <w:tcW w:w="1235" w:type="pct"/>
            <w:vAlign w:val="top"/>
          </w:tcPr>
          <w:p>
            <w:pPr>
              <w:spacing w:before="130"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31" w:line="182" w:lineRule="auto"/>
              <w:jc w:val="center"/>
              <w:rPr>
                <w:rFonts w:hint="default" w:ascii="Times New Roman Regular" w:hAnsi="Times New Roman Regular" w:eastAsia="仿宋" w:cs="Times New Roman Regular"/>
                <w:kern w:val="2"/>
                <w:sz w:val="24"/>
                <w:szCs w:val="24"/>
                <w:lang w:val="en-US" w:eastAsia="zh-CN" w:bidi="ar-SA"/>
              </w:rPr>
            </w:pPr>
            <w:r>
              <w:rPr>
                <w:rFonts w:hint="default" w:ascii="Times New Roman Regular" w:hAnsi="Times New Roman Regular" w:eastAsia="仿宋" w:cs="Times New Roman Regular"/>
                <w:sz w:val="24"/>
                <w:szCs w:val="24"/>
                <w:lang w:val="en-US" w:eastAsia="zh-CN"/>
              </w:rPr>
              <w:t>8</w:t>
            </w:r>
          </w:p>
        </w:tc>
        <w:tc>
          <w:tcPr>
            <w:tcW w:w="2959" w:type="pct"/>
            <w:vAlign w:val="top"/>
          </w:tcPr>
          <w:p>
            <w:pPr>
              <w:spacing w:before="67" w:line="219" w:lineRule="auto"/>
              <w:jc w:val="center"/>
              <w:rPr>
                <w:rFonts w:hint="default" w:ascii="Times New Roman Regular" w:hAnsi="Times New Roman Regular" w:eastAsia="仿宋" w:cs="Times New Roman Regular"/>
                <w:spacing w:val="1"/>
                <w:sz w:val="24"/>
                <w:szCs w:val="24"/>
              </w:rPr>
            </w:pPr>
            <w:r>
              <w:rPr>
                <w:rFonts w:hint="default" w:ascii="Times New Roman Regular" w:hAnsi="Times New Roman Regular" w:eastAsia="仿宋" w:cs="Times New Roman Regular"/>
                <w:spacing w:val="1"/>
                <w:sz w:val="24"/>
                <w:szCs w:val="24"/>
              </w:rPr>
              <w:t>公务员医疗补助缴费</w:t>
            </w:r>
          </w:p>
        </w:tc>
        <w:tc>
          <w:tcPr>
            <w:tcW w:w="1235" w:type="pct"/>
            <w:vAlign w:val="top"/>
          </w:tcPr>
          <w:p>
            <w:pPr>
              <w:spacing w:before="130"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31" w:line="182" w:lineRule="auto"/>
              <w:jc w:val="center"/>
              <w:rPr>
                <w:rFonts w:hint="default" w:ascii="Times New Roman Regular" w:hAnsi="Times New Roman Regular" w:eastAsia="仿宋" w:cs="Times New Roman Regular"/>
                <w:kern w:val="2"/>
                <w:sz w:val="24"/>
                <w:szCs w:val="24"/>
                <w:lang w:val="en-US" w:eastAsia="zh-CN" w:bidi="ar-SA"/>
              </w:rPr>
            </w:pPr>
            <w:r>
              <w:rPr>
                <w:rFonts w:hint="default" w:ascii="Times New Roman Regular" w:hAnsi="Times New Roman Regular" w:eastAsia="仿宋" w:cs="Times New Roman Regular"/>
                <w:sz w:val="24"/>
                <w:szCs w:val="24"/>
                <w:lang w:val="en-US" w:eastAsia="zh-CN"/>
              </w:rPr>
              <w:t>9</w:t>
            </w:r>
          </w:p>
        </w:tc>
        <w:tc>
          <w:tcPr>
            <w:tcW w:w="2959" w:type="pct"/>
            <w:vAlign w:val="top"/>
          </w:tcPr>
          <w:p>
            <w:pPr>
              <w:spacing w:before="68" w:line="219" w:lineRule="auto"/>
              <w:ind w:left="16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1"/>
                <w:sz w:val="24"/>
                <w:szCs w:val="24"/>
              </w:rPr>
              <w:t>其他社会保障缴费</w:t>
            </w:r>
          </w:p>
        </w:tc>
        <w:tc>
          <w:tcPr>
            <w:tcW w:w="1235" w:type="pct"/>
            <w:vAlign w:val="top"/>
          </w:tcPr>
          <w:p>
            <w:pPr>
              <w:spacing w:before="130"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31" w:line="182" w:lineRule="auto"/>
              <w:jc w:val="center"/>
              <w:rPr>
                <w:rFonts w:hint="default" w:ascii="Times New Roman Regular" w:hAnsi="Times New Roman Regular" w:eastAsia="仿宋" w:cs="Times New Roman Regular"/>
                <w:kern w:val="2"/>
                <w:sz w:val="24"/>
                <w:szCs w:val="24"/>
                <w:lang w:val="en-US" w:eastAsia="zh-CN" w:bidi="ar-SA"/>
              </w:rPr>
            </w:pPr>
            <w:r>
              <w:rPr>
                <w:rFonts w:hint="default" w:ascii="Times New Roman Regular" w:hAnsi="Times New Roman Regular" w:eastAsia="仿宋" w:cs="Times New Roman Regular"/>
                <w:sz w:val="24"/>
                <w:szCs w:val="24"/>
                <w:lang w:val="en-US" w:eastAsia="zh-CN"/>
              </w:rPr>
              <w:t>10</w:t>
            </w:r>
          </w:p>
        </w:tc>
        <w:tc>
          <w:tcPr>
            <w:tcW w:w="2959" w:type="pct"/>
            <w:vAlign w:val="top"/>
          </w:tcPr>
          <w:p>
            <w:pPr>
              <w:spacing w:before="70" w:line="220" w:lineRule="auto"/>
              <w:ind w:left="19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2"/>
                <w:sz w:val="24"/>
                <w:szCs w:val="24"/>
              </w:rPr>
              <w:t>住房公积金</w:t>
            </w:r>
          </w:p>
        </w:tc>
        <w:tc>
          <w:tcPr>
            <w:tcW w:w="1235" w:type="pct"/>
            <w:vAlign w:val="top"/>
          </w:tcPr>
          <w:p>
            <w:pPr>
              <w:spacing w:before="130"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16.70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31" w:line="182" w:lineRule="auto"/>
              <w:jc w:val="center"/>
              <w:rPr>
                <w:rFonts w:hint="default" w:ascii="Times New Roman Regular" w:hAnsi="Times New Roman Regular" w:eastAsia="仿宋" w:cs="Times New Roman Regular"/>
                <w:kern w:val="2"/>
                <w:sz w:val="24"/>
                <w:szCs w:val="24"/>
                <w:lang w:val="en-US" w:eastAsia="zh-CN" w:bidi="ar-SA"/>
              </w:rPr>
            </w:pPr>
            <w:r>
              <w:rPr>
                <w:rFonts w:hint="default" w:ascii="Times New Roman Regular" w:hAnsi="Times New Roman Regular" w:eastAsia="仿宋" w:cs="Times New Roman Regular"/>
                <w:sz w:val="24"/>
                <w:szCs w:val="24"/>
                <w:lang w:val="en-US" w:eastAsia="zh-CN"/>
              </w:rPr>
              <w:t>11</w:t>
            </w:r>
          </w:p>
        </w:tc>
        <w:tc>
          <w:tcPr>
            <w:tcW w:w="2959" w:type="pct"/>
            <w:vAlign w:val="top"/>
          </w:tcPr>
          <w:p>
            <w:pPr>
              <w:spacing w:before="71" w:line="219" w:lineRule="auto"/>
              <w:jc w:val="center"/>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napToGrid w:val="0"/>
                <w:color w:val="000000"/>
                <w:kern w:val="0"/>
                <w:sz w:val="24"/>
                <w:szCs w:val="24"/>
              </w:rPr>
              <w:t>其他工资福利支出</w:t>
            </w:r>
          </w:p>
        </w:tc>
        <w:tc>
          <w:tcPr>
            <w:tcW w:w="1235" w:type="pct"/>
            <w:vAlign w:val="top"/>
          </w:tcPr>
          <w:p>
            <w:pPr>
              <w:spacing w:before="130"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31" w:line="182"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12</w:t>
            </w:r>
          </w:p>
        </w:tc>
        <w:tc>
          <w:tcPr>
            <w:tcW w:w="2959" w:type="pct"/>
            <w:vAlign w:val="top"/>
          </w:tcPr>
          <w:p>
            <w:pPr>
              <w:spacing w:before="76" w:line="219" w:lineRule="auto"/>
              <w:jc w:val="center"/>
              <w:rPr>
                <w:rFonts w:hint="default" w:ascii="Times New Roman Regular" w:hAnsi="Times New Roman Regular" w:eastAsia="仿宋" w:cs="Times New Roman Regular"/>
                <w:spacing w:val="2"/>
                <w:sz w:val="24"/>
                <w:szCs w:val="24"/>
              </w:rPr>
            </w:pPr>
            <w:r>
              <w:rPr>
                <w:rFonts w:hint="default" w:ascii="Times New Roman Regular" w:hAnsi="Times New Roman Regular" w:eastAsia="仿宋" w:cs="Times New Roman Regular"/>
                <w:spacing w:val="2"/>
                <w:sz w:val="24"/>
                <w:szCs w:val="24"/>
              </w:rPr>
              <w:t>对个人和家庭的补助支出</w:t>
            </w:r>
          </w:p>
        </w:tc>
        <w:tc>
          <w:tcPr>
            <w:tcW w:w="1235" w:type="pct"/>
            <w:vAlign w:val="top"/>
          </w:tcPr>
          <w:p>
            <w:pPr>
              <w:spacing w:before="130"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51" w:line="178" w:lineRule="exact"/>
              <w:ind w:left="524" w:leftChars="0"/>
              <w:jc w:val="both"/>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b/>
                <w:bCs/>
                <w:position w:val="-4"/>
                <w:sz w:val="24"/>
                <w:szCs w:val="24"/>
              </w:rPr>
              <w:t>二</w:t>
            </w:r>
          </w:p>
        </w:tc>
        <w:tc>
          <w:tcPr>
            <w:tcW w:w="2959" w:type="pct"/>
            <w:vAlign w:val="top"/>
          </w:tcPr>
          <w:p>
            <w:pPr>
              <w:spacing w:before="70" w:line="220" w:lineRule="auto"/>
              <w:ind w:left="2044"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b/>
                <w:bCs/>
                <w:spacing w:val="-1"/>
                <w:sz w:val="24"/>
                <w:szCs w:val="24"/>
              </w:rPr>
              <w:t>公用经费</w:t>
            </w:r>
          </w:p>
        </w:tc>
        <w:tc>
          <w:tcPr>
            <w:tcW w:w="1235" w:type="pct"/>
            <w:vAlign w:val="top"/>
          </w:tcPr>
          <w:p>
            <w:pPr>
              <w:spacing w:before="121"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b/>
                <w:bCs/>
                <w:spacing w:val="-4"/>
                <w:sz w:val="24"/>
                <w:szCs w:val="24"/>
                <w:lang w:val="en-US" w:eastAsia="zh-CN"/>
              </w:rPr>
              <w:t>138.16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22" w:line="184" w:lineRule="auto"/>
              <w:ind w:left="604" w:leftChars="0"/>
              <w:jc w:val="both"/>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1</w:t>
            </w:r>
          </w:p>
        </w:tc>
        <w:tc>
          <w:tcPr>
            <w:tcW w:w="2959" w:type="pct"/>
            <w:vAlign w:val="top"/>
          </w:tcPr>
          <w:p>
            <w:pPr>
              <w:spacing w:before="72" w:line="219" w:lineRule="auto"/>
              <w:ind w:left="21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办公费</w:t>
            </w:r>
          </w:p>
        </w:tc>
        <w:tc>
          <w:tcPr>
            <w:tcW w:w="1235" w:type="pct"/>
            <w:vAlign w:val="top"/>
          </w:tcPr>
          <w:p>
            <w:pPr>
              <w:spacing w:before="122" w:line="184"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34.54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4" w:type="pct"/>
            <w:vAlign w:val="top"/>
          </w:tcPr>
          <w:p>
            <w:pPr>
              <w:spacing w:before="124" w:line="183" w:lineRule="auto"/>
              <w:ind w:left="604" w:leftChars="0"/>
              <w:jc w:val="both"/>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2</w:t>
            </w:r>
          </w:p>
        </w:tc>
        <w:tc>
          <w:tcPr>
            <w:tcW w:w="2959" w:type="pct"/>
            <w:vAlign w:val="top"/>
          </w:tcPr>
          <w:p>
            <w:pPr>
              <w:spacing w:before="73" w:line="219" w:lineRule="auto"/>
              <w:ind w:left="21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印刷费</w:t>
            </w:r>
          </w:p>
        </w:tc>
        <w:tc>
          <w:tcPr>
            <w:tcW w:w="1235" w:type="pct"/>
            <w:vAlign w:val="top"/>
          </w:tcPr>
          <w:p>
            <w:pPr>
              <w:spacing w:before="124"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16.77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5" w:line="183" w:lineRule="auto"/>
              <w:ind w:left="604" w:leftChars="0"/>
              <w:jc w:val="both"/>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3</w:t>
            </w:r>
          </w:p>
        </w:tc>
        <w:tc>
          <w:tcPr>
            <w:tcW w:w="2959" w:type="pct"/>
            <w:vAlign w:val="top"/>
          </w:tcPr>
          <w:p>
            <w:pPr>
              <w:spacing w:before="74" w:line="219" w:lineRule="auto"/>
              <w:ind w:left="21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水电费</w:t>
            </w:r>
          </w:p>
        </w:tc>
        <w:tc>
          <w:tcPr>
            <w:tcW w:w="1235" w:type="pct"/>
            <w:vAlign w:val="top"/>
          </w:tcPr>
          <w:p>
            <w:pPr>
              <w:spacing w:before="124" w:line="184"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55" w:line="169" w:lineRule="auto"/>
              <w:ind w:left="604" w:leftChars="0"/>
              <w:jc w:val="both"/>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4</w:t>
            </w:r>
          </w:p>
        </w:tc>
        <w:tc>
          <w:tcPr>
            <w:tcW w:w="2959" w:type="pct"/>
            <w:vAlign w:val="top"/>
          </w:tcPr>
          <w:p>
            <w:pPr>
              <w:spacing w:before="74" w:line="219" w:lineRule="auto"/>
              <w:ind w:left="2141" w:leftChars="0"/>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lang w:val="en-US" w:eastAsia="zh-CN"/>
              </w:rPr>
              <w:t>邮电费</w:t>
            </w:r>
          </w:p>
        </w:tc>
        <w:tc>
          <w:tcPr>
            <w:tcW w:w="1235" w:type="pct"/>
            <w:vAlign w:val="top"/>
          </w:tcPr>
          <w:p>
            <w:pPr>
              <w:spacing w:before="124" w:line="184"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27" w:line="182" w:lineRule="auto"/>
              <w:ind w:left="604" w:leftChars="0"/>
              <w:jc w:val="both"/>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5</w:t>
            </w:r>
          </w:p>
        </w:tc>
        <w:tc>
          <w:tcPr>
            <w:tcW w:w="2959" w:type="pct"/>
            <w:vAlign w:val="top"/>
          </w:tcPr>
          <w:p>
            <w:pPr>
              <w:spacing w:before="75" w:line="220" w:lineRule="auto"/>
              <w:ind w:left="21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差旅费</w:t>
            </w:r>
          </w:p>
        </w:tc>
        <w:tc>
          <w:tcPr>
            <w:tcW w:w="1235" w:type="pct"/>
            <w:vAlign w:val="top"/>
          </w:tcPr>
          <w:p>
            <w:pPr>
              <w:spacing w:before="126"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27" w:line="182" w:lineRule="auto"/>
              <w:ind w:left="604" w:leftChars="0"/>
              <w:jc w:val="both"/>
              <w:rPr>
                <w:rFonts w:hint="eastAsia"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6</w:t>
            </w:r>
          </w:p>
        </w:tc>
        <w:tc>
          <w:tcPr>
            <w:tcW w:w="2959" w:type="pct"/>
            <w:vAlign w:val="top"/>
          </w:tcPr>
          <w:p>
            <w:pPr>
              <w:spacing w:before="75" w:line="220" w:lineRule="auto"/>
              <w:ind w:left="2141" w:leftChars="0"/>
              <w:rPr>
                <w:rFonts w:hint="default" w:ascii="Times New Roman Regular" w:hAnsi="Times New Roman Regular" w:eastAsia="仿宋" w:cs="Times New Roman Regular"/>
                <w:spacing w:val="4"/>
                <w:sz w:val="24"/>
                <w:szCs w:val="24"/>
                <w:lang w:val="en-US" w:eastAsia="zh-CN"/>
              </w:rPr>
            </w:pPr>
            <w:r>
              <w:rPr>
                <w:rFonts w:hint="eastAsia" w:ascii="Times New Roman Regular" w:hAnsi="Times New Roman Regular" w:eastAsia="仿宋" w:cs="Times New Roman Regular"/>
                <w:spacing w:val="4"/>
                <w:sz w:val="24"/>
                <w:szCs w:val="24"/>
                <w:lang w:val="en-US" w:eastAsia="zh-CN"/>
              </w:rPr>
              <w:t>维修（护）费</w:t>
            </w:r>
          </w:p>
        </w:tc>
        <w:tc>
          <w:tcPr>
            <w:tcW w:w="1235" w:type="pct"/>
            <w:vAlign w:val="top"/>
          </w:tcPr>
          <w:p>
            <w:pPr>
              <w:spacing w:before="126" w:line="183"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8" w:line="182" w:lineRule="auto"/>
              <w:ind w:left="604" w:leftChars="0"/>
              <w:jc w:val="both"/>
              <w:rPr>
                <w:rFonts w:hint="default" w:ascii="Times New Roman Regular" w:hAnsi="Times New Roman Regular" w:eastAsia="仿宋" w:cs="Times New Roman Regular"/>
                <w:snapToGrid w:val="0"/>
                <w:color w:val="000000"/>
                <w:kern w:val="0"/>
                <w:sz w:val="24"/>
                <w:szCs w:val="24"/>
                <w:lang w:val="en-US" w:eastAsia="zh-CN" w:bidi="ar-SA"/>
              </w:rPr>
            </w:pPr>
            <w:r>
              <w:rPr>
                <w:rFonts w:hint="default" w:ascii="Times New Roman Regular" w:hAnsi="Times New Roman Regular" w:eastAsia="仿宋" w:cs="Times New Roman Regular"/>
                <w:sz w:val="24"/>
                <w:szCs w:val="24"/>
              </w:rPr>
              <w:t>7</w:t>
            </w:r>
          </w:p>
        </w:tc>
        <w:tc>
          <w:tcPr>
            <w:tcW w:w="2959" w:type="pct"/>
            <w:vAlign w:val="top"/>
          </w:tcPr>
          <w:p>
            <w:pPr>
              <w:spacing w:before="77" w:line="219" w:lineRule="auto"/>
              <w:ind w:left="2141" w:leftChars="0"/>
              <w:rPr>
                <w:rFonts w:hint="eastAsia" w:ascii="Times New Roman Regular" w:hAnsi="Times New Roman Regular" w:eastAsia="仿宋" w:cs="Times New Roman Regular"/>
                <w:spacing w:val="4"/>
                <w:sz w:val="24"/>
                <w:szCs w:val="24"/>
                <w:lang w:val="en-US" w:eastAsia="zh-CN"/>
              </w:rPr>
            </w:pPr>
            <w:r>
              <w:rPr>
                <w:rFonts w:hint="eastAsia" w:ascii="Times New Roman Regular" w:hAnsi="Times New Roman Regular" w:eastAsia="仿宋" w:cs="Times New Roman Regular"/>
                <w:spacing w:val="4"/>
                <w:sz w:val="24"/>
                <w:szCs w:val="24"/>
                <w:lang w:val="en-US" w:eastAsia="zh-CN"/>
              </w:rPr>
              <w:t>培训费</w:t>
            </w:r>
          </w:p>
        </w:tc>
        <w:tc>
          <w:tcPr>
            <w:tcW w:w="1235" w:type="pct"/>
            <w:vAlign w:val="top"/>
          </w:tcPr>
          <w:p>
            <w:pPr>
              <w:spacing w:before="127" w:line="184"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27" w:line="183" w:lineRule="auto"/>
              <w:ind w:left="604" w:leftChars="0"/>
              <w:jc w:val="both"/>
              <w:rPr>
                <w:rFonts w:hint="default" w:ascii="Times New Roman Regular" w:hAnsi="Times New Roman Regular" w:eastAsia="仿宋" w:cs="Times New Roman Regular"/>
                <w:snapToGrid w:val="0"/>
                <w:color w:val="000000"/>
                <w:kern w:val="0"/>
                <w:sz w:val="24"/>
                <w:szCs w:val="24"/>
                <w:lang w:val="en-US" w:eastAsia="zh-CN" w:bidi="ar-SA"/>
              </w:rPr>
            </w:pPr>
            <w:r>
              <w:rPr>
                <w:rFonts w:hint="default" w:ascii="Times New Roman Regular" w:hAnsi="Times New Roman Regular" w:eastAsia="仿宋" w:cs="Times New Roman Regular"/>
                <w:sz w:val="24"/>
                <w:szCs w:val="24"/>
              </w:rPr>
              <w:t>8</w:t>
            </w:r>
          </w:p>
        </w:tc>
        <w:tc>
          <w:tcPr>
            <w:tcW w:w="2959" w:type="pct"/>
            <w:vAlign w:val="top"/>
          </w:tcPr>
          <w:p>
            <w:pPr>
              <w:spacing w:before="77" w:line="219" w:lineRule="auto"/>
              <w:ind w:left="21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劳务费</w:t>
            </w:r>
          </w:p>
        </w:tc>
        <w:tc>
          <w:tcPr>
            <w:tcW w:w="1235" w:type="pct"/>
            <w:vAlign w:val="top"/>
          </w:tcPr>
          <w:p>
            <w:pPr>
              <w:spacing w:before="127" w:line="184"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42.08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28" w:line="183" w:lineRule="auto"/>
              <w:ind w:left="604" w:leftChars="0"/>
              <w:jc w:val="both"/>
              <w:rPr>
                <w:rFonts w:hint="default" w:ascii="Times New Roman Regular" w:hAnsi="Times New Roman Regular" w:eastAsia="仿宋" w:cs="Times New Roman Regular"/>
                <w:snapToGrid w:val="0"/>
                <w:color w:val="000000"/>
                <w:kern w:val="0"/>
                <w:sz w:val="24"/>
                <w:szCs w:val="24"/>
                <w:lang w:val="en-US" w:eastAsia="zh-CN" w:bidi="ar-SA"/>
              </w:rPr>
            </w:pPr>
            <w:r>
              <w:rPr>
                <w:rFonts w:hint="default" w:ascii="Times New Roman Regular" w:hAnsi="Times New Roman Regular" w:eastAsia="仿宋" w:cs="Times New Roman Regular"/>
                <w:sz w:val="24"/>
                <w:szCs w:val="24"/>
              </w:rPr>
              <w:t>9</w:t>
            </w:r>
          </w:p>
        </w:tc>
        <w:tc>
          <w:tcPr>
            <w:tcW w:w="2959" w:type="pct"/>
            <w:vAlign w:val="top"/>
          </w:tcPr>
          <w:p>
            <w:pPr>
              <w:spacing w:before="77" w:line="219" w:lineRule="auto"/>
              <w:ind w:left="2141" w:leftChars="0"/>
              <w:rPr>
                <w:rFonts w:hint="eastAsia" w:ascii="Times New Roman Regular" w:hAnsi="Times New Roman Regular" w:eastAsia="仿宋" w:cs="Times New Roman Regular"/>
                <w:spacing w:val="4"/>
                <w:sz w:val="24"/>
                <w:szCs w:val="24"/>
                <w:lang w:val="en-US" w:eastAsia="zh-CN"/>
              </w:rPr>
            </w:pPr>
            <w:r>
              <w:rPr>
                <w:rFonts w:hint="eastAsia" w:ascii="Times New Roman Regular" w:hAnsi="Times New Roman Regular" w:eastAsia="仿宋" w:cs="Times New Roman Regular"/>
                <w:spacing w:val="4"/>
                <w:sz w:val="24"/>
                <w:szCs w:val="24"/>
                <w:lang w:val="en-US" w:eastAsia="zh-CN"/>
              </w:rPr>
              <w:t>委托业务费</w:t>
            </w:r>
          </w:p>
        </w:tc>
        <w:tc>
          <w:tcPr>
            <w:tcW w:w="1235" w:type="pct"/>
            <w:vAlign w:val="top"/>
          </w:tcPr>
          <w:p>
            <w:pPr>
              <w:spacing w:before="127" w:line="184"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19.27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9" w:line="184" w:lineRule="auto"/>
              <w:ind w:left="555" w:leftChars="0"/>
              <w:jc w:val="both"/>
              <w:rPr>
                <w:rFonts w:hint="default" w:ascii="Times New Roman Regular" w:hAnsi="Times New Roman Regular" w:eastAsia="仿宋" w:cs="Times New Roman Regular"/>
                <w:snapToGrid w:val="0"/>
                <w:color w:val="000000"/>
                <w:kern w:val="0"/>
                <w:sz w:val="24"/>
                <w:szCs w:val="24"/>
                <w:lang w:val="en-US" w:eastAsia="zh-CN" w:bidi="ar-SA"/>
              </w:rPr>
            </w:pPr>
            <w:r>
              <w:rPr>
                <w:rFonts w:hint="default" w:ascii="Times New Roman Regular" w:hAnsi="Times New Roman Regular" w:eastAsia="仿宋" w:cs="Times New Roman Regular"/>
                <w:spacing w:val="-6"/>
                <w:sz w:val="24"/>
                <w:szCs w:val="24"/>
                <w:lang w:val="en-US" w:eastAsia="zh-CN"/>
              </w:rPr>
              <w:t>10</w:t>
            </w:r>
          </w:p>
        </w:tc>
        <w:tc>
          <w:tcPr>
            <w:tcW w:w="2959" w:type="pct"/>
            <w:vAlign w:val="top"/>
          </w:tcPr>
          <w:p>
            <w:pPr>
              <w:spacing w:before="64" w:line="219" w:lineRule="auto"/>
              <w:ind w:left="20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3"/>
                <w:sz w:val="24"/>
                <w:szCs w:val="24"/>
              </w:rPr>
              <w:t>工会经费</w:t>
            </w:r>
          </w:p>
        </w:tc>
        <w:tc>
          <w:tcPr>
            <w:tcW w:w="1235" w:type="pct"/>
            <w:vAlign w:val="top"/>
          </w:tcPr>
          <w:p>
            <w:pPr>
              <w:spacing w:before="117"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9" w:line="184" w:lineRule="auto"/>
              <w:ind w:left="555" w:leftChars="0"/>
              <w:jc w:val="both"/>
              <w:rPr>
                <w:rFonts w:hint="default" w:ascii="Times New Roman Regular" w:hAnsi="Times New Roman Regular" w:eastAsia="仿宋" w:cs="Times New Roman Regular"/>
                <w:snapToGrid w:val="0"/>
                <w:color w:val="000000"/>
                <w:spacing w:val="-6"/>
                <w:kern w:val="0"/>
                <w:sz w:val="24"/>
                <w:szCs w:val="24"/>
                <w:lang w:val="en-US" w:eastAsia="zh-CN" w:bidi="ar-SA"/>
              </w:rPr>
            </w:pPr>
            <w:r>
              <w:rPr>
                <w:rFonts w:hint="default" w:ascii="Times New Roman Regular" w:hAnsi="Times New Roman Regular" w:eastAsia="仿宋" w:cs="Times New Roman Regular"/>
                <w:spacing w:val="-6"/>
                <w:sz w:val="24"/>
                <w:szCs w:val="24"/>
                <w:lang w:val="en-US" w:eastAsia="zh-CN"/>
              </w:rPr>
              <w:t>11</w:t>
            </w:r>
          </w:p>
        </w:tc>
        <w:tc>
          <w:tcPr>
            <w:tcW w:w="2959" w:type="pct"/>
            <w:vAlign w:val="top"/>
          </w:tcPr>
          <w:p>
            <w:pPr>
              <w:spacing w:before="76" w:line="220" w:lineRule="auto"/>
              <w:ind w:left="2141" w:leftChars="0"/>
              <w:rPr>
                <w:rFonts w:hint="default" w:ascii="Times New Roman Regular" w:hAnsi="Times New Roman Regular" w:eastAsia="仿宋" w:cs="Times New Roman Regular"/>
                <w:snapToGrid w:val="0"/>
                <w:color w:val="000000"/>
                <w:kern w:val="0"/>
                <w:sz w:val="24"/>
                <w:szCs w:val="24"/>
                <w:lang w:eastAsia="zh-CN"/>
              </w:rPr>
            </w:pPr>
            <w:r>
              <w:rPr>
                <w:rFonts w:hint="default" w:ascii="Times New Roman Regular" w:hAnsi="Times New Roman Regular" w:eastAsia="仿宋" w:cs="Times New Roman Regular"/>
                <w:spacing w:val="4"/>
                <w:sz w:val="24"/>
                <w:szCs w:val="24"/>
                <w:lang w:val="en-US" w:eastAsia="zh-CN"/>
              </w:rPr>
              <w:t>福利费</w:t>
            </w:r>
          </w:p>
        </w:tc>
        <w:tc>
          <w:tcPr>
            <w:tcW w:w="1235" w:type="pct"/>
            <w:vAlign w:val="top"/>
          </w:tcPr>
          <w:p>
            <w:pPr>
              <w:spacing w:before="127"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28"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12</w:t>
            </w:r>
          </w:p>
        </w:tc>
        <w:tc>
          <w:tcPr>
            <w:tcW w:w="2959" w:type="pct"/>
            <w:vAlign w:val="top"/>
          </w:tcPr>
          <w:p>
            <w:pPr>
              <w:spacing w:before="77" w:line="219"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lang w:val="en-US" w:eastAsia="zh-CN"/>
              </w:rPr>
              <w:t>其他交通费用</w:t>
            </w:r>
          </w:p>
        </w:tc>
        <w:tc>
          <w:tcPr>
            <w:tcW w:w="1235" w:type="pct"/>
            <w:vAlign w:val="top"/>
          </w:tcPr>
          <w:p>
            <w:pPr>
              <w:spacing w:before="127" w:line="184"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10.93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9" w:line="184" w:lineRule="auto"/>
              <w:ind w:left="555" w:leftChars="0"/>
              <w:jc w:val="both"/>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pacing w:val="-6"/>
                <w:sz w:val="24"/>
                <w:szCs w:val="24"/>
                <w:lang w:val="en-US" w:eastAsia="zh-CN"/>
              </w:rPr>
              <w:t>13</w:t>
            </w:r>
          </w:p>
        </w:tc>
        <w:tc>
          <w:tcPr>
            <w:tcW w:w="2959" w:type="pct"/>
            <w:vAlign w:val="top"/>
          </w:tcPr>
          <w:p>
            <w:pPr>
              <w:spacing w:before="69" w:line="219" w:lineRule="auto"/>
              <w:ind w:left="15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2"/>
                <w:sz w:val="24"/>
                <w:szCs w:val="24"/>
              </w:rPr>
              <w:t>其他商品和服务支出</w:t>
            </w:r>
          </w:p>
        </w:tc>
        <w:tc>
          <w:tcPr>
            <w:tcW w:w="1235" w:type="pct"/>
            <w:vAlign w:val="top"/>
          </w:tcPr>
          <w:p>
            <w:pPr>
              <w:spacing w:before="120"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9" w:line="184" w:lineRule="auto"/>
              <w:ind w:left="555" w:leftChars="0"/>
              <w:jc w:val="both"/>
              <w:rPr>
                <w:rFonts w:hint="default" w:ascii="Times New Roman Regular" w:hAnsi="Times New Roman Regular" w:eastAsia="仿宋" w:cs="Times New Roman Regular"/>
                <w:snapToGrid w:val="0"/>
                <w:color w:val="000000"/>
                <w:spacing w:val="-6"/>
                <w:kern w:val="0"/>
                <w:sz w:val="24"/>
                <w:szCs w:val="24"/>
                <w:lang w:val="en-US" w:eastAsia="zh-CN"/>
              </w:rPr>
            </w:pPr>
            <w:r>
              <w:rPr>
                <w:rFonts w:hint="eastAsia" w:ascii="Times New Roman Regular" w:hAnsi="Times New Roman Regular" w:eastAsia="仿宋" w:cs="Times New Roman Regular"/>
                <w:spacing w:val="-6"/>
                <w:sz w:val="24"/>
                <w:szCs w:val="24"/>
                <w:lang w:val="en-US" w:eastAsia="zh-CN"/>
              </w:rPr>
              <w:t>14</w:t>
            </w:r>
          </w:p>
        </w:tc>
        <w:tc>
          <w:tcPr>
            <w:tcW w:w="2959" w:type="pct"/>
            <w:vAlign w:val="top"/>
          </w:tcPr>
          <w:p>
            <w:pPr>
              <w:spacing w:before="69" w:line="219" w:lineRule="auto"/>
              <w:jc w:val="center"/>
              <w:rPr>
                <w:rFonts w:hint="default" w:ascii="Times New Roman Regular" w:hAnsi="Times New Roman Regular" w:eastAsia="仿宋" w:cs="Times New Roman Regular"/>
                <w:snapToGrid w:val="0"/>
                <w:color w:val="000000"/>
                <w:spacing w:val="2"/>
                <w:kern w:val="0"/>
                <w:sz w:val="24"/>
                <w:szCs w:val="24"/>
                <w:lang w:val="en-US" w:eastAsia="zh-CN"/>
              </w:rPr>
            </w:pPr>
            <w:r>
              <w:rPr>
                <w:rFonts w:hint="default" w:ascii="Times New Roman Regular" w:hAnsi="Times New Roman Regular" w:eastAsia="仿宋" w:cs="Times New Roman Regular"/>
                <w:spacing w:val="2"/>
                <w:sz w:val="24"/>
                <w:szCs w:val="24"/>
                <w:lang w:val="en-US" w:eastAsia="zh-CN"/>
              </w:rPr>
              <w:t>办公设备购置</w:t>
            </w:r>
          </w:p>
        </w:tc>
        <w:tc>
          <w:tcPr>
            <w:tcW w:w="1235" w:type="pct"/>
            <w:vAlign w:val="top"/>
          </w:tcPr>
          <w:p>
            <w:pPr>
              <w:spacing w:before="120"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70" w:line="221" w:lineRule="auto"/>
              <w:ind w:left="454" w:leftChars="0"/>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b/>
                <w:bCs/>
                <w:spacing w:val="-3"/>
                <w:sz w:val="24"/>
                <w:szCs w:val="24"/>
              </w:rPr>
              <w:t>合计</w:t>
            </w:r>
          </w:p>
        </w:tc>
        <w:tc>
          <w:tcPr>
            <w:tcW w:w="2959" w:type="pct"/>
            <w:vAlign w:val="top"/>
          </w:tcPr>
          <w:p>
            <w:pPr>
              <w:rPr>
                <w:rFonts w:hint="default" w:ascii="Times New Roman Regular" w:hAnsi="Times New Roman Regular" w:eastAsia="仿宋" w:cs="Times New Roman Regular"/>
                <w:snapToGrid w:val="0"/>
                <w:color w:val="000000"/>
                <w:kern w:val="0"/>
                <w:sz w:val="24"/>
                <w:szCs w:val="24"/>
              </w:rPr>
            </w:pPr>
          </w:p>
        </w:tc>
        <w:tc>
          <w:tcPr>
            <w:tcW w:w="1235" w:type="pct"/>
            <w:vAlign w:val="top"/>
          </w:tcPr>
          <w:p>
            <w:pPr>
              <w:spacing w:before="93" w:line="184"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napToGrid w:val="0"/>
                <w:color w:val="000000"/>
                <w:kern w:val="0"/>
                <w:sz w:val="24"/>
                <w:szCs w:val="24"/>
                <w:lang w:val="en-US" w:eastAsia="zh-CN"/>
              </w:rPr>
              <w:t>321.52</w:t>
            </w:r>
          </w:p>
        </w:tc>
      </w:tr>
      <w:bookmarkEnd w:id="14"/>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val="en-US" w:eastAsia="zh-CN"/>
        </w:rPr>
        <w:t>2022年度部门决算报表，2022年</w:t>
      </w:r>
      <w:r>
        <w:rPr>
          <w:rFonts w:hint="eastAsia" w:ascii="仿宋" w:hAnsi="仿宋" w:eastAsia="仿宋" w:cs="仿宋"/>
          <w:b w:val="0"/>
          <w:bCs w:val="0"/>
          <w:sz w:val="32"/>
          <w:szCs w:val="32"/>
          <w:lang w:val="en-US" w:eastAsia="zh-CN"/>
        </w:rPr>
        <w:t>“三公经费”</w:t>
      </w:r>
      <w:r>
        <w:rPr>
          <w:rFonts w:hint="default" w:ascii="Times New Roman" w:hAnsi="Times New Roman" w:eastAsia="仿宋" w:cs="Times New Roman"/>
          <w:b w:val="0"/>
          <w:bCs w:val="0"/>
          <w:sz w:val="32"/>
          <w:szCs w:val="32"/>
          <w:lang w:val="en-US" w:eastAsia="zh-CN"/>
        </w:rPr>
        <w:t>年初预算数为</w:t>
      </w:r>
      <w:r>
        <w:rPr>
          <w:rFonts w:hint="eastAsia" w:ascii="Times New Roman" w:hAnsi="Times New Roman" w:eastAsia="仿宋" w:cs="Times New Roman"/>
          <w:b w:val="0"/>
          <w:bCs w:val="0"/>
          <w:sz w:val="32"/>
          <w:szCs w:val="32"/>
          <w:lang w:val="en-US" w:eastAsia="zh-CN"/>
        </w:rPr>
        <w:t>0.00</w:t>
      </w:r>
      <w:r>
        <w:rPr>
          <w:rFonts w:hint="default" w:ascii="Times New Roman" w:hAnsi="Times New Roman" w:eastAsia="仿宋" w:cs="Times New Roman"/>
          <w:b w:val="0"/>
          <w:bCs w:val="0"/>
          <w:sz w:val="32"/>
          <w:szCs w:val="32"/>
          <w:lang w:val="en-US" w:eastAsia="zh-CN"/>
        </w:rPr>
        <w:t>万元</w:t>
      </w:r>
      <w:r>
        <w:rPr>
          <w:rFonts w:hint="default" w:ascii="Times New Roman" w:hAnsi="Times New Roman" w:eastAsia="仿宋" w:cs="Times New Roman"/>
          <w:b w:val="0"/>
          <w:bCs w:val="0"/>
          <w:color w:val="auto"/>
          <w:sz w:val="32"/>
          <w:szCs w:val="32"/>
          <w:lang w:val="en-US" w:eastAsia="zh-CN"/>
        </w:rPr>
        <w:t>，2022年共计支出</w:t>
      </w:r>
      <w:r>
        <w:rPr>
          <w:rFonts w:hint="eastAsia" w:ascii="Times New Roman" w:hAnsi="Times New Roman" w:eastAsia="仿宋" w:cs="Times New Roman"/>
          <w:b w:val="0"/>
          <w:bCs w:val="0"/>
          <w:sz w:val="32"/>
          <w:szCs w:val="32"/>
          <w:lang w:val="en-US" w:eastAsia="zh-CN"/>
        </w:rPr>
        <w:t>0.00</w:t>
      </w:r>
      <w:r>
        <w:rPr>
          <w:rFonts w:hint="default" w:ascii="Times New Roman" w:hAnsi="Times New Roman" w:eastAsia="仿宋" w:cs="Times New Roman"/>
          <w:b w:val="0"/>
          <w:bCs w:val="0"/>
          <w:color w:val="auto"/>
          <w:sz w:val="32"/>
          <w:szCs w:val="32"/>
          <w:lang w:val="en-US" w:eastAsia="zh-CN"/>
        </w:rPr>
        <w:t>万元，无“三公经费”支出。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3、项目支出情况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cs="Times New Roman Regular" w:eastAsiaTheme="minorEastAsia"/>
          <w:color w:val="auto"/>
          <w:kern w:val="2"/>
          <w:sz w:val="32"/>
          <w:szCs w:val="32"/>
          <w:lang w:val="en-US" w:eastAsia="zh-CN" w:bidi="ar-SA"/>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医疗保障局</w:t>
      </w:r>
      <w:r>
        <w:rPr>
          <w:rFonts w:hint="default" w:ascii="Times New Roman Regular" w:hAnsi="Times New Roman Regular" w:eastAsia="仿宋" w:cs="Times New Roman Regular"/>
          <w:b w:val="0"/>
          <w:bCs w:val="0"/>
          <w:color w:val="auto"/>
          <w:sz w:val="32"/>
          <w:szCs w:val="32"/>
          <w:lang w:val="en-US" w:eastAsia="zh-CN"/>
        </w:rPr>
        <w:t>2022年度部门决算报表，2022年度</w:t>
      </w:r>
      <w:r>
        <w:rPr>
          <w:rFonts w:hint="eastAsia" w:ascii="Times New Roman Regular" w:hAnsi="Times New Roman Regular" w:eastAsia="仿宋" w:cs="Times New Roman Regular"/>
          <w:b w:val="0"/>
          <w:bCs w:val="0"/>
          <w:color w:val="auto"/>
          <w:sz w:val="32"/>
          <w:szCs w:val="32"/>
          <w:lang w:val="en-US" w:eastAsia="zh-CN"/>
        </w:rPr>
        <w:t>医疗保障局</w:t>
      </w:r>
      <w:r>
        <w:rPr>
          <w:rFonts w:hint="default" w:ascii="Times New Roman Regular" w:hAnsi="Times New Roman Regular" w:eastAsia="仿宋" w:cs="Times New Roman Regular"/>
          <w:b w:val="0"/>
          <w:bCs w:val="0"/>
          <w:color w:val="auto"/>
          <w:sz w:val="32"/>
          <w:szCs w:val="32"/>
          <w:lang w:val="en-US" w:eastAsia="zh-CN"/>
        </w:rPr>
        <w:t>项目支出共计</w:t>
      </w:r>
      <w:r>
        <w:rPr>
          <w:rFonts w:hint="eastAsia" w:ascii="Times New Roman Regular" w:hAnsi="Times New Roman Regular" w:eastAsia="仿宋" w:cs="Times New Roman Regular"/>
          <w:b w:val="0"/>
          <w:bCs w:val="0"/>
          <w:sz w:val="31"/>
          <w:szCs w:val="31"/>
          <w:lang w:val="en-US" w:eastAsia="zh-CN"/>
        </w:rPr>
        <w:t>63.2</w:t>
      </w:r>
      <w:r>
        <w:rPr>
          <w:rFonts w:hint="default" w:ascii="Times New Roman Regular" w:hAnsi="Times New Roman Regular" w:eastAsia="仿宋" w:cs="Times New Roman Regular"/>
          <w:b w:val="0"/>
          <w:bCs w:val="0"/>
          <w:sz w:val="31"/>
          <w:szCs w:val="31"/>
          <w:lang w:val="en-US" w:eastAsia="zh-CN"/>
        </w:rPr>
        <w:t>万元，</w:t>
      </w:r>
      <w:r>
        <w:rPr>
          <w:rFonts w:hint="eastAsia" w:ascii="Times New Roman Regular" w:hAnsi="Times New Roman Regular" w:eastAsia="仿宋" w:cs="Times New Roman Regular"/>
          <w:b w:val="0"/>
          <w:bCs w:val="0"/>
          <w:sz w:val="31"/>
          <w:szCs w:val="31"/>
          <w:lang w:val="en-US" w:eastAsia="zh-CN"/>
        </w:rPr>
        <w:t>均为其他支出。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5" w:name="_Toc7212"/>
      <w:bookmarkStart w:id="16" w:name="_Toc4432"/>
      <w:r>
        <w:rPr>
          <w:rFonts w:hint="default" w:ascii="Times New Roman Regular" w:hAnsi="Times New Roman Regular" w:eastAsia="楷体" w:cs="Times New Roman Regular"/>
          <w:b/>
          <w:bCs/>
          <w:sz w:val="32"/>
          <w:szCs w:val="32"/>
          <w:lang w:val="en-US" w:eastAsia="zh-CN"/>
        </w:rPr>
        <w:t>（三）资金管理情况</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val="en-US" w:eastAsia="zh-CN"/>
        </w:rPr>
        <w:t>制定了《北塔区医疗保障局财务管理制度</w:t>
      </w:r>
      <w:r>
        <w:rPr>
          <w:rFonts w:hint="eastAsia" w:ascii="Times New Roman Regular" w:hAnsi="Times New Roman Regular" w:eastAsia="仿宋" w:cs="Times New Roman Regular"/>
          <w:b w:val="0"/>
          <w:bCs w:val="0"/>
          <w:sz w:val="32"/>
          <w:szCs w:val="32"/>
          <w:lang w:val="en-US" w:eastAsia="zh-CN"/>
        </w:rPr>
        <w:t>》《北塔区医疗保障局资金管理制度》等制度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从预算管理、收支管理、资产负债管理、财务监督、资金的筹集使用结算监督等方面进行了有关规定，</w:t>
      </w:r>
      <w:r>
        <w:rPr>
          <w:rFonts w:hint="default" w:ascii="Times New Roman Regular" w:hAnsi="Times New Roman Regular" w:eastAsia="仿宋" w:cs="Times New Roman Regular"/>
          <w:b w:val="0"/>
          <w:bCs w:val="0"/>
          <w:sz w:val="32"/>
          <w:szCs w:val="32"/>
          <w:lang w:val="en-US" w:eastAsia="zh-CN"/>
        </w:rPr>
        <w:t>严格按照有关财务制度，加强机关财务管理，节约使用资金，降低行政成本。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17" w:name="_Toc5547"/>
      <w:bookmarkStart w:id="18" w:name="_Toc6041"/>
      <w:r>
        <w:rPr>
          <w:rFonts w:hint="default" w:ascii="Times New Roman Regular" w:hAnsi="Times New Roman Regular" w:eastAsia="黑体" w:cs="Times New Roman Regular"/>
          <w:b/>
          <w:bCs/>
          <w:kern w:val="2"/>
          <w:sz w:val="32"/>
          <w:szCs w:val="32"/>
          <w:lang w:val="en-US" w:eastAsia="zh-CN" w:bidi="ar-SA"/>
        </w:rPr>
        <w:t>三、制度建设情况</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9" w:name="_Toc22164"/>
      <w:bookmarkStart w:id="20" w:name="_Toc2431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内控</w:t>
      </w:r>
      <w:r>
        <w:rPr>
          <w:rFonts w:hint="default" w:ascii="Times New Roman Regular" w:hAnsi="Times New Roman Regular" w:eastAsia="楷体" w:cs="Times New Roman Regular"/>
          <w:b/>
          <w:bCs/>
          <w:sz w:val="32"/>
          <w:szCs w:val="32"/>
          <w:lang w:val="en-US" w:eastAsia="zh-CN"/>
        </w:rPr>
        <w:t>制度建设情况</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val="en-US" w:eastAsia="zh-CN"/>
        </w:rPr>
        <w:t>制定了《北塔区医疗保障局部门管理制度</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北塔区医疗保障局资产管理制度</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北塔区医疗保障局部门监督管理制度》</w:t>
      </w:r>
      <w:r>
        <w:rPr>
          <w:rFonts w:hint="eastAsia" w:ascii="Times New Roman Regular" w:hAnsi="Times New Roman Regular" w:eastAsia="仿宋" w:cs="Times New Roman Regular"/>
          <w:b w:val="0"/>
          <w:bCs w:val="0"/>
          <w:sz w:val="32"/>
          <w:szCs w:val="32"/>
          <w:lang w:val="en-US" w:eastAsia="zh-CN"/>
        </w:rPr>
        <w:t>等制度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主要对</w:t>
      </w:r>
      <w:r>
        <w:rPr>
          <w:rFonts w:hint="default" w:ascii="Times New Roman Regular" w:hAnsi="Times New Roman Regular" w:eastAsia="仿宋" w:cs="Times New Roman Regular"/>
          <w:b w:val="0"/>
          <w:bCs w:val="0"/>
          <w:sz w:val="32"/>
          <w:szCs w:val="32"/>
          <w:lang w:val="en-US" w:eastAsia="zh-CN"/>
        </w:rPr>
        <w:t>部门管理</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资产管理</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监督管理</w:t>
      </w:r>
      <w:r>
        <w:rPr>
          <w:rFonts w:hint="eastAsia" w:ascii="Times New Roman Regular" w:hAnsi="Times New Roman Regular" w:eastAsia="仿宋" w:cs="Times New Roman Regular"/>
          <w:b w:val="0"/>
          <w:bCs w:val="0"/>
          <w:sz w:val="32"/>
          <w:szCs w:val="32"/>
          <w:lang w:val="en-US" w:eastAsia="zh-CN"/>
        </w:rPr>
        <w:t>、财务管理等方面</w:t>
      </w:r>
      <w:r>
        <w:rPr>
          <w:rFonts w:hint="default" w:ascii="Times New Roman Regular" w:hAnsi="Times New Roman Regular" w:eastAsia="仿宋" w:cs="Times New Roman Regular"/>
          <w:b w:val="0"/>
          <w:bCs w:val="0"/>
          <w:sz w:val="32"/>
          <w:szCs w:val="32"/>
          <w:lang w:val="en-US" w:eastAsia="zh-CN"/>
        </w:rPr>
        <w:t>做出了具体规定</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1" w:name="_Toc19087"/>
      <w:bookmarkStart w:id="22" w:name="_Toc19926"/>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）资产管理制度建设及使用情况</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为</w:t>
      </w:r>
      <w:r>
        <w:rPr>
          <w:rFonts w:hint="default" w:ascii="Times New Roman Regular" w:hAnsi="Times New Roman Regular" w:eastAsia="仿宋" w:cs="Times New Roman Regular"/>
          <w:b w:val="0"/>
          <w:bCs w:val="0"/>
          <w:sz w:val="32"/>
          <w:szCs w:val="32"/>
          <w:lang w:val="en-US" w:eastAsia="zh-CN"/>
        </w:rPr>
        <w:t>加强和规范国有资产管理，保障国有资产的安全完整，推进节约型机关建设，根据财政部《行政事业单位国有资产管理暂行办法》和《行政事业单位内部控制规范（试行）》要求，</w:t>
      </w:r>
      <w:r>
        <w:rPr>
          <w:rFonts w:hint="eastAsia" w:ascii="Times New Roman Regular" w:hAnsi="Times New Roman Regular" w:eastAsia="仿宋" w:cs="Times New Roman Regular"/>
          <w:b w:val="0"/>
          <w:bCs w:val="0"/>
          <w:sz w:val="32"/>
          <w:szCs w:val="32"/>
          <w:lang w:val="en-US" w:eastAsia="zh-CN"/>
        </w:rPr>
        <w:t>依据《</w:t>
      </w:r>
      <w:r>
        <w:rPr>
          <w:rFonts w:hint="default" w:ascii="Times New Roman Regular" w:hAnsi="Times New Roman Regular" w:eastAsia="仿宋" w:cs="Times New Roman Regular"/>
          <w:b w:val="0"/>
          <w:bCs w:val="0"/>
          <w:sz w:val="32"/>
          <w:szCs w:val="32"/>
          <w:lang w:val="en-US" w:eastAsia="zh-CN"/>
        </w:rPr>
        <w:t>北塔区医疗保障局资产管理制度</w:t>
      </w:r>
      <w:r>
        <w:rPr>
          <w:rFonts w:hint="eastAsia" w:ascii="Times New Roman Regular" w:hAnsi="Times New Roman Regular" w:eastAsia="仿宋" w:cs="Times New Roman Regular"/>
          <w:b w:val="0"/>
          <w:bCs w:val="0"/>
          <w:sz w:val="32"/>
          <w:szCs w:val="32"/>
          <w:lang w:val="en-US" w:eastAsia="zh-CN"/>
        </w:rPr>
        <w:t>》对有关资产管理进行了规定。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截</w:t>
      </w:r>
      <w:r>
        <w:rPr>
          <w:rFonts w:hint="eastAsia" w:ascii="Times New Roman Regular" w:hAnsi="Times New Roman Regular" w:eastAsia="仿宋" w:cs="Times New Roman Regular"/>
          <w:b w:val="0"/>
          <w:bCs w:val="0"/>
          <w:sz w:val="32"/>
          <w:szCs w:val="32"/>
          <w:lang w:val="en-US" w:eastAsia="zh-CN"/>
        </w:rPr>
        <w:t>至</w:t>
      </w:r>
      <w:r>
        <w:rPr>
          <w:rFonts w:hint="default" w:ascii="Times New Roman Regular" w:hAnsi="Times New Roman Regular" w:eastAsia="仿宋" w:cs="Times New Roman Regular"/>
          <w:b w:val="0"/>
          <w:bCs w:val="0"/>
          <w:sz w:val="32"/>
          <w:szCs w:val="32"/>
          <w:lang w:val="en-US" w:eastAsia="zh-CN"/>
        </w:rPr>
        <w:t>2022年12月31日，</w:t>
      </w: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val="en-US" w:eastAsia="zh-CN"/>
        </w:rPr>
        <w:t>固定资产账面原值</w:t>
      </w:r>
      <w:r>
        <w:rPr>
          <w:rFonts w:hint="eastAsia" w:ascii="Times New Roman Regular" w:hAnsi="Times New Roman Regular" w:eastAsia="仿宋" w:cs="Times New Roman Regular"/>
          <w:b w:val="0"/>
          <w:bCs w:val="0"/>
          <w:sz w:val="32"/>
          <w:szCs w:val="32"/>
          <w:lang w:val="en-US" w:eastAsia="zh-CN"/>
        </w:rPr>
        <w:t>23.11</w:t>
      </w:r>
      <w:r>
        <w:rPr>
          <w:rFonts w:hint="default" w:ascii="Times New Roman Regular" w:hAnsi="Times New Roman Regular" w:eastAsia="仿宋" w:cs="Times New Roman Regular"/>
          <w:b w:val="0"/>
          <w:bCs w:val="0"/>
          <w:sz w:val="32"/>
          <w:szCs w:val="32"/>
          <w:lang w:val="en-US" w:eastAsia="zh-CN"/>
        </w:rPr>
        <w:t>万元。其中：通用设备</w:t>
      </w:r>
      <w:r>
        <w:rPr>
          <w:rFonts w:hint="eastAsia" w:ascii="Times New Roman Regular" w:hAnsi="Times New Roman Regular" w:eastAsia="仿宋" w:cs="Times New Roman Regular"/>
          <w:b w:val="0"/>
          <w:bCs w:val="0"/>
          <w:sz w:val="32"/>
          <w:szCs w:val="32"/>
          <w:lang w:val="en-US" w:eastAsia="zh-CN"/>
        </w:rPr>
        <w:t>17.74</w:t>
      </w:r>
      <w:r>
        <w:rPr>
          <w:rFonts w:hint="default" w:ascii="Times New Roman Regular" w:hAnsi="Times New Roman Regular" w:eastAsia="仿宋" w:cs="Times New Roman Regular"/>
          <w:b w:val="0"/>
          <w:bCs w:val="0"/>
          <w:sz w:val="32"/>
          <w:szCs w:val="32"/>
          <w:lang w:val="en-US" w:eastAsia="zh-CN"/>
        </w:rPr>
        <w:t>万元；家具、用具、装具及动植物</w:t>
      </w:r>
      <w:r>
        <w:rPr>
          <w:rFonts w:hint="eastAsia" w:ascii="Times New Roman Regular" w:hAnsi="Times New Roman Regular" w:eastAsia="仿宋" w:cs="Times New Roman Regular"/>
          <w:b w:val="0"/>
          <w:bCs w:val="0"/>
          <w:sz w:val="32"/>
          <w:szCs w:val="32"/>
          <w:lang w:val="en-US" w:eastAsia="zh-CN"/>
        </w:rPr>
        <w:t>5.37</w:t>
      </w:r>
      <w:r>
        <w:rPr>
          <w:rFonts w:hint="default" w:ascii="Times New Roman Regular" w:hAnsi="Times New Roman Regular" w:eastAsia="仿宋" w:cs="Times New Roman Regular"/>
          <w:b w:val="0"/>
          <w:bCs w:val="0"/>
          <w:sz w:val="32"/>
          <w:szCs w:val="32"/>
          <w:lang w:val="en-US" w:eastAsia="zh-CN"/>
        </w:rPr>
        <w:t>万元。</w:t>
      </w:r>
      <w:r>
        <w:rPr>
          <w:rFonts w:hint="default" w:ascii="Times New Roman Regular" w:hAnsi="Times New Roman Regular" w:eastAsia="仿宋" w:cs="Times New Roman Regular"/>
          <w:b w:val="0"/>
          <w:bCs w:val="0"/>
          <w:color w:val="auto"/>
          <w:sz w:val="32"/>
          <w:szCs w:val="32"/>
          <w:lang w:val="en-US" w:eastAsia="zh-CN"/>
        </w:rPr>
        <w:t>资产在用23.11万元，资产使用率</w:t>
      </w:r>
      <w:r>
        <w:rPr>
          <w:rFonts w:hint="eastAsia" w:ascii="Times New Roman Regular" w:hAnsi="Times New Roman Regular" w:eastAsia="仿宋" w:cs="Times New Roman Regular"/>
          <w:b w:val="0"/>
          <w:bCs w:val="0"/>
          <w:color w:val="auto"/>
          <w:sz w:val="32"/>
          <w:szCs w:val="32"/>
          <w:lang w:val="en-US" w:eastAsia="zh-CN"/>
        </w:rPr>
        <w:t>100</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23" w:name="_Toc10378"/>
      <w:bookmarkStart w:id="24" w:name="_Toc7256"/>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w:t>
      </w:r>
      <w:r>
        <w:rPr>
          <w:rFonts w:hint="default" w:ascii="Times New Roman Regular" w:hAnsi="Times New Roman Regular" w:eastAsia="楷体" w:cs="Times New Roman Regular"/>
          <w:b/>
          <w:bCs/>
          <w:sz w:val="32"/>
          <w:szCs w:val="32"/>
          <w:highlight w:val="none"/>
          <w:lang w:val="en-US" w:eastAsia="zh-CN"/>
        </w:rPr>
        <w:t>府采购制度建设情况</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医疗保障局在《北塔区医疗保障局政府采购制度》中明确了政府采购相关规定</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25" w:name="_Toc11580"/>
      <w:bookmarkStart w:id="26" w:name="_Toc15041"/>
      <w:r>
        <w:rPr>
          <w:rFonts w:hint="default" w:ascii="Times New Roman Regular" w:hAnsi="Times New Roman Regular" w:eastAsia="黑体" w:cs="Times New Roman Regular"/>
          <w:b/>
          <w:bCs/>
          <w:kern w:val="2"/>
          <w:sz w:val="32"/>
          <w:szCs w:val="32"/>
          <w:lang w:val="en-US" w:eastAsia="zh-CN" w:bidi="ar-SA"/>
        </w:rPr>
        <w:t>四、第三方重点绩效评价工作情况</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27" w:name="_Toc12758"/>
      <w:bookmarkStart w:id="28" w:name="_Toc23621"/>
      <w:r>
        <w:rPr>
          <w:rFonts w:hint="default" w:ascii="Times New Roman Regular" w:hAnsi="Times New Roman Regular" w:eastAsia="楷体" w:cs="Times New Roman Regular"/>
          <w:b/>
          <w:bCs/>
          <w:sz w:val="32"/>
          <w:szCs w:val="32"/>
          <w:lang w:val="en-US" w:eastAsia="zh-CN"/>
        </w:rPr>
        <w:t>（一）重点绩效评价目的</w:t>
      </w:r>
      <w:bookmarkEnd w:id="27"/>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9" w:name="_Toc27861"/>
      <w:bookmarkStart w:id="30" w:name="_Toc25915"/>
      <w:r>
        <w:rPr>
          <w:rFonts w:hint="default" w:ascii="Times New Roman Regular" w:hAnsi="Times New Roman Regular" w:eastAsia="楷体" w:cs="Times New Roman Regular"/>
          <w:b/>
          <w:bCs/>
          <w:sz w:val="32"/>
          <w:szCs w:val="32"/>
          <w:lang w:val="en-US" w:eastAsia="zh-CN"/>
        </w:rPr>
        <w:t>（二）重点绩效评价工作过程</w:t>
      </w:r>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w:t>
      </w:r>
      <w:r>
        <w:rPr>
          <w:rFonts w:hint="eastAsia" w:ascii="仿宋_GB2312" w:hAnsi="仿宋_GB2312" w:eastAsia="仿宋_GB2312" w:cs="仿宋_GB2312"/>
          <w:sz w:val="32"/>
          <w:szCs w:val="32"/>
          <w:lang w:val="en-US" w:eastAsia="zh-CN"/>
        </w:rPr>
        <w:t>《湖南省财政厅关于印发〈湖南省预算支出绩效评价管理办法〉的通知》（湘财绩〔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与相关负责人员面对面交谈、现场查看</w:t>
      </w: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31" w:name="_Toc5784"/>
      <w:bookmarkStart w:id="32" w:name="_Toc7889"/>
      <w:r>
        <w:rPr>
          <w:rFonts w:hint="default" w:ascii="Times New Roman Regular" w:hAnsi="Times New Roman Regular" w:eastAsia="黑体" w:cs="Times New Roman Regular"/>
          <w:b/>
          <w:bCs/>
          <w:kern w:val="2"/>
          <w:sz w:val="32"/>
          <w:szCs w:val="32"/>
          <w:lang w:val="en-US" w:eastAsia="zh-CN" w:bidi="ar-SA"/>
        </w:rPr>
        <w:t>五、部门整体支出绩效情况</w:t>
      </w:r>
      <w:bookmarkEnd w:id="31"/>
      <w:bookmarkEnd w:id="32"/>
    </w:p>
    <w:p>
      <w:pPr>
        <w:pStyle w:val="6"/>
        <w:bidi w:val="0"/>
        <w:rPr>
          <w:rFonts w:hint="eastAsia"/>
          <w:lang w:val="en-US" w:eastAsia="zh-CN"/>
        </w:rPr>
      </w:pPr>
      <w:bookmarkStart w:id="33" w:name="_Toc12919"/>
      <w:bookmarkStart w:id="34" w:name="_Toc21733"/>
      <w:r>
        <w:rPr>
          <w:rFonts w:hint="default"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highlight w:val="none"/>
          <w:lang w:val="en-US" w:eastAsia="zh-CN"/>
        </w:rPr>
        <w:t>部门整体实际产出情况</w:t>
      </w:r>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35" w:name="_Toc20708"/>
      <w:r>
        <w:rPr>
          <w:rFonts w:hint="eastAsia" w:ascii="Times New Roman Regular" w:hAnsi="Times New Roman Regular" w:eastAsia="仿宋" w:cs="Times New Roman Regular"/>
          <w:b w:val="0"/>
          <w:bCs w:val="0"/>
          <w:color w:val="auto"/>
          <w:sz w:val="32"/>
          <w:szCs w:val="32"/>
          <w:lang w:val="en-US" w:eastAsia="zh-CN"/>
        </w:rPr>
        <w:t>1、数量指标。全区医保缴费人数达到75745人。</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36" w:name="_Toc22961"/>
      <w:r>
        <w:rPr>
          <w:rFonts w:hint="eastAsia" w:ascii="Times New Roman Regular" w:hAnsi="Times New Roman Regular" w:eastAsia="仿宋" w:cs="Times New Roman Regular"/>
          <w:b w:val="0"/>
          <w:bCs w:val="0"/>
          <w:color w:val="auto"/>
          <w:sz w:val="32"/>
          <w:szCs w:val="32"/>
          <w:lang w:val="en-US" w:eastAsia="zh-CN"/>
        </w:rPr>
        <w:t>2、质量指标。特殊困难人群参保率达到100%；全区统筹参保率达到100%。</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37" w:name="_Toc9337"/>
      <w:r>
        <w:rPr>
          <w:rFonts w:hint="eastAsia" w:ascii="Times New Roman Regular" w:hAnsi="Times New Roman Regular" w:eastAsia="仿宋" w:cs="Times New Roman Regular"/>
          <w:b w:val="0"/>
          <w:bCs w:val="0"/>
          <w:color w:val="auto"/>
          <w:sz w:val="32"/>
          <w:szCs w:val="32"/>
          <w:lang w:val="en-US" w:eastAsia="zh-CN"/>
        </w:rPr>
        <w:t>3、时效指标。重点工作办结率，按时办结 100%。</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38" w:name="_Toc8261"/>
      <w:r>
        <w:rPr>
          <w:rFonts w:hint="eastAsia" w:ascii="Times New Roman Regular" w:hAnsi="Times New Roman Regular" w:eastAsia="仿宋" w:cs="Times New Roman Regular"/>
          <w:b w:val="0"/>
          <w:bCs w:val="0"/>
          <w:color w:val="auto"/>
          <w:sz w:val="32"/>
          <w:szCs w:val="32"/>
          <w:lang w:val="en-US" w:eastAsia="zh-CN"/>
        </w:rPr>
        <w:t>4、成本指标。各项业务经费均不超出预算、超支审批。</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39" w:name="_Toc15681"/>
      <w:bookmarkStart w:id="40" w:name="_Toc13672"/>
      <w:r>
        <w:rPr>
          <w:rFonts w:hint="default"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highlight w:val="none"/>
          <w:lang w:val="en-US" w:eastAsia="zh-CN"/>
        </w:rPr>
        <w:t>部门整体效益情况</w:t>
      </w:r>
      <w:bookmarkEnd w:id="39"/>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41" w:name="_Toc17814"/>
      <w:r>
        <w:rPr>
          <w:rFonts w:hint="default" w:ascii="Times New Roman Regular" w:hAnsi="Times New Roman Regular" w:eastAsia="仿宋" w:cs="Times New Roman Regular"/>
          <w:b w:val="0"/>
          <w:bCs w:val="0"/>
          <w:color w:val="auto"/>
          <w:kern w:val="2"/>
          <w:sz w:val="32"/>
          <w:szCs w:val="32"/>
          <w:highlight w:val="none"/>
          <w:lang w:val="en-US" w:eastAsia="zh-CN" w:bidi="ar-SA"/>
        </w:rPr>
        <w:t>1、</w:t>
      </w:r>
      <w:r>
        <w:rPr>
          <w:rFonts w:hint="default" w:ascii="Times New Roman Regular" w:hAnsi="Times New Roman Regular" w:eastAsia="仿宋" w:cs="Times New Roman Regular"/>
          <w:b w:val="0"/>
          <w:bCs w:val="0"/>
          <w:color w:val="auto"/>
          <w:sz w:val="32"/>
          <w:szCs w:val="32"/>
          <w:lang w:val="en-US" w:eastAsia="zh-CN"/>
        </w:rPr>
        <w:t>经济效益方面。通过医保报销</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提高</w:t>
      </w:r>
      <w:r>
        <w:rPr>
          <w:rFonts w:hint="eastAsia" w:ascii="Times New Roman Regular" w:hAnsi="Times New Roman Regular" w:eastAsia="仿宋" w:cs="Times New Roman Regular"/>
          <w:b w:val="0"/>
          <w:bCs w:val="0"/>
          <w:color w:val="auto"/>
          <w:sz w:val="32"/>
          <w:szCs w:val="32"/>
          <w:lang w:val="en-US" w:eastAsia="zh-CN"/>
        </w:rPr>
        <w:t>了</w:t>
      </w:r>
      <w:r>
        <w:rPr>
          <w:rFonts w:hint="default" w:ascii="Times New Roman Regular" w:hAnsi="Times New Roman Regular" w:eastAsia="仿宋" w:cs="Times New Roman Regular"/>
          <w:b w:val="0"/>
          <w:bCs w:val="0"/>
          <w:color w:val="auto"/>
          <w:sz w:val="32"/>
          <w:szCs w:val="32"/>
          <w:lang w:val="en-US" w:eastAsia="zh-CN"/>
        </w:rPr>
        <w:t>居民可支配收入</w:t>
      </w:r>
      <w:r>
        <w:rPr>
          <w:rFonts w:hint="eastAsia" w:ascii="Times New Roman Regular" w:hAnsi="Times New Roman Regular" w:eastAsia="仿宋" w:cs="Times New Roman Regular"/>
          <w:b w:val="0"/>
          <w:bCs w:val="0"/>
          <w:color w:val="auto"/>
          <w:sz w:val="32"/>
          <w:szCs w:val="32"/>
          <w:lang w:val="en-US" w:eastAsia="zh-CN"/>
        </w:rPr>
        <w:t>。不断健全内控管理制度，建立岗位之间相互监督制约机制。定期对内部监控制度执行情况进行自查，对基金使用情况进行各类督查检查。医保事务中心和各定点医药机构按照《“回头看”自查指南》要求开展自查自纠，共查摆出问题7条，全部整改到位，主动退回违规使用医保基金7380.94元，涉及定点医药机构27家。强化督查，建立部门联合机制，医保、卫健、市场监管等部门联动开展医保基金专项治理工作。</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42" w:name="_Toc10938"/>
      <w:r>
        <w:rPr>
          <w:rFonts w:hint="default" w:ascii="Times New Roman Regular" w:hAnsi="Times New Roman Regular" w:eastAsia="仿宋" w:cs="Times New Roman Regular"/>
          <w:b w:val="0"/>
          <w:bCs w:val="0"/>
          <w:color w:val="auto"/>
          <w:sz w:val="32"/>
          <w:szCs w:val="32"/>
          <w:lang w:val="en-US" w:eastAsia="zh-CN"/>
        </w:rPr>
        <w:t>2、社会效益方面</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保障全区医保居民住院报销，</w:t>
      </w:r>
      <w:r>
        <w:rPr>
          <w:rFonts w:hint="eastAsia" w:ascii="Times New Roman Regular" w:hAnsi="Times New Roman Regular" w:eastAsia="仿宋" w:cs="Times New Roman Regular"/>
          <w:b w:val="0"/>
          <w:bCs w:val="0"/>
          <w:color w:val="auto"/>
          <w:sz w:val="32"/>
          <w:szCs w:val="32"/>
          <w:lang w:val="en-US" w:eastAsia="zh-CN"/>
        </w:rPr>
        <w:t>为居民提供</w:t>
      </w:r>
      <w:r>
        <w:rPr>
          <w:rFonts w:hint="default" w:ascii="Times New Roman Regular" w:hAnsi="Times New Roman Regular" w:eastAsia="仿宋" w:cs="Times New Roman Regular"/>
          <w:b w:val="0"/>
          <w:bCs w:val="0"/>
          <w:color w:val="auto"/>
          <w:sz w:val="32"/>
          <w:szCs w:val="32"/>
          <w:lang w:val="en-US" w:eastAsia="zh-CN"/>
        </w:rPr>
        <w:t>保障</w:t>
      </w:r>
      <w:r>
        <w:rPr>
          <w:rFonts w:hint="eastAsia" w:ascii="Times New Roman Regular" w:hAnsi="Times New Roman Regular" w:eastAsia="仿宋" w:cs="Times New Roman Regular"/>
          <w:b w:val="0"/>
          <w:bCs w:val="0"/>
          <w:color w:val="auto"/>
          <w:sz w:val="32"/>
          <w:szCs w:val="32"/>
          <w:lang w:val="en-US" w:eastAsia="zh-CN"/>
        </w:rPr>
        <w:t>；进行大病保险补偿，降低大病家庭医疗负担；对家庭困难住院对象进行救助，保障家庭困难住院对象医疗。一是认真落实医保“三重保障”。患者在定点医疗机构住院均实现了基本医保、大病保险、医疗救助三重保障的费用审核、结算等业务“一站式”结算服务。今年城乡居民住院9618人次，住院总费用9728.66万元，可报费用7772.8万元，住院补偿总金额4522.49万元，可报费用报销比例58.18%。大病保险补偿760人次，总补偿金额386.9万元。医疗救助住院对象467人次，救助金额83.67万元。二是扎实开展乡村振兴医保帮扶。延续贫困人口应保尽保政策，对特困供养人员、重度残疾人、事实无人抚养儿童等给予全额参保资助，对低保人员、乡村振兴监测人员、低保边缘户人员给予50%的参保资助，全区共资助困难群众参保4517人，资助资金94.21万元。落实分类调整医保帮扶政策，全年低保对象、特困供养人员、重度残疾人、稳定脱贫人口、乡村振兴监测对象等困难群众住院889人次，住院医疗总费用948.96万元，可报费用772.68万元，住院补偿金额590.94万元，报销比例72.6%。夯实医疗救助托底保障，救助困难群众住院310人次56.28万元、门诊996人次15.6万元。三是有序开展“两病”和特慢病工作。简化“两病”认定程序，委托定点医疗机构办理门诊特殊慢患者办理待遇认定，积极开展家庭医生签约服务送药上门工作。截至目前，城乡居民“两病”审核2191人、城乡居民特殊慢性病门诊审核1123人、城镇职工特殊慢性病门诊审核177人。</w:t>
      </w:r>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43" w:name="_Toc27896"/>
      <w:r>
        <w:rPr>
          <w:rFonts w:hint="default" w:ascii="Times New Roman Regular" w:hAnsi="Times New Roman Regular" w:eastAsia="仿宋" w:cs="Times New Roman Regular"/>
          <w:b w:val="0"/>
          <w:bCs w:val="0"/>
          <w:color w:val="auto"/>
          <w:sz w:val="32"/>
          <w:szCs w:val="32"/>
          <w:lang w:val="en-US" w:eastAsia="zh-CN"/>
        </w:rPr>
        <w:t>3、生态效益方面</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城区环境卫生显著提高，生态环境有了显著提高。</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44" w:name="_Toc31024"/>
      <w:r>
        <w:rPr>
          <w:rFonts w:hint="default" w:ascii="Times New Roman Regular" w:hAnsi="Times New Roman Regular" w:eastAsia="仿宋" w:cs="Times New Roman Regular"/>
          <w:b w:val="0"/>
          <w:bCs w:val="0"/>
          <w:color w:val="auto"/>
          <w:sz w:val="32"/>
          <w:szCs w:val="32"/>
          <w:lang w:val="en-US" w:eastAsia="zh-CN"/>
        </w:rPr>
        <w:t>4、可持续发展方面</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加强文明建设</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民众思想文化素养提高，文明环境持续加</w:t>
      </w:r>
      <w:r>
        <w:rPr>
          <w:rFonts w:hint="eastAsia" w:ascii="Times New Roman Regular" w:hAnsi="Times New Roman Regular" w:eastAsia="仿宋" w:cs="Times New Roman Regular"/>
          <w:b w:val="0"/>
          <w:bCs w:val="0"/>
          <w:color w:val="auto"/>
          <w:sz w:val="32"/>
          <w:szCs w:val="32"/>
          <w:lang w:val="en-US" w:eastAsia="zh-CN"/>
        </w:rPr>
        <w:t>强</w:t>
      </w:r>
      <w:r>
        <w:rPr>
          <w:rFonts w:hint="default" w:ascii="Times New Roman Regular" w:hAnsi="Times New Roman Regular" w:eastAsia="仿宋" w:cs="Times New Roman Regular"/>
          <w:b w:val="0"/>
          <w:bCs w:val="0"/>
          <w:color w:val="auto"/>
          <w:sz w:val="32"/>
          <w:szCs w:val="32"/>
          <w:lang w:val="en-US" w:eastAsia="zh-CN"/>
        </w:rPr>
        <w:t>。注重抓实党建引领</w:t>
      </w:r>
      <w:r>
        <w:rPr>
          <w:rFonts w:hint="eastAsia" w:ascii="Times New Roman Regular" w:hAnsi="Times New Roman Regular" w:eastAsia="仿宋" w:cs="Times New Roman Regular"/>
          <w:b w:val="0"/>
          <w:bCs w:val="0"/>
          <w:color w:val="auto"/>
          <w:sz w:val="32"/>
          <w:szCs w:val="32"/>
          <w:lang w:val="en-US" w:eastAsia="zh-CN"/>
        </w:rPr>
        <w:t>，通过组建学习中心组、充分利用学习强国平台、召开了党史学习教育专题会议等多种形式，深入学习习近平新时代中国特色社会主义思想、七一重要讲话精神、《习近平谈治国》第四卷、《让群众过上好日子》《闽山闽水物华新》以及关于医保工作的重要批示和指示精神等内容，贯彻党的二十大精神，落实党组全面从严治党主体责任、意识形态工作责任制，制定出台“三清单一措施”，推进单位“清廉单元”建设，着力打造清廉医保。</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45" w:name="_Toc9179"/>
      <w:bookmarkStart w:id="46" w:name="_Toc21374"/>
      <w:r>
        <w:rPr>
          <w:rFonts w:hint="default" w:ascii="Times New Roman Regular" w:hAnsi="Times New Roman Regular" w:eastAsia="楷体" w:cs="Times New Roman Regular"/>
          <w:b/>
          <w:bCs/>
          <w:sz w:val="32"/>
          <w:szCs w:val="32"/>
          <w:lang w:val="en-US" w:eastAsia="zh-CN"/>
        </w:rPr>
        <w:t>（三）部门整体满意度</w:t>
      </w:r>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00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绩效评价小组针对</w:t>
      </w: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val="en-US" w:eastAsia="zh-CN"/>
        </w:rPr>
        <w:t>整体情况通过</w:t>
      </w:r>
      <w:r>
        <w:rPr>
          <w:rFonts w:hint="eastAsia" w:ascii="Times New Roman Regular" w:hAnsi="Times New Roman Regular" w:eastAsia="仿宋" w:cs="Times New Roman Regular"/>
          <w:b w:val="0"/>
          <w:bCs w:val="0"/>
          <w:sz w:val="32"/>
          <w:szCs w:val="32"/>
          <w:lang w:val="en-US" w:eastAsia="zh-CN"/>
        </w:rPr>
        <w:t>电子问卷向单位职工</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相关受益群体</w:t>
      </w:r>
      <w:r>
        <w:rPr>
          <w:rFonts w:hint="default" w:ascii="Times New Roman Regular" w:hAnsi="Times New Roman Regular" w:eastAsia="仿宋" w:cs="Times New Roman Regular"/>
          <w:b w:val="0"/>
          <w:bCs w:val="0"/>
          <w:sz w:val="32"/>
          <w:szCs w:val="32"/>
          <w:lang w:val="en-US" w:eastAsia="zh-CN"/>
        </w:rPr>
        <w:t>发放问卷进行满意度调查，共收集有效问</w:t>
      </w:r>
      <w:r>
        <w:rPr>
          <w:rFonts w:hint="default" w:ascii="Times New Roman Regular" w:hAnsi="Times New Roman Regular" w:eastAsia="仿宋" w:cs="Times New Roman Regular"/>
          <w:b w:val="0"/>
          <w:bCs w:val="0"/>
          <w:color w:val="000000"/>
          <w:sz w:val="32"/>
          <w:szCs w:val="32"/>
          <w:lang w:val="en-US" w:eastAsia="zh-CN"/>
        </w:rPr>
        <w:t>卷</w:t>
      </w:r>
      <w:r>
        <w:rPr>
          <w:rFonts w:hint="default" w:ascii="Times New Roman Regular" w:hAnsi="Times New Roman Regular" w:eastAsia="仿宋" w:cs="Times New Roman Regular"/>
          <w:b w:val="0"/>
          <w:bCs w:val="0"/>
          <w:color w:val="000000"/>
          <w:sz w:val="32"/>
          <w:szCs w:val="32"/>
          <w:lang w:eastAsia="zh-CN"/>
        </w:rPr>
        <w:t>23</w:t>
      </w:r>
      <w:r>
        <w:rPr>
          <w:rFonts w:hint="default" w:ascii="Times New Roman Regular" w:hAnsi="Times New Roman Regular" w:eastAsia="仿宋" w:cs="Times New Roman Regular"/>
          <w:b w:val="0"/>
          <w:bCs w:val="0"/>
          <w:color w:val="000000"/>
          <w:sz w:val="32"/>
          <w:szCs w:val="32"/>
          <w:lang w:val="en-US" w:eastAsia="zh-CN"/>
        </w:rPr>
        <w:t>份。经统计，2022年</w:t>
      </w:r>
      <w:r>
        <w:rPr>
          <w:rFonts w:hint="eastAsia" w:ascii="Times New Roman Regular" w:hAnsi="Times New Roman Regular" w:eastAsia="仿宋" w:cs="Times New Roman Regular"/>
          <w:b w:val="0"/>
          <w:bCs w:val="0"/>
          <w:color w:val="000000"/>
          <w:sz w:val="32"/>
          <w:szCs w:val="32"/>
          <w:lang w:val="en-US" w:eastAsia="zh-CN"/>
        </w:rPr>
        <w:t>医疗保障局</w:t>
      </w:r>
      <w:r>
        <w:rPr>
          <w:rFonts w:hint="default" w:ascii="Times New Roman Regular" w:hAnsi="Times New Roman Regular" w:eastAsia="仿宋" w:cs="Times New Roman Regular"/>
          <w:b w:val="0"/>
          <w:bCs w:val="0"/>
          <w:color w:val="000000"/>
          <w:sz w:val="32"/>
          <w:szCs w:val="32"/>
          <w:lang w:val="en-US" w:eastAsia="zh-CN"/>
        </w:rPr>
        <w:t>整体满意度为</w:t>
      </w:r>
      <w:r>
        <w:rPr>
          <w:rFonts w:hint="eastAsia" w:ascii="Times New Roman Regular" w:hAnsi="Times New Roman Regular" w:eastAsia="仿宋" w:cs="Times New Roman Regular"/>
          <w:b w:val="0"/>
          <w:bCs w:val="0"/>
          <w:color w:val="000000"/>
          <w:sz w:val="32"/>
          <w:szCs w:val="32"/>
          <w:lang w:val="en-US" w:eastAsia="zh-CN"/>
        </w:rPr>
        <w:t>100</w:t>
      </w:r>
      <w:r>
        <w:rPr>
          <w:rFonts w:hint="default" w:ascii="Times New Roman Regular" w:hAnsi="Times New Roman Regular" w:eastAsia="仿宋" w:cs="Times New Roman Regular"/>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47" w:name="_Toc7506"/>
      <w:bookmarkStart w:id="48" w:name="_Toc12488"/>
      <w:r>
        <w:rPr>
          <w:rFonts w:hint="default" w:ascii="Times New Roman Regular" w:hAnsi="Times New Roman Regular" w:eastAsia="黑体" w:cs="Times New Roman Regular"/>
          <w:b/>
          <w:bCs/>
          <w:kern w:val="2"/>
          <w:sz w:val="32"/>
          <w:szCs w:val="32"/>
          <w:lang w:val="en-US" w:eastAsia="zh-CN" w:bidi="ar-SA"/>
        </w:rPr>
        <w:t>六、综合评价情况及评价结论</w:t>
      </w:r>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根据资金绩效评价指标体系和绩效检查情况，</w:t>
      </w:r>
      <w:r>
        <w:rPr>
          <w:rFonts w:hint="eastAsia" w:ascii="Times New Roman Regular" w:hAnsi="Times New Roman Regular" w:eastAsia="仿宋" w:cs="Times New Roman Regular"/>
          <w:b w:val="0"/>
          <w:bCs w:val="0"/>
          <w:sz w:val="32"/>
          <w:szCs w:val="32"/>
          <w:lang w:val="en-US" w:eastAsia="zh-CN"/>
        </w:rPr>
        <w:t>医疗保障局</w:t>
      </w:r>
      <w:r>
        <w:rPr>
          <w:rFonts w:hint="default" w:ascii="Times New Roman Regular" w:hAnsi="Times New Roman Regular" w:eastAsia="仿宋" w:cs="Times New Roman Regular"/>
          <w:b w:val="0"/>
          <w:bCs w:val="0"/>
          <w:sz w:val="32"/>
          <w:szCs w:val="32"/>
          <w:lang w:val="en-US" w:eastAsia="zh-CN"/>
        </w:rPr>
        <w:t>2022年度部门整体支出重点绩效评价分值100分，从部门决策、部门预算、内部制度管理、部门产出、部门效益等方面总体评价，实得</w:t>
      </w:r>
      <w:r>
        <w:rPr>
          <w:rFonts w:hint="default" w:ascii="Times New Roman Regular" w:hAnsi="Times New Roman Regular" w:eastAsia="仿宋" w:cs="Times New Roman Regular"/>
          <w:b w:val="0"/>
          <w:bCs w:val="0"/>
          <w:sz w:val="32"/>
          <w:szCs w:val="32"/>
          <w:lang w:eastAsia="zh-CN"/>
        </w:rPr>
        <w:t>9</w:t>
      </w:r>
      <w:r>
        <w:rPr>
          <w:rFonts w:hint="eastAsia" w:ascii="Times New Roman Regular" w:hAnsi="Times New Roman Regular" w:eastAsia="仿宋" w:cs="Times New Roman Regular"/>
          <w:b w:val="0"/>
          <w:bCs w:val="0"/>
          <w:sz w:val="32"/>
          <w:szCs w:val="32"/>
          <w:lang w:val="en-US" w:eastAsia="zh-CN"/>
        </w:rPr>
        <w:t>5.00</w:t>
      </w:r>
      <w:r>
        <w:rPr>
          <w:rFonts w:hint="default" w:ascii="Times New Roman Regular" w:hAnsi="Times New Roman Regular" w:eastAsia="仿宋" w:cs="Times New Roman Regular"/>
          <w:b w:val="0"/>
          <w:bCs w:val="0"/>
          <w:sz w:val="32"/>
          <w:szCs w:val="32"/>
          <w:lang w:val="en-US" w:eastAsia="zh-CN"/>
        </w:rPr>
        <w:t>分，被评为</w:t>
      </w:r>
      <w:r>
        <w:rPr>
          <w:rFonts w:hint="eastAsia" w:ascii="仿宋" w:hAnsi="仿宋" w:eastAsia="仿宋" w:cs="仿宋"/>
          <w:b w:val="0"/>
          <w:bCs w:val="0"/>
          <w:sz w:val="32"/>
          <w:szCs w:val="32"/>
          <w:lang w:val="en-US" w:eastAsia="zh-CN"/>
        </w:rPr>
        <w:t>“优”等级（详见附件）</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highlight w:val="none"/>
          <w:lang w:val="en-US" w:eastAsia="zh-CN"/>
        </w:rPr>
      </w:pPr>
      <w:bookmarkStart w:id="49" w:name="_Toc20026"/>
      <w:bookmarkStart w:id="50" w:name="_Toc4731"/>
      <w:r>
        <w:rPr>
          <w:rFonts w:hint="default" w:ascii="Times New Roman Regular" w:hAnsi="Times New Roman Regular" w:eastAsia="黑体" w:cs="Times New Roman Regular"/>
          <w:b/>
          <w:bCs/>
          <w:kern w:val="2"/>
          <w:sz w:val="32"/>
          <w:szCs w:val="32"/>
          <w:highlight w:val="none"/>
          <w:lang w:val="en-US" w:eastAsia="zh-CN" w:bidi="ar-SA"/>
        </w:rPr>
        <w:t>七、存在的主要问题</w:t>
      </w:r>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1" w:name="_Toc17587"/>
      <w:bookmarkStart w:id="52" w:name="_Toc23743"/>
      <w:r>
        <w:rPr>
          <w:rFonts w:hint="eastAsia" w:ascii="Times New Roman Regular" w:hAnsi="Times New Roman Regular" w:eastAsia="楷体" w:cs="Times New Roman Regular"/>
          <w:b/>
          <w:bCs/>
          <w:sz w:val="32"/>
          <w:szCs w:val="32"/>
          <w:lang w:val="en-US" w:eastAsia="zh-CN"/>
        </w:rPr>
        <w:t>（一）政府采购方面</w:t>
      </w:r>
      <w:bookmarkEnd w:id="51"/>
    </w:p>
    <w:bookmarkEnd w:id="52"/>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53" w:name="_Toc31043"/>
      <w:r>
        <w:rPr>
          <w:rFonts w:hint="eastAsia" w:ascii="Times New Roman Regular" w:hAnsi="Times New Roman Regular" w:eastAsia="仿宋" w:cs="Times New Roman Regular"/>
          <w:b w:val="0"/>
          <w:bCs w:val="0"/>
          <w:sz w:val="32"/>
          <w:szCs w:val="32"/>
          <w:lang w:val="en-US" w:eastAsia="zh-CN"/>
        </w:rPr>
        <w:t>政府采购预算编制不合理。经查看医疗保障局2022年度预算公开说明和报表，单位2022年度政府采购预算总额1.0万元，采购品目为其他印刷品。经查看2022年度决算公开说明，政府采购支出总额6.74万元，其中：政府采购货物支出6.74万元。</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4" w:name="_Toc7224"/>
      <w:bookmarkStart w:id="55" w:name="_Toc21027"/>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bookmarkEnd w:id="54"/>
      <w:bookmarkStart w:id="56" w:name="_Toc19409"/>
      <w:bookmarkStart w:id="57" w:name="_Toc14824"/>
      <w:r>
        <w:rPr>
          <w:rFonts w:hint="eastAsia" w:ascii="Times New Roman Regular" w:hAnsi="Times New Roman Regular" w:eastAsia="楷体" w:cs="Times New Roman Regular"/>
          <w:b/>
          <w:bCs/>
          <w:sz w:val="32"/>
          <w:szCs w:val="32"/>
          <w:lang w:val="en-US" w:eastAsia="zh-CN"/>
        </w:rPr>
        <w:t>资产管理</w:t>
      </w:r>
      <w:bookmarkEnd w:id="56"/>
      <w:r>
        <w:rPr>
          <w:rFonts w:hint="eastAsia" w:ascii="Times New Roman Regular" w:hAnsi="Times New Roman Regular" w:eastAsia="楷体" w:cs="Times New Roman Regular"/>
          <w:b/>
          <w:bCs/>
          <w:sz w:val="32"/>
          <w:szCs w:val="32"/>
          <w:lang w:val="en-US" w:eastAsia="zh-CN"/>
        </w:rPr>
        <w:t>方面</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Regular" w:hAnsi="Times New Roman Regular" w:eastAsia="仿宋" w:cs="Times New Roman Regular"/>
          <w:b w:val="0"/>
          <w:bCs w:val="0"/>
          <w:sz w:val="32"/>
          <w:szCs w:val="32"/>
          <w:lang w:val="en-US" w:eastAsia="zh-CN"/>
        </w:rPr>
      </w:pPr>
      <w:bookmarkStart w:id="58" w:name="_Toc31236"/>
      <w:r>
        <w:rPr>
          <w:rFonts w:hint="eastAsia" w:ascii="Times New Roman Regular" w:hAnsi="Times New Roman Regular" w:eastAsia="仿宋" w:cs="Times New Roman Regular"/>
          <w:b w:val="0"/>
          <w:bCs w:val="0"/>
          <w:sz w:val="32"/>
          <w:szCs w:val="32"/>
          <w:lang w:val="en-US" w:eastAsia="zh-CN"/>
        </w:rPr>
        <w:t>存在资产管理不规范的情况。经现场检查单位资产，一是资产均未贴标，且大部分资产在资产卡片列表中未写明资产存放位置，不利于单位资产管理。</w:t>
      </w:r>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highlight w:val="yellow"/>
          <w:lang w:val="en-US" w:eastAsia="zh-CN"/>
        </w:rPr>
      </w:pPr>
      <w:bookmarkStart w:id="59" w:name="_Toc26705"/>
      <w:r>
        <w:rPr>
          <w:rFonts w:hint="default" w:ascii="Times New Roman Regular" w:hAnsi="Times New Roman Regular" w:eastAsia="黑体" w:cs="Times New Roman Regular"/>
          <w:b/>
          <w:bCs/>
          <w:kern w:val="2"/>
          <w:sz w:val="32"/>
          <w:szCs w:val="32"/>
          <w:lang w:val="en-US" w:eastAsia="zh-CN" w:bidi="ar-SA"/>
        </w:rPr>
        <w:t>八</w:t>
      </w:r>
      <w:r>
        <w:rPr>
          <w:rFonts w:hint="default" w:ascii="Times New Roman Regular" w:hAnsi="Times New Roman Regular" w:eastAsia="黑体" w:cs="Times New Roman Regular"/>
          <w:b/>
          <w:bCs/>
          <w:kern w:val="2"/>
          <w:sz w:val="32"/>
          <w:szCs w:val="32"/>
          <w:highlight w:val="none"/>
          <w:lang w:val="en-US" w:eastAsia="zh-CN" w:bidi="ar-SA"/>
        </w:rPr>
        <w:t>、相关建议</w:t>
      </w:r>
      <w:bookmarkEnd w:id="57"/>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60" w:name="_Toc25649"/>
      <w:bookmarkStart w:id="61" w:name="_Toc13883"/>
      <w:r>
        <w:rPr>
          <w:rFonts w:hint="eastAsia" w:ascii="Times New Roman Regular" w:hAnsi="Times New Roman Regular" w:eastAsia="楷体" w:cs="Times New Roman Regular"/>
          <w:b/>
          <w:bCs/>
          <w:sz w:val="32"/>
          <w:szCs w:val="32"/>
          <w:lang w:val="en-US" w:eastAsia="zh-CN"/>
        </w:rPr>
        <w:t>（一）</w:t>
      </w:r>
      <w:bookmarkEnd w:id="60"/>
      <w:bookmarkStart w:id="62" w:name="_Toc1567"/>
      <w:r>
        <w:rPr>
          <w:rFonts w:hint="default" w:ascii="Times New Roman Regular" w:hAnsi="Times New Roman Regular" w:eastAsia="楷体" w:cs="Times New Roman Regular"/>
          <w:b/>
          <w:bCs/>
          <w:sz w:val="32"/>
          <w:szCs w:val="32"/>
          <w:lang w:val="en-US" w:eastAsia="zh-CN"/>
        </w:rPr>
        <w:t>加强政府采购管理</w:t>
      </w:r>
      <w:bookmarkEnd w:id="61"/>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一是强化政府采购预算管理，从预算编制入手，细化采购项目预算的编制工作</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二是</w:t>
      </w:r>
      <w:r>
        <w:rPr>
          <w:rFonts w:hint="eastAsia" w:ascii="Times New Roman Regular" w:hAnsi="Times New Roman Regular" w:eastAsia="仿宋" w:cs="Times New Roman Regular"/>
          <w:b w:val="0"/>
          <w:bCs w:val="0"/>
          <w:sz w:val="32"/>
          <w:szCs w:val="32"/>
          <w:lang w:val="en-US" w:eastAsia="zh-CN"/>
        </w:rPr>
        <w:t>加强政府采购的制度建设，</w:t>
      </w:r>
      <w:r>
        <w:rPr>
          <w:rFonts w:hint="default" w:ascii="Times New Roman Regular" w:hAnsi="Times New Roman Regular" w:eastAsia="仿宋" w:cs="Times New Roman Regular"/>
          <w:b w:val="0"/>
          <w:bCs w:val="0"/>
          <w:sz w:val="32"/>
          <w:szCs w:val="32"/>
          <w:lang w:val="en-US" w:eastAsia="zh-CN"/>
        </w:rPr>
        <w:t>增强政府采购预算的刚性约束，严格按预算执行政府采购支出。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63" w:name="_Toc679"/>
      <w:bookmarkStart w:id="64" w:name="_Toc606"/>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bookmarkEnd w:id="63"/>
      <w:r>
        <w:rPr>
          <w:rFonts w:hint="eastAsia" w:ascii="Times New Roman Regular" w:hAnsi="Times New Roman Regular" w:eastAsia="楷体" w:cs="Times New Roman Regular"/>
          <w:b/>
          <w:bCs/>
          <w:sz w:val="32"/>
          <w:szCs w:val="32"/>
          <w:lang w:val="en-US" w:eastAsia="zh-CN"/>
        </w:rPr>
        <w:t>规范资产管理</w:t>
      </w:r>
      <w:bookmarkEnd w:id="64"/>
    </w:p>
    <w:p>
      <w:pPr>
        <w:ind w:firstLine="640" w:firstLineChars="200"/>
        <w:rPr>
          <w:rFonts w:hint="default"/>
          <w:lang w:val="en-US" w:eastAsia="zh-CN"/>
        </w:rPr>
      </w:pPr>
      <w:r>
        <w:rPr>
          <w:rFonts w:hint="default" w:ascii="Times New Roman Regular" w:hAnsi="Times New Roman Regular" w:eastAsia="仿宋" w:cs="Times New Roman Regular"/>
          <w:b w:val="0"/>
          <w:bCs w:val="0"/>
          <w:kern w:val="2"/>
          <w:sz w:val="32"/>
          <w:szCs w:val="32"/>
          <w:lang w:val="en-US" w:eastAsia="zh-CN" w:bidi="ar-SA"/>
        </w:rPr>
        <w:t>建议</w:t>
      </w:r>
      <w:r>
        <w:rPr>
          <w:rFonts w:hint="eastAsia" w:ascii="Times New Roman Regular" w:hAnsi="Times New Roman Regular" w:eastAsia="仿宋" w:cs="Times New Roman Regular"/>
          <w:b w:val="0"/>
          <w:bCs w:val="0"/>
          <w:kern w:val="2"/>
          <w:sz w:val="32"/>
          <w:szCs w:val="32"/>
          <w:lang w:val="en-US" w:eastAsia="zh-CN" w:bidi="ar-SA"/>
        </w:rPr>
        <w:t>单位进一步</w:t>
      </w:r>
      <w:r>
        <w:rPr>
          <w:rFonts w:hint="default" w:ascii="Times New Roman Regular" w:hAnsi="Times New Roman Regular" w:eastAsia="仿宋" w:cs="Times New Roman Regular"/>
          <w:b w:val="0"/>
          <w:bCs w:val="0"/>
          <w:kern w:val="2"/>
          <w:sz w:val="32"/>
          <w:szCs w:val="32"/>
          <w:lang w:val="en-US" w:eastAsia="zh-CN" w:bidi="ar-SA"/>
        </w:rPr>
        <w:t>规范实物资产的管理，对</w:t>
      </w:r>
      <w:r>
        <w:rPr>
          <w:rFonts w:hint="eastAsia" w:ascii="Times New Roman Regular" w:hAnsi="Times New Roman Regular" w:eastAsia="仿宋" w:cs="Times New Roman Regular"/>
          <w:b w:val="0"/>
          <w:bCs w:val="0"/>
          <w:kern w:val="2"/>
          <w:sz w:val="32"/>
          <w:szCs w:val="32"/>
          <w:lang w:val="en-US" w:eastAsia="zh-CN" w:bidi="ar-SA"/>
        </w:rPr>
        <w:t>实物</w:t>
      </w:r>
      <w:r>
        <w:rPr>
          <w:rFonts w:hint="default" w:ascii="Times New Roman Regular" w:hAnsi="Times New Roman Regular" w:eastAsia="仿宋" w:cs="Times New Roman Regular"/>
          <w:b w:val="0"/>
          <w:bCs w:val="0"/>
          <w:kern w:val="2"/>
          <w:sz w:val="32"/>
          <w:szCs w:val="32"/>
          <w:lang w:val="en-US" w:eastAsia="zh-CN" w:bidi="ar-SA"/>
        </w:rPr>
        <w:t>资产进行定期或不定期的盘点，</w:t>
      </w:r>
      <w:r>
        <w:rPr>
          <w:rFonts w:hint="eastAsia" w:ascii="Times New Roman Regular" w:hAnsi="Times New Roman Regular" w:eastAsia="仿宋" w:cs="Times New Roman Regular"/>
          <w:b w:val="0"/>
          <w:bCs w:val="0"/>
          <w:kern w:val="2"/>
          <w:sz w:val="32"/>
          <w:szCs w:val="32"/>
          <w:lang w:val="en-US" w:eastAsia="zh-CN" w:bidi="ar-SA"/>
        </w:rPr>
        <w:t>对于资产分类、资产品牌、规格型号等资产信息录入错误的情况及时更正，</w:t>
      </w:r>
      <w:r>
        <w:rPr>
          <w:rFonts w:hint="default" w:ascii="Times New Roman Regular" w:hAnsi="Times New Roman Regular" w:eastAsia="仿宋" w:cs="Times New Roman Regular"/>
          <w:b w:val="0"/>
          <w:bCs w:val="0"/>
          <w:kern w:val="2"/>
          <w:sz w:val="32"/>
          <w:szCs w:val="32"/>
          <w:lang w:val="en-US" w:eastAsia="zh-CN" w:bidi="ar-SA"/>
        </w:rPr>
        <w:t>确保固定资产账实相符，对固定资产实行卡片管理，</w:t>
      </w:r>
      <w:r>
        <w:rPr>
          <w:rFonts w:hint="eastAsia" w:ascii="Times New Roman Regular" w:hAnsi="Times New Roman Regular" w:eastAsia="仿宋" w:cs="Times New Roman Regular"/>
          <w:b w:val="0"/>
          <w:bCs w:val="0"/>
          <w:kern w:val="2"/>
          <w:sz w:val="32"/>
          <w:szCs w:val="32"/>
          <w:lang w:val="en-US" w:eastAsia="zh-CN" w:bidi="ar-SA"/>
        </w:rPr>
        <w:t>每一个固定资产进行贴标，</w:t>
      </w:r>
      <w:r>
        <w:rPr>
          <w:rFonts w:hint="default" w:ascii="Times New Roman Regular" w:hAnsi="Times New Roman Regular" w:eastAsia="仿宋" w:cs="Times New Roman Regular"/>
          <w:b w:val="0"/>
          <w:bCs w:val="0"/>
          <w:kern w:val="2"/>
          <w:sz w:val="32"/>
          <w:szCs w:val="32"/>
          <w:lang w:val="en-US" w:eastAsia="zh-CN" w:bidi="ar-SA"/>
        </w:rPr>
        <w:t>明确使用部门及责任，确保国有资产的安全、完整。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65" w:name="_Toc18000"/>
      <w:bookmarkStart w:id="66" w:name="_Toc24893"/>
      <w:r>
        <w:rPr>
          <w:rFonts w:hint="default" w:ascii="Times New Roman Regular" w:hAnsi="Times New Roman Regular" w:eastAsia="黑体" w:cs="Times New Roman Regular"/>
          <w:b/>
          <w:bCs/>
          <w:kern w:val="2"/>
          <w:sz w:val="32"/>
          <w:szCs w:val="32"/>
          <w:lang w:val="en-US" w:eastAsia="zh-CN" w:bidi="ar-SA"/>
        </w:rPr>
        <w:t>九、报告使用情况说明</w:t>
      </w:r>
      <w:bookmarkEnd w:id="65"/>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邵阳市北塔区医疗保障局</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邵阳市北塔区医疗保障局</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pStyle w:val="13"/>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邵阳市北塔区医疗保障局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eastAsia="仿宋" w:cs="Times New Roman Regular"/>
          <w:b w:val="0"/>
          <w:bCs w:val="0"/>
          <w:sz w:val="32"/>
          <w:szCs w:val="32"/>
          <w:lang w:val="en-US" w:eastAsia="zh-CN"/>
        </w:rPr>
        <w:t>基础数据表</w:t>
      </w:r>
    </w:p>
    <w:p>
      <w:pPr>
        <w:pStyle w:val="13"/>
        <w:rPr>
          <w:rFonts w:hint="default" w:ascii="Times New Roman Regular" w:hAnsi="Times New Roman Regular" w:eastAsia="仿宋" w:cs="Times New Roman Regular"/>
          <w:b w:val="0"/>
          <w:bCs w:val="0"/>
          <w:sz w:val="28"/>
          <w:szCs w:val="28"/>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3</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邵阳市北塔区医疗保障局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eastAsia="仿宋" w:cs="Times New Roman Regular"/>
          <w:b w:val="0"/>
          <w:bCs w:val="0"/>
          <w:sz w:val="32"/>
          <w:szCs w:val="32"/>
          <w:lang w:val="en-US" w:eastAsia="zh-CN"/>
        </w:rPr>
        <w:t>绩效自评表</w:t>
      </w:r>
    </w:p>
    <w:p>
      <w:pPr>
        <w:pStyle w:val="13"/>
        <w:rPr>
          <w:rFonts w:hint="default" w:ascii="Times New Roman Regular" w:hAnsi="Times New Roman Regular" w:eastAsia="仿宋" w:cs="Times New Roman Regular"/>
          <w:b w:val="0"/>
          <w:bCs w:val="0"/>
          <w:sz w:val="28"/>
          <w:szCs w:val="28"/>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4</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邵阳市北塔区医疗保障局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eastAsia="仿宋" w:cs="Times New Roman Regular"/>
          <w:b w:val="0"/>
          <w:bCs w:val="0"/>
          <w:sz w:val="32"/>
          <w:szCs w:val="32"/>
          <w:lang w:val="en-US" w:eastAsia="zh-CN"/>
        </w:rPr>
        <w:t>项目绩效自评表</w:t>
      </w: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pStyle w:val="13"/>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1200" w:firstLineChars="4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Times New Roman Regular" w:hAnsi="Times New Roman Regular" w:eastAsia="楷体" w:cs="Times New Roman Regular"/>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13"/>
        <w:rPr>
          <w:rFonts w:hint="default" w:ascii="Times New Roman Regular" w:hAnsi="Times New Roman Regular" w:cs="Times New Roman Regular"/>
          <w:lang w:val="en-US" w:eastAsia="zh-CN"/>
        </w:rPr>
      </w:pPr>
    </w:p>
    <w:p>
      <w:pPr>
        <w:pStyle w:val="13"/>
        <w:ind w:firstLine="5670" w:firstLineChars="2700"/>
        <w:rPr>
          <w:rFonts w:hint="default" w:ascii="Times New Roman Regular" w:hAnsi="Times New Roman Regular" w:cs="Times New Roman Regular"/>
          <w:lang w:val="en-US" w:eastAsia="zh-CN"/>
        </w:rPr>
      </w:pPr>
    </w:p>
    <w:p>
      <w:pPr>
        <w:pStyle w:val="13"/>
        <w:ind w:firstLine="5670" w:firstLineChars="2700"/>
        <w:rPr>
          <w:rFonts w:hint="default" w:ascii="Times New Roman Regular" w:hAnsi="Times New Roman Regular" w:cs="Times New Roman Regular"/>
          <w:lang w:val="en-US" w:eastAsia="zh-CN"/>
        </w:rPr>
      </w:pPr>
    </w:p>
    <w:p>
      <w:pPr>
        <w:pStyle w:val="13"/>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pStyle w:val="13"/>
        <w:ind w:firstLine="5890" w:firstLineChars="1900"/>
        <w:rPr>
          <w:rFonts w:hint="default" w:ascii="Times New Roman Regular" w:hAnsi="Times New Roman Regular" w:eastAsia="仿宋" w:cs="Times New Roman Regular"/>
          <w:b w:val="0"/>
          <w:bCs w:val="0"/>
          <w:sz w:val="31"/>
          <w:szCs w:val="31"/>
          <w:lang w:val="en-US" w:eastAsia="zh-CN"/>
        </w:rPr>
        <w:sectPr>
          <w:headerReference r:id="rId4"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w:t>
      </w: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医疗保障局</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2022年度部门整体支出绩效评价指标表</w:t>
      </w:r>
    </w:p>
    <w:tbl>
      <w:tblPr>
        <w:tblStyle w:val="18"/>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1"/>
        <w:gridCol w:w="1089"/>
        <w:gridCol w:w="1581"/>
        <w:gridCol w:w="984"/>
        <w:gridCol w:w="6194"/>
        <w:gridCol w:w="999"/>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5"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一级指标</w:t>
            </w:r>
          </w:p>
        </w:tc>
        <w:tc>
          <w:tcPr>
            <w:tcW w:w="36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二级指标</w:t>
            </w:r>
          </w:p>
        </w:tc>
        <w:tc>
          <w:tcPr>
            <w:tcW w:w="523"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三级指标</w:t>
            </w:r>
          </w:p>
        </w:tc>
        <w:tc>
          <w:tcPr>
            <w:tcW w:w="326"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标准分值</w:t>
            </w:r>
          </w:p>
        </w:tc>
        <w:tc>
          <w:tcPr>
            <w:tcW w:w="2053"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评价标准</w:t>
            </w:r>
          </w:p>
        </w:tc>
        <w:tc>
          <w:tcPr>
            <w:tcW w:w="33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评价得分</w:t>
            </w:r>
          </w:p>
        </w:tc>
        <w:tc>
          <w:tcPr>
            <w:tcW w:w="100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投入</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目标设定（6分）</w:t>
            </w: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绩效目标合理性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jc w:val="both"/>
              <w:rPr>
                <w:rFonts w:hint="default" w:ascii="Times New Roman" w:hAnsi="Times New Roman" w:cs="Times New Roman" w:eastAsiaTheme="minorEastAsia"/>
                <w:color w:val="00000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绩效指标明确性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是否</w:t>
            </w:r>
            <w:r>
              <w:rPr>
                <w:rFonts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cs="Times New Roman"/>
                <w:color w:val="000000"/>
                <w:sz w:val="18"/>
                <w:szCs w:val="18"/>
                <w:lang w:val="en-US" w:eastAsia="zh-CN"/>
              </w:rPr>
              <w:t>每发现一项不符扣1分，</w:t>
            </w:r>
            <w:r>
              <w:rPr>
                <w:rFonts w:ascii="Times New Roman" w:hAnsi="Times New Roman" w:cs="Times New Roman" w:eastAsiaTheme="minorEastAsia"/>
                <w:color w:val="000000"/>
                <w:sz w:val="18"/>
                <w:szCs w:val="18"/>
              </w:rPr>
              <w:t>本项扣完为止。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预算配置（9分）</w:t>
            </w: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在职</w:t>
            </w:r>
            <w:r>
              <w:rPr>
                <w:rFonts w:ascii="Times New Roman" w:hAnsi="Times New Roman" w:cs="Times New Roman" w:eastAsiaTheme="minorEastAsia"/>
                <w:color w:val="000000"/>
                <w:sz w:val="18"/>
                <w:szCs w:val="18"/>
              </w:rPr>
              <w:t>人员</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w:t>
            </w:r>
            <w:r>
              <w:rPr>
                <w:rFonts w:hint="eastAsia" w:ascii="Times New Roman" w:hAnsi="Times New Roman" w:cs="Times New Roman" w:eastAsiaTheme="minorEastAsia"/>
                <w:color w:val="000000"/>
                <w:sz w:val="18"/>
                <w:szCs w:val="18"/>
              </w:rPr>
              <w:t>在职人员控制率=（在职人员数/编制数）×100%。</w:t>
            </w:r>
            <w:r>
              <w:rPr>
                <w:rFonts w:hint="eastAsia" w:ascii="Times New Roman" w:hAnsi="Times New Roman" w:cs="Times New Roman"/>
                <w:color w:val="000000"/>
                <w:sz w:val="18"/>
                <w:szCs w:val="18"/>
                <w:lang w:val="en-US" w:eastAsia="zh-CN"/>
              </w:rPr>
              <w:t>在职人员</w:t>
            </w:r>
            <w:r>
              <w:rPr>
                <w:rFonts w:ascii="Times New Roman" w:hAnsi="Times New Roman" w:cs="Times New Roman" w:eastAsiaTheme="minorEastAsia"/>
                <w:color w:val="000000"/>
                <w:sz w:val="18"/>
                <w:szCs w:val="18"/>
              </w:rPr>
              <w:t>控制率≦100%，计3分，每超过1%，扣0.3分，扣完为止。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重点支出安排率≥90%，计6分；每少10%扣1.5分；低于60%不得分。</w:t>
            </w:r>
          </w:p>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重点支出安排率=（重点预算支出/预算总支出）×100%。</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1008" w:type="pct"/>
            <w:shd w:val="clear" w:color="auto" w:fill="auto"/>
            <w:vAlign w:val="center"/>
          </w:tcPr>
          <w:p>
            <w:pPr>
              <w:spacing w:line="360" w:lineRule="exact"/>
              <w:jc w:val="both"/>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过程</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预算执行（10分）</w:t>
            </w: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以100%为标准。预算执行率每下降一个百分点扣0.1分，扣完为止。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支出进度</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每发现一个项目未完成进度要求，完成资金下达的扣0.2分，扣完为止。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结转结余率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无结余，2分；有结余但不超过上年结转，1分；每超过上年结转1个百分点扣0.1分，扣完为止。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“三公经费”</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以100%为标准。控制率≤100%，计2分；每超过一个百分点扣0.4分。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政府采购执行率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100%计满分，每低于1个百分点扣0.2分。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政府采购决算远超预算数，存在无预算支出的情况，扣2分。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预算管理（12分）</w:t>
            </w: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管理制度健全性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单位政府采购超预算，政府采购</w:t>
            </w:r>
            <w:r>
              <w:rPr>
                <w:rFonts w:ascii="Times New Roman" w:hAnsi="Times New Roman" w:cs="Times New Roman" w:eastAsiaTheme="minorEastAsia"/>
                <w:color w:val="000000"/>
                <w:sz w:val="18"/>
                <w:szCs w:val="18"/>
              </w:rPr>
              <w:t>相关管理制度</w:t>
            </w:r>
            <w:r>
              <w:rPr>
                <w:rFonts w:hint="eastAsia" w:ascii="Times New Roman" w:hAnsi="Times New Roman" w:cs="Times New Roman"/>
                <w:color w:val="000000"/>
                <w:sz w:val="18"/>
                <w:szCs w:val="18"/>
                <w:lang w:val="en-US" w:eastAsia="zh-CN"/>
              </w:rPr>
              <w:t>未</w:t>
            </w:r>
            <w:r>
              <w:rPr>
                <w:rFonts w:ascii="Times New Roman" w:hAnsi="Times New Roman" w:cs="Times New Roman" w:eastAsiaTheme="minorEastAsia"/>
                <w:color w:val="000000"/>
                <w:sz w:val="18"/>
                <w:szCs w:val="18"/>
              </w:rPr>
              <w:t>得到有效执行计</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扣</w:t>
            </w:r>
            <w:r>
              <w:rPr>
                <w:rFonts w:ascii="Times New Roman" w:hAnsi="Times New Roman" w:cs="Times New Roman" w:eastAsiaTheme="minorEastAsia"/>
                <w:color w:val="000000"/>
                <w:sz w:val="18"/>
                <w:szCs w:val="18"/>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资金使用合规性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5</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②</w:t>
            </w:r>
            <w:r>
              <w:rPr>
                <w:rFonts w:ascii="Times New Roman" w:hAnsi="Times New Roman" w:cs="Times New Roman" w:eastAsiaTheme="minorEastAsia"/>
                <w:color w:val="000000"/>
                <w:sz w:val="18"/>
                <w:szCs w:val="18"/>
              </w:rPr>
              <w:t>资金拨付有完整的审批程序和手续，1分；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③项目支出按规定经过评估论证，1分；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④支出符合部门预算批复的用途，1分。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预决算信息</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公开性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①按规定内容公开预决算信息，计1分；②按规定时限公开预决算信息，计1分。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基础信息完善性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①基础数据信息和会计信息资料真实，计1分；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②基础数据信息和会计信息资料完整、准确，计1分。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资产管理（3分）</w:t>
            </w: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资产管理安全性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①资产保存完整，计0.5分；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②资产配置合理，计0.5分；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③资产配置规范，计0.5分；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④资产账务管理合规，账实相符，计0.5分。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一是资产未贴标；二是存在资产分类、资产品牌录入错误的情况，扣</w:t>
            </w:r>
            <w:r>
              <w:rPr>
                <w:rFonts w:hint="eastAsia" w:ascii="Times New Roman" w:hAnsi="Times New Roman" w:cs="Times New Roman"/>
                <w:color w:val="000000"/>
                <w:sz w:val="18"/>
                <w:szCs w:val="18"/>
                <w:lang w:val="en-US" w:eastAsia="zh-CN"/>
              </w:rPr>
              <w:t>2</w:t>
            </w:r>
            <w:r>
              <w:rPr>
                <w:rFonts w:hint="eastAsia" w:ascii="Times New Roman" w:hAnsi="Times New Roman" w:cs="Times New Roman" w:eastAsiaTheme="minorEastAsia"/>
                <w:color w:val="00000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固定资产利用率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每低于100%一个百分点扣0.1分，扣完为止。</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产出</w:t>
            </w:r>
          </w:p>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职责履行（</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3" w:type="pc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全区医保缴费人数</w:t>
            </w:r>
          </w:p>
        </w:tc>
        <w:tc>
          <w:tcPr>
            <w:tcW w:w="326"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全区医保缴费人数</w:t>
            </w:r>
            <w:r>
              <w:rPr>
                <w:rFonts w:hint="eastAsia" w:ascii="Times New Roman" w:hAnsi="Times New Roman" w:cs="Times New Roman"/>
                <w:color w:val="000000"/>
                <w:sz w:val="18"/>
                <w:szCs w:val="18"/>
                <w:lang w:val="en-US" w:eastAsia="zh-CN"/>
              </w:rPr>
              <w:t>达到</w:t>
            </w:r>
            <w:r>
              <w:rPr>
                <w:rFonts w:hint="eastAsia" w:ascii="Times New Roman" w:hAnsi="Times New Roman" w:cs="Times New Roman" w:eastAsiaTheme="minorEastAsia"/>
                <w:color w:val="000000"/>
                <w:sz w:val="18"/>
                <w:szCs w:val="18"/>
              </w:rPr>
              <w:t>75745人</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完成率100%，计</w:t>
            </w:r>
            <w:r>
              <w:rPr>
                <w:rFonts w:hint="eastAsia" w:ascii="Times New Roman" w:hAnsi="Times New Roman" w:cs="Times New Roman"/>
                <w:color w:val="000000"/>
                <w:sz w:val="18"/>
                <w:szCs w:val="18"/>
                <w:lang w:val="en-US" w:eastAsia="zh-CN"/>
              </w:rPr>
              <w:t>6</w:t>
            </w:r>
            <w:r>
              <w:rPr>
                <w:rFonts w:ascii="Times New Roman" w:hAnsi="Times New Roman" w:cs="Times New Roman" w:eastAsiaTheme="minorEastAsia"/>
                <w:color w:val="000000"/>
                <w:sz w:val="18"/>
                <w:szCs w:val="18"/>
              </w:rPr>
              <w:t>分。未达到按实际完成情况得分。</w:t>
            </w:r>
          </w:p>
          <w:p>
            <w:pPr>
              <w:spacing w:line="370" w:lineRule="exact"/>
              <w:jc w:val="both"/>
              <w:rPr>
                <w:rFonts w:hint="eastAsia" w:ascii="Times New Roman" w:hAnsi="Times New Roman" w:cs="Times New Roman" w:eastAsiaTheme="minorEastAsia"/>
                <w:color w:val="000000"/>
                <w:sz w:val="18"/>
                <w:szCs w:val="18"/>
                <w:lang w:eastAsia="zh-CN"/>
              </w:rPr>
            </w:pPr>
            <w:r>
              <w:rPr>
                <w:rFonts w:ascii="Times New Roman" w:hAnsi="Times New Roman" w:cs="Times New Roman" w:eastAsiaTheme="minorEastAsia"/>
                <w:color w:val="000000"/>
                <w:sz w:val="18"/>
                <w:szCs w:val="18"/>
              </w:rPr>
              <w:t>指标分值=（实际完成额/计划完成额）×100%*指标标准分值</w:t>
            </w:r>
            <w:r>
              <w:rPr>
                <w:rFonts w:hint="eastAsia" w:ascii="Times New Roman" w:hAnsi="Times New Roman" w:cs="Times New Roman"/>
                <w:color w:val="000000"/>
                <w:sz w:val="18"/>
                <w:szCs w:val="18"/>
                <w:lang w:eastAsia="zh-CN"/>
              </w:rPr>
              <w:t>。</w:t>
            </w:r>
          </w:p>
        </w:tc>
        <w:tc>
          <w:tcPr>
            <w:tcW w:w="33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5"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3"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特殊困难人群参保率</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2053" w:type="pct"/>
            <w:shd w:val="clear" w:color="auto" w:fill="auto"/>
            <w:vAlign w:val="center"/>
          </w:tcPr>
          <w:p>
            <w:pPr>
              <w:spacing w:line="370" w:lineRule="exact"/>
              <w:jc w:val="both"/>
              <w:rPr>
                <w:rFonts w:hint="eastAsia"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val="en-US" w:eastAsia="zh-CN"/>
              </w:rPr>
              <w:t>达到100%，得6分，</w:t>
            </w:r>
            <w:r>
              <w:rPr>
                <w:rFonts w:hint="eastAsia" w:ascii="Times New Roman" w:hAnsi="Times New Roman" w:cs="Times New Roman" w:eastAsiaTheme="minorEastAsia"/>
                <w:color w:val="000000"/>
                <w:sz w:val="18"/>
                <w:szCs w:val="18"/>
              </w:rPr>
              <w:t>未达到按实际完成情况得分。每下降5%，扣1分，扣完为止。</w:t>
            </w:r>
          </w:p>
        </w:tc>
        <w:tc>
          <w:tcPr>
            <w:tcW w:w="33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5"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3" w:type="pct"/>
            <w:shd w:val="clear" w:color="auto" w:fill="auto"/>
            <w:vAlign w:val="center"/>
          </w:tcPr>
          <w:p>
            <w:pPr>
              <w:spacing w:line="370" w:lineRule="exact"/>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全区统筹参保率</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2053" w:type="pct"/>
            <w:shd w:val="clear" w:color="auto" w:fill="auto"/>
            <w:vAlign w:val="center"/>
          </w:tcPr>
          <w:p>
            <w:pPr>
              <w:spacing w:line="37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达到</w:t>
            </w:r>
            <w:r>
              <w:rPr>
                <w:rFonts w:hint="eastAsia" w:ascii="Times New Roman" w:hAnsi="Times New Roman" w:cs="Times New Roman"/>
                <w:color w:val="000000"/>
                <w:sz w:val="18"/>
                <w:szCs w:val="18"/>
                <w:lang w:val="en-US" w:eastAsia="zh-CN"/>
              </w:rPr>
              <w:t>100%，得6分，</w:t>
            </w:r>
            <w:r>
              <w:rPr>
                <w:rFonts w:ascii="Times New Roman" w:hAnsi="Times New Roman" w:cs="Times New Roman" w:eastAsiaTheme="minorEastAsia"/>
                <w:color w:val="000000"/>
                <w:sz w:val="18"/>
                <w:szCs w:val="18"/>
              </w:rPr>
              <w:t>未达到按实际完成情况得分。每下降5%，扣1分，扣完为止。</w:t>
            </w:r>
          </w:p>
        </w:tc>
        <w:tc>
          <w:tcPr>
            <w:tcW w:w="33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3"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eastAsiaTheme="minorEastAsia"/>
                <w:color w:val="000000"/>
                <w:sz w:val="18"/>
                <w:szCs w:val="18"/>
                <w:lang w:eastAsia="zh-CN"/>
              </w:rPr>
              <w:t>重点工作办结率</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在计划时间内</w:t>
            </w:r>
            <w:r>
              <w:rPr>
                <w:rFonts w:hint="eastAsia" w:ascii="Times New Roman" w:hAnsi="Times New Roman" w:cs="Times New Roman"/>
                <w:color w:val="000000"/>
                <w:sz w:val="18"/>
                <w:szCs w:val="18"/>
                <w:lang w:val="en-US" w:eastAsia="zh-CN"/>
              </w:rPr>
              <w:t>完成工作</w:t>
            </w:r>
            <w:r>
              <w:rPr>
                <w:rFonts w:ascii="Times New Roman" w:hAnsi="Times New Roman" w:cs="Times New Roman" w:eastAsiaTheme="minorEastAsia"/>
                <w:color w:val="000000"/>
                <w:sz w:val="18"/>
                <w:szCs w:val="18"/>
              </w:rPr>
              <w:t>，得4分，</w:t>
            </w:r>
            <w:r>
              <w:rPr>
                <w:rFonts w:hint="eastAsia" w:ascii="Times New Roman" w:hAnsi="Times New Roman" w:cs="Times New Roman" w:eastAsiaTheme="minorEastAsia"/>
                <w:color w:val="000000"/>
                <w:sz w:val="18"/>
                <w:szCs w:val="18"/>
              </w:rPr>
              <w:t>未按时</w:t>
            </w: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，根据</w:t>
            </w:r>
            <w:r>
              <w:rPr>
                <w:rFonts w:hint="eastAsia" w:ascii="Times New Roman" w:hAnsi="Times New Roman" w:cs="Times New Roman"/>
                <w:color w:val="000000"/>
                <w:sz w:val="18"/>
                <w:szCs w:val="18"/>
                <w:lang w:val="en-US" w:eastAsia="zh-CN"/>
              </w:rPr>
              <w:t>完成</w:t>
            </w:r>
            <w:r>
              <w:rPr>
                <w:rFonts w:ascii="Times New Roman" w:hAnsi="Times New Roman" w:cs="Times New Roman" w:eastAsiaTheme="minorEastAsia"/>
                <w:color w:val="000000"/>
                <w:sz w:val="18"/>
                <w:szCs w:val="18"/>
              </w:rPr>
              <w:t>时间</w:t>
            </w:r>
            <w:r>
              <w:rPr>
                <w:rFonts w:hint="eastAsia" w:ascii="Times New Roman" w:hAnsi="Times New Roman" w:cs="Times New Roman" w:eastAsiaTheme="minorEastAsia"/>
                <w:color w:val="000000"/>
                <w:sz w:val="18"/>
                <w:szCs w:val="18"/>
              </w:rPr>
              <w:t>酌情扣分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7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w:t>
            </w:r>
          </w:p>
        </w:tc>
        <w:tc>
          <w:tcPr>
            <w:tcW w:w="1008" w:type="pct"/>
            <w:shd w:val="clear" w:color="auto" w:fill="auto"/>
            <w:vAlign w:val="center"/>
          </w:tcPr>
          <w:p>
            <w:pPr>
              <w:spacing w:line="370" w:lineRule="exact"/>
              <w:jc w:val="both"/>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3"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各项业务经费不超出预算，超支审批</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各项业务经费不超出预算，</w:t>
            </w:r>
            <w:r>
              <w:rPr>
                <w:rFonts w:ascii="Times New Roman" w:hAnsi="Times New Roman" w:cs="Times New Roman" w:eastAsiaTheme="minorEastAsia"/>
                <w:color w:val="000000"/>
                <w:sz w:val="18"/>
                <w:szCs w:val="18"/>
              </w:rPr>
              <w:t>得满分；未达到按实际完成情况得分。</w:t>
            </w:r>
          </w:p>
          <w:p>
            <w:pPr>
              <w:spacing w:line="370" w:lineRule="exact"/>
              <w:jc w:val="both"/>
              <w:rPr>
                <w:rFonts w:ascii="Times New Roman" w:hAnsi="Times New Roman" w:cs="Times New Roman" w:eastAsiaTheme="minorEastAsia"/>
                <w:color w:val="000000"/>
                <w:sz w:val="18"/>
                <w:szCs w:val="18"/>
              </w:rPr>
            </w:pPr>
          </w:p>
        </w:tc>
        <w:tc>
          <w:tcPr>
            <w:tcW w:w="33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70" w:lineRule="exact"/>
              <w:jc w:val="both"/>
              <w:rPr>
                <w:rFonts w:ascii="Times New Roman" w:hAnsi="Times New Roman" w:cs="Times New Roman" w:eastAsia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效果</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职责效益（</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经济效益</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60" w:lineRule="exact"/>
              <w:jc w:val="both"/>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考核单位工作的开展是否能</w:t>
            </w:r>
            <w:r>
              <w:rPr>
                <w:rFonts w:hint="eastAsia" w:ascii="Times New Roman" w:hAnsi="Times New Roman" w:cs="Times New Roman" w:eastAsiaTheme="minorEastAsia"/>
                <w:color w:val="000000"/>
                <w:sz w:val="18"/>
                <w:szCs w:val="18"/>
              </w:rPr>
              <w:t>通过医保报销提高居民可支配收入</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酌情给分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kern w:val="2"/>
                <w:sz w:val="18"/>
                <w:szCs w:val="18"/>
                <w:lang w:val="en-US" w:eastAsia="zh-CN" w:bidi="ar-SA"/>
              </w:rPr>
            </w:pPr>
            <w:r>
              <w:rPr>
                <w:rFonts w:ascii="Times New Roman" w:hAnsi="Times New Roman" w:cs="Times New Roman" w:eastAsiaTheme="minorEastAsia"/>
                <w:color w:val="000000"/>
                <w:sz w:val="18"/>
                <w:szCs w:val="18"/>
              </w:rPr>
              <w:t>社会效益</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hint="eastAsia"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考核单位工作的开展是否能保障全区医保居民住院报销、降低大病家庭医疗负担、保障家庭困难住院对象医疗，</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生态效益</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考核单位工作的开展是否能加强生态文明建设，结合单位工作开展情况</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酌情给分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kern w:val="2"/>
                <w:sz w:val="18"/>
                <w:szCs w:val="18"/>
                <w:lang w:val="en-US" w:eastAsia="zh-CN" w:bidi="ar-SA"/>
              </w:rPr>
            </w:pPr>
            <w:r>
              <w:rPr>
                <w:rFonts w:ascii="Times New Roman" w:hAnsi="Times New Roman" w:cs="Times New Roman" w:eastAsiaTheme="minorEastAsia"/>
                <w:color w:val="000000"/>
                <w:sz w:val="18"/>
                <w:szCs w:val="18"/>
              </w:rPr>
              <w:t>可持续影响</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2</w:t>
            </w:r>
          </w:p>
        </w:tc>
        <w:tc>
          <w:tcPr>
            <w:tcW w:w="2053" w:type="pct"/>
            <w:shd w:val="clear" w:color="auto" w:fill="auto"/>
            <w:vAlign w:val="center"/>
          </w:tcPr>
          <w:p>
            <w:pPr>
              <w:spacing w:line="360" w:lineRule="exact"/>
              <w:jc w:val="both"/>
              <w:rPr>
                <w:rFonts w:hint="eastAsia"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考核单位工作的开展是否能提高民众思想文化素养、持续加强文明环境，结合单位工作开展情况</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酌情给分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单位职工</w:t>
            </w:r>
            <w:r>
              <w:rPr>
                <w:rFonts w:hint="eastAsia" w:ascii="Times New Roman" w:hAnsi="Times New Roman" w:cs="Times New Roman"/>
                <w:color w:val="000000"/>
                <w:sz w:val="18"/>
                <w:szCs w:val="18"/>
                <w:lang w:val="en-US" w:eastAsia="zh-CN"/>
              </w:rPr>
              <w:t>及受益群众</w:t>
            </w:r>
            <w:r>
              <w:rPr>
                <w:rFonts w:ascii="Times New Roman" w:hAnsi="Times New Roman" w:cs="Times New Roman" w:eastAsiaTheme="minorEastAsia"/>
                <w:color w:val="000000"/>
                <w:sz w:val="18"/>
                <w:szCs w:val="18"/>
              </w:rPr>
              <w:t>满意度</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以调查问卷为依据。</w:t>
            </w:r>
            <w:r>
              <w:rPr>
                <w:rFonts w:hint="eastAsia" w:ascii="Times New Roman" w:hAnsi="Times New Roman" w:cs="Times New Roman"/>
                <w:color w:val="000000"/>
                <w:sz w:val="18"/>
                <w:szCs w:val="18"/>
                <w:lang w:val="en-US" w:eastAsia="zh-CN"/>
              </w:rPr>
              <w:t>单位职工及受益对象</w:t>
            </w:r>
            <w:r>
              <w:rPr>
                <w:rFonts w:ascii="Times New Roman" w:hAnsi="Times New Roman" w:cs="Times New Roman" w:eastAsiaTheme="minorEastAsia"/>
                <w:color w:val="000000"/>
                <w:sz w:val="18"/>
                <w:szCs w:val="18"/>
              </w:rPr>
              <w:t>满意度≥95%计</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分：每低5%扣1分。满意度＜75%计0分。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shd w:val="clear"/>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合计</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95.00</w:t>
            </w:r>
          </w:p>
        </w:tc>
        <w:tc>
          <w:tcPr>
            <w:tcW w:w="1008"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jc w:val="both"/>
        <w:textAlignment w:val="auto"/>
        <w:rPr>
          <w:rFonts w:hint="default" w:ascii="Times New Roman Regular" w:hAnsi="Times New Roman Regular" w:eastAsia="仿宋" w:cs="Times New Roman Regular"/>
          <w:b w:val="0"/>
          <w:bCs w:val="0"/>
          <w:sz w:val="31"/>
          <w:szCs w:val="31"/>
          <w:lang w:val="en-US" w:eastAsia="zh-CN"/>
        </w:rPr>
      </w:pPr>
    </w:p>
    <w:p>
      <w:pPr>
        <w:pStyle w:val="17"/>
        <w:rPr>
          <w:rFonts w:hint="default" w:ascii="Times New Roman Regular" w:hAnsi="Times New Roman Regular" w:eastAsia="仿宋" w:cs="Times New Roman Regular"/>
          <w:b w:val="0"/>
          <w:bCs w:val="0"/>
          <w:sz w:val="31"/>
          <w:szCs w:val="31"/>
          <w:lang w:val="en-US" w:eastAsia="zh-CN"/>
        </w:rPr>
      </w:pPr>
    </w:p>
    <w:p>
      <w:pPr>
        <w:pStyle w:val="13"/>
        <w:rPr>
          <w:rFonts w:hint="default" w:ascii="Times New Roman Regular" w:hAnsi="Times New Roman Regular" w:eastAsia="仿宋" w:cs="Times New Roman Regular"/>
          <w:b w:val="0"/>
          <w:bCs w:val="0"/>
          <w:sz w:val="32"/>
          <w:szCs w:val="32"/>
          <w:lang w:val="en-US" w:eastAsia="zh-CN"/>
        </w:rPr>
        <w:sectPr>
          <w:headerReference r:id="rId5" w:type="default"/>
          <w:footerReference r:id="rId6"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3"/>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w:t>
      </w:r>
    </w:p>
    <w:p>
      <w:pPr>
        <w:pStyle w:val="13"/>
        <w:jc w:val="center"/>
        <w:rPr>
          <w:rFonts w:hint="default" w:ascii="Times New Roman" w:hAnsi="Times New Roman" w:eastAsia="方正小标宋_GBK" w:cs="Times New Roman"/>
          <w:b w:val="0"/>
          <w:bCs w:val="0"/>
          <w:sz w:val="24"/>
          <w:szCs w:val="24"/>
          <w:lang w:val="en-US" w:eastAsia="zh-CN"/>
        </w:rPr>
      </w:pPr>
      <w:r>
        <w:rPr>
          <w:rFonts w:hint="default" w:ascii="Times New Roman" w:hAnsi="Times New Roman" w:eastAsia="方正小标宋_GBK" w:cs="Times New Roman"/>
          <w:b w:val="0"/>
          <w:bCs w:val="0"/>
          <w:sz w:val="28"/>
          <w:szCs w:val="28"/>
          <w:lang w:val="en-US" w:eastAsia="zh-CN"/>
        </w:rPr>
        <w:t>邵阳市北塔区医疗保障局2022年度部门整体支出</w:t>
      </w:r>
      <w:r>
        <w:rPr>
          <w:rFonts w:hint="eastAsia" w:ascii="Times New Roman" w:hAnsi="Times New Roman" w:eastAsia="方正小标宋_GBK" w:cs="Times New Roman"/>
          <w:b w:val="0"/>
          <w:bCs w:val="0"/>
          <w:sz w:val="28"/>
          <w:szCs w:val="28"/>
          <w:lang w:val="en-US" w:eastAsia="zh-CN"/>
        </w:rPr>
        <w:t>基础数据表</w:t>
      </w:r>
    </w:p>
    <w:tbl>
      <w:tblPr>
        <w:tblStyle w:val="18"/>
        <w:tblW w:w="9111" w:type="dxa"/>
        <w:jc w:val="center"/>
        <w:tblLayout w:type="fixed"/>
        <w:tblCellMar>
          <w:top w:w="0" w:type="dxa"/>
          <w:left w:w="108" w:type="dxa"/>
          <w:bottom w:w="0" w:type="dxa"/>
          <w:right w:w="108" w:type="dxa"/>
        </w:tblCellMar>
      </w:tblPr>
      <w:tblGrid>
        <w:gridCol w:w="3354"/>
        <w:gridCol w:w="1709"/>
        <w:gridCol w:w="10"/>
        <w:gridCol w:w="2319"/>
        <w:gridCol w:w="1719"/>
      </w:tblGrid>
      <w:tr>
        <w:tblPrEx>
          <w:tblCellMar>
            <w:top w:w="0" w:type="dxa"/>
            <w:left w:w="108" w:type="dxa"/>
            <w:bottom w:w="0" w:type="dxa"/>
            <w:right w:w="108" w:type="dxa"/>
          </w:tblCellMar>
        </w:tblPrEx>
        <w:trPr>
          <w:trHeight w:val="51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编制数</w:t>
            </w:r>
          </w:p>
        </w:tc>
        <w:tc>
          <w:tcPr>
            <w:tcW w:w="232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年末实际在职人数</w:t>
            </w:r>
          </w:p>
        </w:tc>
        <w:tc>
          <w:tcPr>
            <w:tcW w:w="171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控制率</w:t>
            </w:r>
          </w:p>
        </w:tc>
      </w:tr>
      <w:tr>
        <w:tblPrEx>
          <w:tblCellMar>
            <w:top w:w="0" w:type="dxa"/>
            <w:left w:w="108" w:type="dxa"/>
            <w:bottom w:w="0" w:type="dxa"/>
            <w:right w:w="108" w:type="dxa"/>
          </w:tblCellMar>
        </w:tblPrEx>
        <w:trPr>
          <w:trHeight w:val="51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14</w:t>
            </w:r>
          </w:p>
        </w:tc>
        <w:tc>
          <w:tcPr>
            <w:tcW w:w="232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15</w:t>
            </w:r>
          </w:p>
        </w:tc>
        <w:tc>
          <w:tcPr>
            <w:tcW w:w="171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107.14%</w:t>
            </w: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当年决算数</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当年预算数</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上年决算数</w:t>
            </w: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3,379,732.44</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3,379,732.44</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2,157,346.26</w:t>
            </w: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其中：1、压缩一般性支出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出国（境）经费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631</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999.7</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631</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999.7</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497,473.75</w:t>
            </w: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1、</w:t>
            </w:r>
            <w:r>
              <w:rPr>
                <w:rFonts w:hint="default" w:ascii="Times New Roman" w:hAnsi="Times New Roman" w:cs="Times New Roman"/>
                <w:kern w:val="0"/>
                <w:szCs w:val="21"/>
                <w:lang w:eastAsia="zh-CN"/>
              </w:rPr>
              <w:t>医疗救助</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631</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999.7</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631</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999.7</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497,473.75</w:t>
            </w:r>
          </w:p>
        </w:tc>
      </w:tr>
      <w:tr>
        <w:tblPrEx>
          <w:tblCellMar>
            <w:top w:w="0" w:type="dxa"/>
            <w:left w:w="108" w:type="dxa"/>
            <w:bottom w:w="0" w:type="dxa"/>
            <w:right w:w="108" w:type="dxa"/>
          </w:tblCellMar>
        </w:tblPrEx>
        <w:trPr>
          <w:trHeight w:val="51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default" w:ascii="Times New Roman" w:hAnsi="Times New Roman" w:cs="Times New Roman"/>
                <w:kern w:val="0"/>
                <w:szCs w:val="21"/>
              </w:rPr>
            </w:pPr>
            <w:r>
              <w:rPr>
                <w:rFonts w:hint="default" w:ascii="Times New Roman" w:hAnsi="Times New Roman" w:cs="Times New Roman"/>
                <w:kern w:val="0"/>
                <w:szCs w:val="21"/>
              </w:rPr>
              <w:t>政府采购金额</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Style w:val="28"/>
                <w:rFonts w:hint="default" w:ascii="Times New Roman" w:hAnsi="Times New Roman" w:eastAsia="仿宋_GB2312" w:cs="Times New Roman"/>
                <w:sz w:val="21"/>
                <w:szCs w:val="21"/>
                <w:lang w:val="en-US" w:eastAsia="zh-CN"/>
              </w:rPr>
              <w:t>10,000</w:t>
            </w:r>
            <w:r>
              <w:rPr>
                <w:rStyle w:val="28"/>
                <w:rFonts w:hint="default" w:ascii="Times New Roman" w:hAnsi="Times New Roman" w:eastAsia="仿宋_GB2312" w:cs="Times New Roman"/>
                <w:sz w:val="21"/>
                <w:szCs w:val="21"/>
              </w:rPr>
              <w:t>.00</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Style w:val="28"/>
                <w:rFonts w:hint="default" w:ascii="Times New Roman" w:hAnsi="Times New Roman" w:eastAsia="仿宋_GB2312" w:cs="Times New Roman"/>
                <w:sz w:val="21"/>
                <w:szCs w:val="21"/>
              </w:rPr>
              <w:t>67,369.00</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rPr>
            </w:pPr>
            <w:r>
              <w:rPr>
                <w:rStyle w:val="28"/>
                <w:rFonts w:hint="default" w:ascii="Times New Roman" w:hAnsi="Times New Roman" w:eastAsia="仿宋_GB2312" w:cs="Times New Roman"/>
                <w:sz w:val="21"/>
                <w:szCs w:val="21"/>
              </w:rPr>
              <w:t>122,232.00</w:t>
            </w:r>
          </w:p>
        </w:tc>
      </w:tr>
      <w:tr>
        <w:tblPrEx>
          <w:tblCellMar>
            <w:top w:w="0" w:type="dxa"/>
            <w:left w:w="108" w:type="dxa"/>
            <w:bottom w:w="0" w:type="dxa"/>
            <w:right w:w="108" w:type="dxa"/>
          </w:tblCellMar>
        </w:tblPrEx>
        <w:trPr>
          <w:trHeight w:val="51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厉行节约保障措施</w:t>
            </w:r>
          </w:p>
        </w:tc>
        <w:tc>
          <w:tcPr>
            <w:tcW w:w="5757" w:type="dxa"/>
            <w:gridSpan w:val="4"/>
            <w:tcBorders>
              <w:top w:val="single" w:color="auto" w:sz="4" w:space="0"/>
              <w:left w:val="nil"/>
              <w:bottom w:val="single" w:color="auto" w:sz="4" w:space="0"/>
              <w:right w:val="single" w:color="000000" w:sz="4" w:space="0"/>
            </w:tcBorders>
            <w:noWrap w:val="0"/>
            <w:vAlign w:val="center"/>
          </w:tcPr>
          <w:p>
            <w:pPr>
              <w:widowControl/>
              <w:tabs>
                <w:tab w:val="left" w:pos="1703"/>
              </w:tabs>
              <w:jc w:val="left"/>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ab/>
            </w:r>
            <w:r>
              <w:rPr>
                <w:rFonts w:hint="default" w:ascii="Times New Roman" w:hAnsi="Times New Roman" w:cs="Times New Roman"/>
                <w:kern w:val="0"/>
                <w:szCs w:val="21"/>
                <w:lang w:val="en-US" w:eastAsia="zh-CN"/>
              </w:rPr>
              <w:t>严格控制三公经费支出</w:t>
            </w:r>
            <w:r>
              <w:rPr>
                <w:rFonts w:hint="default" w:ascii="Times New Roman" w:hAnsi="Times New Roman" w:cs="Times New Roman"/>
                <w:kern w:val="0"/>
                <w:szCs w:val="21"/>
              </w:rPr>
              <w:t>　　</w:t>
            </w:r>
          </w:p>
        </w:tc>
      </w:tr>
    </w:tbl>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ascii="Times New Roman Regular" w:hAnsi="Times New Roman Regular" w:eastAsia="仿宋" w:cs="Times New Roman Regular"/>
          <w:b w:val="0"/>
          <w:bCs w:val="0"/>
          <w:sz w:val="32"/>
          <w:szCs w:val="32"/>
          <w:lang w:val="en-US" w:eastAsia="zh-CN"/>
        </w:rPr>
      </w:pPr>
    </w:p>
    <w:p>
      <w:pPr>
        <w:pStyle w:val="13"/>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3</w:t>
      </w:r>
      <w:r>
        <w:rPr>
          <w:rFonts w:hint="default" w:ascii="Times New Roman Regular" w:hAnsi="Times New Roman Regular" w:eastAsia="仿宋" w:cs="Times New Roman Regular"/>
          <w:b w:val="0"/>
          <w:bCs w:val="0"/>
          <w:sz w:val="32"/>
          <w:szCs w:val="32"/>
          <w:lang w:val="en-US" w:eastAsia="zh-CN"/>
        </w:rPr>
        <w:t>：</w:t>
      </w:r>
    </w:p>
    <w:p>
      <w:pPr>
        <w:pStyle w:val="13"/>
        <w:jc w:val="center"/>
        <w:rPr>
          <w:rFonts w:hint="default" w:ascii="Times New Roman" w:hAnsi="Times New Roman" w:eastAsia="方正小标宋_GBK" w:cs="Times New Roman"/>
          <w:b w:val="0"/>
          <w:bCs w:val="0"/>
          <w:sz w:val="28"/>
          <w:szCs w:val="28"/>
          <w:lang w:val="en-US" w:eastAsia="zh-CN"/>
        </w:rPr>
      </w:pPr>
      <w:r>
        <w:rPr>
          <w:rFonts w:hint="default" w:ascii="Times New Roman" w:hAnsi="Times New Roman" w:eastAsia="方正小标宋_GBK" w:cs="Times New Roman"/>
          <w:b w:val="0"/>
          <w:bCs w:val="0"/>
          <w:sz w:val="32"/>
          <w:szCs w:val="32"/>
          <w:lang w:val="en-US" w:eastAsia="zh-CN"/>
        </w:rPr>
        <w:t>邵阳市北塔区医疗保障局2022年度部门整体支出绩效自评表</w:t>
      </w:r>
    </w:p>
    <w:tbl>
      <w:tblPr>
        <w:tblStyle w:val="18"/>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900"/>
        <w:gridCol w:w="1050"/>
        <w:gridCol w:w="1005"/>
        <w:gridCol w:w="1695"/>
        <w:gridCol w:w="1521"/>
        <w:gridCol w:w="1466"/>
        <w:gridCol w:w="73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612" w:type="dxa"/>
            <w:vMerge w:val="restart"/>
            <w:noWrap w:val="0"/>
            <w:textDirection w:val="tbRlV"/>
            <w:vAlign w:val="center"/>
          </w:tcPr>
          <w:p>
            <w:pPr>
              <w:widowControl/>
              <w:ind w:left="113" w:right="113"/>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部门资金（万元）</w:t>
            </w: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全年预算数</w:t>
            </w:r>
          </w:p>
        </w:tc>
        <w:tc>
          <w:tcPr>
            <w:tcW w:w="152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全年执行数</w:t>
            </w:r>
          </w:p>
        </w:tc>
        <w:tc>
          <w:tcPr>
            <w:tcW w:w="1466"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预算执行率</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年度资金总额　</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401.17</w:t>
            </w:r>
          </w:p>
        </w:tc>
        <w:tc>
          <w:tcPr>
            <w:tcW w:w="152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401.17</w:t>
            </w:r>
          </w:p>
        </w:tc>
        <w:tc>
          <w:tcPr>
            <w:tcW w:w="1466"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100%</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465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按收入性质分类</w:t>
            </w:r>
          </w:p>
        </w:tc>
        <w:tc>
          <w:tcPr>
            <w:tcW w:w="465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一般公共预算拨款</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321.52</w:t>
            </w:r>
          </w:p>
        </w:tc>
        <w:tc>
          <w:tcPr>
            <w:tcW w:w="2987"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基本支出</w:t>
            </w:r>
          </w:p>
        </w:tc>
        <w:tc>
          <w:tcPr>
            <w:tcW w:w="1663" w:type="dxa"/>
            <w:gridSpan w:val="2"/>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337.97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政府性基金拨款</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p>
        </w:tc>
        <w:tc>
          <w:tcPr>
            <w:tcW w:w="2987"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bidi="ar"/>
              </w:rPr>
              <w:t>1.人员经费</w:t>
            </w:r>
          </w:p>
        </w:tc>
        <w:tc>
          <w:tcPr>
            <w:tcW w:w="1663"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纳入管理的非税收入拨款</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987" w:type="dxa"/>
            <w:gridSpan w:val="2"/>
            <w:noWrap w:val="0"/>
            <w:vAlign w:val="center"/>
          </w:tcPr>
          <w:p>
            <w:pPr>
              <w:widowControl/>
              <w:ind w:firstLine="420" w:firstLineChars="20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bidi="ar"/>
              </w:rPr>
              <w:t>2.公用经费</w:t>
            </w:r>
          </w:p>
        </w:tc>
        <w:tc>
          <w:tcPr>
            <w:tcW w:w="1663"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2987" w:type="dxa"/>
            <w:gridSpan w:val="2"/>
            <w:noWrap w:val="0"/>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其中：三公经费</w:t>
            </w:r>
          </w:p>
        </w:tc>
        <w:tc>
          <w:tcPr>
            <w:tcW w:w="1663"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其他资金</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79.65</w:t>
            </w:r>
            <w:r>
              <w:rPr>
                <w:rFonts w:hint="default" w:ascii="Times New Roman" w:hAnsi="Times New Roman" w:cs="Times New Roman" w:eastAsiaTheme="minorEastAsia"/>
                <w:color w:val="000000"/>
                <w:kern w:val="0"/>
                <w:sz w:val="21"/>
                <w:szCs w:val="21"/>
              </w:rPr>
              <w:t>　</w:t>
            </w:r>
          </w:p>
        </w:tc>
        <w:tc>
          <w:tcPr>
            <w:tcW w:w="2987"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项目支出</w:t>
            </w:r>
          </w:p>
        </w:tc>
        <w:tc>
          <w:tcPr>
            <w:tcW w:w="1663"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年度总体目标</w:t>
            </w:r>
          </w:p>
        </w:tc>
        <w:tc>
          <w:tcPr>
            <w:tcW w:w="465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年初预期（设定）目标　</w:t>
            </w:r>
          </w:p>
        </w:tc>
        <w:tc>
          <w:tcPr>
            <w:tcW w:w="465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918"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4650" w:type="dxa"/>
            <w:gridSpan w:val="4"/>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在本年度收支预算内，确保完成以下整体目标：</w:t>
            </w:r>
          </w:p>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目标1：人员经费按照相关政策及时发放到位</w:t>
            </w:r>
          </w:p>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目标2：严格控制三公经费，确保机关正常运行</w:t>
            </w:r>
          </w:p>
          <w:p>
            <w:pPr>
              <w:widowControl/>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目标3：做好社会保障工作</w:t>
            </w:r>
          </w:p>
        </w:tc>
        <w:tc>
          <w:tcPr>
            <w:tcW w:w="4650" w:type="dxa"/>
            <w:gridSpan w:val="4"/>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按照财政预算，严控三公经费，2022年本单位正常运行，人员相关经费按照政策及时发放到位。</w:t>
            </w:r>
            <w:r>
              <w:rPr>
                <w:rFonts w:hint="default" w:ascii="Times New Roman" w:hAnsi="Times New Roman" w:cs="Times New Roman" w:eastAsiaTheme="minorEastAsia"/>
                <w:color w:val="000000"/>
                <w:kern w:val="0"/>
                <w:sz w:val="21"/>
                <w:szCs w:val="21"/>
              </w:rPr>
              <w:t>　</w:t>
            </w:r>
          </w:p>
          <w:p>
            <w:pPr>
              <w:widowControl/>
              <w:jc w:val="center"/>
              <w:rPr>
                <w:rFonts w:hint="default" w:ascii="Times New Roman" w:hAnsi="Times New Roman" w:cs="Times New Roman" w:eastAsiaTheme="minorEastAsia"/>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noWrap w:val="0"/>
            <w:textDirection w:val="tbRlV"/>
            <w:vAlign w:val="center"/>
          </w:tcPr>
          <w:p>
            <w:pPr>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绩效指标</w:t>
            </w:r>
          </w:p>
        </w:tc>
        <w:tc>
          <w:tcPr>
            <w:tcW w:w="90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tc>
        <w:tc>
          <w:tcPr>
            <w:tcW w:w="105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2700"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三级指标　</w:t>
            </w:r>
          </w:p>
        </w:tc>
        <w:tc>
          <w:tcPr>
            <w:tcW w:w="152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年度指标值</w:t>
            </w:r>
          </w:p>
        </w:tc>
        <w:tc>
          <w:tcPr>
            <w:tcW w:w="1466"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实际完成值</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（50分）</w:t>
            </w:r>
          </w:p>
        </w:tc>
        <w:tc>
          <w:tcPr>
            <w:tcW w:w="105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eastAsia="zh-CN"/>
              </w:rPr>
              <w:t>全区医保缴费人数</w:t>
            </w:r>
          </w:p>
        </w:tc>
        <w:tc>
          <w:tcPr>
            <w:tcW w:w="1521"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75745人</w:t>
            </w:r>
          </w:p>
        </w:tc>
        <w:tc>
          <w:tcPr>
            <w:tcW w:w="1466"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75745人</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16</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eastAsia="zh-CN"/>
              </w:rPr>
              <w:t>特殊困难人群参保率</w:t>
            </w:r>
          </w:p>
        </w:tc>
        <w:tc>
          <w:tcPr>
            <w:tcW w:w="1521"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1466"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7</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tcBorders>
              <w:top w:val="nil"/>
            </w:tcBorders>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tcBorders>
              <w:top w:val="nil"/>
            </w:tcBorders>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vMerge w:val="continue"/>
            <w:tcBorders>
              <w:top w:val="nil"/>
            </w:tcBorders>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2700" w:type="dxa"/>
            <w:gridSpan w:val="2"/>
            <w:tcBorders>
              <w:top w:val="nil"/>
            </w:tcBorders>
            <w:noWrap w:val="0"/>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全区统筹参保率</w:t>
            </w:r>
          </w:p>
        </w:tc>
        <w:tc>
          <w:tcPr>
            <w:tcW w:w="1521"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100%</w:t>
            </w:r>
          </w:p>
        </w:tc>
        <w:tc>
          <w:tcPr>
            <w:tcW w:w="1466"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低于100%</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10</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时效指标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重点工作办结率</w:t>
            </w:r>
          </w:p>
        </w:tc>
        <w:tc>
          <w:tcPr>
            <w:tcW w:w="1521"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按时办结100%</w:t>
            </w:r>
          </w:p>
        </w:tc>
        <w:tc>
          <w:tcPr>
            <w:tcW w:w="1466"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按时办</w:t>
            </w:r>
            <w:r>
              <w:rPr>
                <w:rFonts w:hint="default" w:ascii="Times New Roman" w:hAnsi="Times New Roman" w:cs="Times New Roman" w:eastAsiaTheme="minorEastAsia"/>
                <w:color w:val="000000"/>
                <w:sz w:val="21"/>
                <w:szCs w:val="21"/>
                <w:lang w:val="en-US" w:eastAsia="zh-CN"/>
              </w:rPr>
              <w:t>结</w:t>
            </w:r>
            <w:r>
              <w:rPr>
                <w:rFonts w:hint="default" w:ascii="Times New Roman" w:hAnsi="Times New Roman" w:cs="Times New Roman" w:eastAsiaTheme="minorEastAsia"/>
                <w:color w:val="000000"/>
                <w:sz w:val="21"/>
                <w:szCs w:val="21"/>
              </w:rPr>
              <w:t>100%</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tcBorders>
              <w:top w:val="nil"/>
            </w:tcBorders>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tcBorders>
              <w:top w:val="nil"/>
            </w:tcBorders>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tcBorders>
              <w:top w:val="nil"/>
            </w:tcBorders>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各项业务经费不超出预算，超支审批</w:t>
            </w:r>
          </w:p>
        </w:tc>
        <w:tc>
          <w:tcPr>
            <w:tcW w:w="1521"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1466"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91" w:hRule="exact"/>
          <w:jc w:val="center"/>
        </w:trPr>
        <w:tc>
          <w:tcPr>
            <w:tcW w:w="612"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绩效指标</w:t>
            </w:r>
          </w:p>
        </w:tc>
        <w:tc>
          <w:tcPr>
            <w:tcW w:w="90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效益</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（30分）</w:t>
            </w:r>
          </w:p>
        </w:tc>
        <w:tc>
          <w:tcPr>
            <w:tcW w:w="105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经济效益指标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通过医保报销，提高居民可支配收入</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较上年有所</w:t>
            </w:r>
            <w:r>
              <w:rPr>
                <w:rFonts w:hint="default" w:ascii="Times New Roman" w:hAnsi="Times New Roman" w:cs="Times New Roman" w:eastAsiaTheme="minorEastAsia"/>
                <w:color w:val="000000"/>
                <w:sz w:val="21"/>
                <w:szCs w:val="21"/>
                <w:lang w:eastAsia="zh-CN"/>
              </w:rPr>
              <w:t>上升</w:t>
            </w:r>
          </w:p>
        </w:tc>
        <w:tc>
          <w:tcPr>
            <w:tcW w:w="1466"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 xml:space="preserve">有所上升 </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64" w:hRule="exact"/>
          <w:jc w:val="center"/>
        </w:trPr>
        <w:tc>
          <w:tcPr>
            <w:tcW w:w="612"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105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社会效益指标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居民住院报销</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保障全区医保居民住院报销</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有所保障</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14" w:hRule="exact"/>
          <w:jc w:val="center"/>
        </w:trPr>
        <w:tc>
          <w:tcPr>
            <w:tcW w:w="612"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1050" w:type="dxa"/>
            <w:vMerge w:val="continue"/>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大病保险补偿</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进行大病保险补偿</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降低大病家庭医疗负担</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46" w:hRule="exact"/>
          <w:jc w:val="center"/>
        </w:trPr>
        <w:tc>
          <w:tcPr>
            <w:tcW w:w="612"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1050" w:type="dxa"/>
            <w:vMerge w:val="continue"/>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医疗救助</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对家庭困难住院对象进行救助</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保障家庭困难住院对象医疗</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29" w:hRule="exact"/>
          <w:jc w:val="center"/>
        </w:trPr>
        <w:tc>
          <w:tcPr>
            <w:tcW w:w="612"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105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生态效益指标</w:t>
            </w:r>
          </w:p>
        </w:tc>
        <w:tc>
          <w:tcPr>
            <w:tcW w:w="2700" w:type="dxa"/>
            <w:gridSpan w:val="2"/>
            <w:noWrap w:val="0"/>
            <w:vAlign w:val="center"/>
          </w:tcPr>
          <w:p>
            <w:pPr>
              <w:pStyle w:val="3"/>
              <w:ind w:left="0" w:leftChars="0" w:right="0" w:rightChars="0" w:firstLine="0" w:firstLineChars="0"/>
              <w:jc w:val="center"/>
              <w:rPr>
                <w:rFonts w:hint="default" w:ascii="Times New Roman" w:hAnsi="Times New Roman" w:cs="Times New Roman" w:eastAsiaTheme="minorEastAsia"/>
                <w:b/>
                <w:kern w:val="44"/>
                <w:sz w:val="21"/>
                <w:szCs w:val="21"/>
                <w:lang w:val="en-US" w:eastAsia="zh-CN" w:bidi="ar"/>
              </w:rPr>
            </w:pPr>
            <w:r>
              <w:rPr>
                <w:rFonts w:hint="default" w:ascii="Times New Roman" w:hAnsi="Times New Roman" w:cs="Times New Roman" w:eastAsiaTheme="minorEastAsia"/>
                <w:b w:val="0"/>
                <w:color w:val="000000"/>
                <w:kern w:val="2"/>
                <w:sz w:val="21"/>
                <w:szCs w:val="21"/>
                <w:lang w:val="en-US" w:eastAsia="zh-CN" w:bidi="ar-SA"/>
              </w:rPr>
              <w:t>生态文明</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加强生态文明建设</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有所提升</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419"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vMerge w:val="restart"/>
            <w:tcBorders>
              <w:top w:val="nil"/>
            </w:tcBorders>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可持续影响指标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文明环境</w:t>
            </w:r>
          </w:p>
        </w:tc>
        <w:tc>
          <w:tcPr>
            <w:tcW w:w="1521" w:type="dxa"/>
            <w:tcBorders>
              <w:bottom w:val="nil"/>
            </w:tcBorders>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加强文明建设</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民众思想文化素养</w:t>
            </w:r>
            <w:r>
              <w:rPr>
                <w:rFonts w:hint="default" w:ascii="Times New Roman" w:hAnsi="Times New Roman" w:cs="Times New Roman" w:eastAsiaTheme="minorEastAsia"/>
                <w:color w:val="000000"/>
                <w:sz w:val="21"/>
                <w:szCs w:val="21"/>
                <w:lang w:val="en-US" w:eastAsia="zh-CN"/>
              </w:rPr>
              <w:t>提高，文明环境持续加强</w:t>
            </w:r>
          </w:p>
        </w:tc>
        <w:tc>
          <w:tcPr>
            <w:tcW w:w="732" w:type="dxa"/>
            <w:noWrap w:val="0"/>
            <w:vAlign w:val="center"/>
          </w:tcPr>
          <w:p>
            <w:pPr>
              <w:widowControl/>
              <w:spacing w:line="280" w:lineRule="exact"/>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931" w:type="dxa"/>
            <w:noWrap w:val="0"/>
            <w:vAlign w:val="center"/>
          </w:tcPr>
          <w:p>
            <w:pPr>
              <w:widowControl/>
              <w:spacing w:line="280" w:lineRule="exact"/>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71"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满意度</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（10分）</w:t>
            </w:r>
          </w:p>
        </w:tc>
        <w:tc>
          <w:tcPr>
            <w:tcW w:w="105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社会公众或服务对象满意度指标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干部职工满意度</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员工满意度≥95%</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83"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社会公众</w:t>
            </w:r>
            <w:r>
              <w:rPr>
                <w:rFonts w:hint="default" w:ascii="Times New Roman" w:hAnsi="Times New Roman" w:cs="Times New Roman" w:eastAsiaTheme="minorEastAsia"/>
                <w:color w:val="000000"/>
                <w:sz w:val="21"/>
                <w:szCs w:val="21"/>
                <w:lang w:val="en-US" w:eastAsia="zh-CN"/>
              </w:rPr>
              <w:t>或</w:t>
            </w:r>
            <w:r>
              <w:rPr>
                <w:rFonts w:hint="default" w:ascii="Times New Roman" w:hAnsi="Times New Roman" w:cs="Times New Roman" w:eastAsiaTheme="minorEastAsia"/>
                <w:color w:val="000000"/>
                <w:sz w:val="21"/>
                <w:szCs w:val="21"/>
              </w:rPr>
              <w:t>服务对象满意度</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社会公众或服务对象满意度≥95%</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bl>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7"/>
        <w:ind w:left="0" w:leftChars="0" w:firstLine="0" w:firstLineChars="0"/>
        <w:rPr>
          <w:rFonts w:hint="default" w:ascii="Times New Roman Regular" w:hAnsi="Times New Roman Regular" w:eastAsia="仿宋" w:cs="Times New Roman Regular"/>
          <w:b w:val="0"/>
          <w:bCs w:val="0"/>
          <w:sz w:val="31"/>
          <w:szCs w:val="31"/>
          <w:lang w:val="en-US" w:eastAsia="zh-CN"/>
        </w:rPr>
      </w:pPr>
    </w:p>
    <w:p>
      <w:pPr>
        <w:pStyle w:val="13"/>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4</w:t>
      </w:r>
      <w:r>
        <w:rPr>
          <w:rFonts w:hint="default" w:ascii="Times New Roman Regular" w:hAnsi="Times New Roman Regular" w:eastAsia="仿宋" w:cs="Times New Roman Regular"/>
          <w:b w:val="0"/>
          <w:bCs w:val="0"/>
          <w:sz w:val="32"/>
          <w:szCs w:val="32"/>
          <w:lang w:val="en-US" w:eastAsia="zh-CN"/>
        </w:rPr>
        <w:t>：</w:t>
      </w:r>
    </w:p>
    <w:p>
      <w:pPr>
        <w:pStyle w:val="13"/>
        <w:rPr>
          <w:rFonts w:hint="default" w:ascii="Times New Roman" w:hAnsi="Times New Roman" w:eastAsia="方正小标宋_GBK" w:cs="Times New Roman"/>
          <w:b w:val="0"/>
          <w:bCs w:val="0"/>
          <w:sz w:val="28"/>
          <w:szCs w:val="28"/>
          <w:lang w:val="en-US" w:eastAsia="zh-CN"/>
        </w:rPr>
      </w:pPr>
      <w:r>
        <w:rPr>
          <w:rFonts w:hint="default" w:ascii="Times New Roman" w:hAnsi="Times New Roman" w:eastAsia="方正小标宋_GBK" w:cs="Times New Roman"/>
          <w:b w:val="0"/>
          <w:bCs w:val="0"/>
          <w:sz w:val="32"/>
          <w:szCs w:val="32"/>
          <w:lang w:val="en-US" w:eastAsia="zh-CN"/>
        </w:rPr>
        <w:t>邵阳市北塔区医疗保障局2022年度部门整体支出项目绩效自评表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14"/>
        <w:gridCol w:w="852"/>
        <w:gridCol w:w="1145"/>
        <w:gridCol w:w="1460"/>
        <w:gridCol w:w="1298"/>
        <w:gridCol w:w="710"/>
        <w:gridCol w:w="71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项目支</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出名称</w:t>
            </w:r>
          </w:p>
        </w:tc>
        <w:tc>
          <w:tcPr>
            <w:tcW w:w="4463"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lang w:eastAsia="zh-CN"/>
              </w:rPr>
              <w:t>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主管部门</w:t>
            </w:r>
          </w:p>
        </w:tc>
        <w:tc>
          <w:tcPr>
            <w:tcW w:w="2394"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eastAsia="zh-CN"/>
              </w:rPr>
            </w:pPr>
            <w:r>
              <w:rPr>
                <w:rFonts w:hint="default" w:ascii="Times New Roman" w:hAnsi="Times New Roman" w:cs="Times New Roman" w:eastAsiaTheme="minorEastAsia"/>
                <w:b w:val="0"/>
                <w:bCs w:val="0"/>
                <w:color w:val="000000"/>
                <w:kern w:val="0"/>
                <w:sz w:val="21"/>
                <w:szCs w:val="21"/>
                <w:lang w:eastAsia="zh-CN"/>
              </w:rPr>
              <w:t>医疗保障局</w:t>
            </w:r>
          </w:p>
        </w:tc>
        <w:tc>
          <w:tcPr>
            <w:tcW w:w="69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实施单位</w:t>
            </w:r>
          </w:p>
        </w:tc>
        <w:tc>
          <w:tcPr>
            <w:tcW w:w="1376" w:type="pct"/>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eastAsia="zh-CN"/>
              </w:rPr>
            </w:pPr>
            <w:r>
              <w:rPr>
                <w:rFonts w:hint="default" w:ascii="Times New Roman" w:hAnsi="Times New Roman" w:cs="Times New Roman" w:eastAsiaTheme="minorEastAsia"/>
                <w:b w:val="0"/>
                <w:bCs w:val="0"/>
                <w:color w:val="000000"/>
                <w:kern w:val="0"/>
                <w:sz w:val="21"/>
                <w:szCs w:val="21"/>
                <w:lang w:eastAsia="zh-CN"/>
              </w:rPr>
              <w:t>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项目资金</w:t>
            </w:r>
            <w:r>
              <w:rPr>
                <w:rFonts w:hint="default" w:ascii="Times New Roman" w:hAnsi="Times New Roman" w:cs="Times New Roman" w:eastAsiaTheme="minorEastAsia"/>
                <w:b w:val="0"/>
                <w:bCs w:val="0"/>
                <w:color w:val="000000"/>
                <w:kern w:val="0"/>
                <w:sz w:val="21"/>
                <w:szCs w:val="21"/>
              </w:rPr>
              <w:br w:type="textWrapping"/>
            </w:r>
            <w:r>
              <w:rPr>
                <w:rFonts w:hint="default" w:ascii="Times New Roman" w:hAnsi="Times New Roman" w:cs="Times New Roman" w:eastAsiaTheme="minorEastAsia"/>
                <w:b w:val="0"/>
                <w:bCs w:val="0"/>
                <w:color w:val="000000"/>
                <w:kern w:val="0"/>
                <w:sz w:val="21"/>
                <w:szCs w:val="21"/>
              </w:rPr>
              <w:t>（万元）</w:t>
            </w:r>
          </w:p>
        </w:tc>
        <w:tc>
          <w:tcPr>
            <w:tcW w:w="999"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　</w:t>
            </w:r>
          </w:p>
        </w:tc>
        <w:tc>
          <w:tcPr>
            <w:tcW w:w="6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预算数</w:t>
            </w:r>
          </w:p>
        </w:tc>
        <w:tc>
          <w:tcPr>
            <w:tcW w:w="7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预算数</w:t>
            </w:r>
          </w:p>
        </w:tc>
        <w:tc>
          <w:tcPr>
            <w:tcW w:w="69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全年</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执行数</w:t>
            </w:r>
          </w:p>
        </w:tc>
        <w:tc>
          <w:tcPr>
            <w:tcW w:w="38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分值</w:t>
            </w:r>
          </w:p>
        </w:tc>
        <w:tc>
          <w:tcPr>
            <w:tcW w:w="38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执行率</w:t>
            </w:r>
          </w:p>
        </w:tc>
        <w:tc>
          <w:tcPr>
            <w:tcW w:w="615"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999"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年度资金总额　</w:t>
            </w:r>
          </w:p>
        </w:tc>
        <w:tc>
          <w:tcPr>
            <w:tcW w:w="6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7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i w:val="0"/>
                <w:iCs w:val="0"/>
                <w:caps w:val="0"/>
                <w:color w:val="1E1E1E"/>
                <w:spacing w:val="0"/>
                <w:sz w:val="21"/>
                <w:szCs w:val="21"/>
                <w:shd w:val="clear" w:fill="FFFFFF"/>
              </w:rPr>
              <w:t>63.2</w:t>
            </w:r>
          </w:p>
        </w:tc>
        <w:tc>
          <w:tcPr>
            <w:tcW w:w="69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i w:val="0"/>
                <w:iCs w:val="0"/>
                <w:caps w:val="0"/>
                <w:color w:val="1E1E1E"/>
                <w:spacing w:val="0"/>
                <w:sz w:val="21"/>
                <w:szCs w:val="21"/>
                <w:shd w:val="clear" w:fill="FFFFFF"/>
              </w:rPr>
              <w:t>63.2</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bidi="ar-SA"/>
              </w:rPr>
            </w:pPr>
            <w:r>
              <w:rPr>
                <w:rFonts w:hint="default" w:ascii="Times New Roman" w:hAnsi="Times New Roman" w:cs="Times New Roman" w:eastAsiaTheme="minorEastAsia"/>
                <w:b w:val="0"/>
                <w:bCs w:val="0"/>
                <w:color w:val="000000"/>
                <w:kern w:val="0"/>
                <w:sz w:val="21"/>
                <w:szCs w:val="21"/>
                <w:lang w:val="en-US" w:eastAsia="zh-CN"/>
              </w:rPr>
              <w:t>10</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bidi="ar-SA"/>
              </w:rPr>
            </w:pPr>
            <w:r>
              <w:rPr>
                <w:rFonts w:hint="default" w:ascii="Times New Roman" w:hAnsi="Times New Roman" w:cs="Times New Roman" w:eastAsiaTheme="minorEastAsia"/>
                <w:b w:val="0"/>
                <w:bCs w:val="0"/>
                <w:color w:val="000000"/>
                <w:kern w:val="0"/>
                <w:sz w:val="21"/>
                <w:szCs w:val="21"/>
                <w:lang w:val="en-US" w:eastAsia="zh-CN"/>
              </w:rPr>
              <w:t>100%</w:t>
            </w: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bidi="ar-SA"/>
              </w:rPr>
            </w:pPr>
            <w:r>
              <w:rPr>
                <w:rFonts w:hint="default" w:ascii="Times New Roman" w:hAnsi="Times New Roman" w:cs="Times New Roman" w:eastAsiaTheme="minorEastAsia"/>
                <w:b w:val="0"/>
                <w:bCs w:val="0"/>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999"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其中：当年财政拨款　</w:t>
            </w:r>
          </w:p>
        </w:tc>
        <w:tc>
          <w:tcPr>
            <w:tcW w:w="6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7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69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999"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上年结转资金　</w:t>
            </w:r>
          </w:p>
        </w:tc>
        <w:tc>
          <w:tcPr>
            <w:tcW w:w="6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7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69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999"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其他资金</w:t>
            </w:r>
          </w:p>
        </w:tc>
        <w:tc>
          <w:tcPr>
            <w:tcW w:w="6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7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i w:val="0"/>
                <w:iCs w:val="0"/>
                <w:caps w:val="0"/>
                <w:color w:val="1E1E1E"/>
                <w:spacing w:val="0"/>
                <w:sz w:val="21"/>
                <w:szCs w:val="21"/>
                <w:shd w:val="clear" w:fill="FFFFFF"/>
              </w:rPr>
              <w:t>63.2</w:t>
            </w:r>
          </w:p>
        </w:tc>
        <w:tc>
          <w:tcPr>
            <w:tcW w:w="69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i w:val="0"/>
                <w:iCs w:val="0"/>
                <w:caps w:val="0"/>
                <w:color w:val="1E1E1E"/>
                <w:spacing w:val="0"/>
                <w:sz w:val="21"/>
                <w:szCs w:val="21"/>
                <w:shd w:val="clear" w:fill="FFFFFF"/>
              </w:rPr>
              <w:t>63.2</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年度总体目标</w:t>
            </w:r>
          </w:p>
        </w:tc>
        <w:tc>
          <w:tcPr>
            <w:tcW w:w="2394"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预期目标</w:t>
            </w:r>
          </w:p>
        </w:tc>
        <w:tc>
          <w:tcPr>
            <w:tcW w:w="2069"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2394"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eastAsia="zh-CN"/>
              </w:rPr>
            </w:pPr>
            <w:r>
              <w:rPr>
                <w:rFonts w:hint="default" w:ascii="Times New Roman" w:hAnsi="Times New Roman" w:cs="Times New Roman" w:eastAsiaTheme="minorEastAsia"/>
                <w:b w:val="0"/>
                <w:bCs w:val="0"/>
                <w:color w:val="000000"/>
                <w:kern w:val="0"/>
                <w:sz w:val="21"/>
                <w:szCs w:val="21"/>
                <w:lang w:eastAsia="zh-CN"/>
              </w:rPr>
              <w:t>对家庭困难住院对象进行救助。</w:t>
            </w:r>
          </w:p>
        </w:tc>
        <w:tc>
          <w:tcPr>
            <w:tcW w:w="2069"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lang w:eastAsia="zh-CN"/>
              </w:rPr>
              <w:t>对家庭困难住院对象进行救助。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标</w:t>
            </w:r>
          </w:p>
        </w:tc>
        <w:tc>
          <w:tcPr>
            <w:tcW w:w="54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一级指标</w:t>
            </w:r>
          </w:p>
        </w:tc>
        <w:tc>
          <w:tcPr>
            <w:tcW w:w="45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二级指标</w:t>
            </w:r>
          </w:p>
        </w:tc>
        <w:tc>
          <w:tcPr>
            <w:tcW w:w="6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三级指标</w:t>
            </w:r>
          </w:p>
        </w:tc>
        <w:tc>
          <w:tcPr>
            <w:tcW w:w="78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年度</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指标值</w:t>
            </w:r>
          </w:p>
        </w:tc>
        <w:tc>
          <w:tcPr>
            <w:tcW w:w="69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实际</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完成值</w:t>
            </w:r>
          </w:p>
        </w:tc>
        <w:tc>
          <w:tcPr>
            <w:tcW w:w="38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分值</w:t>
            </w:r>
          </w:p>
        </w:tc>
        <w:tc>
          <w:tcPr>
            <w:tcW w:w="38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得分</w:t>
            </w:r>
          </w:p>
        </w:tc>
        <w:tc>
          <w:tcPr>
            <w:tcW w:w="615"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偏差原因</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分析及</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5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cs="Times New Roman" w:eastAsiaTheme="minorEastAsia"/>
                <w:b w:val="0"/>
                <w:bCs w:val="0"/>
                <w:color w:val="000000"/>
                <w:kern w:val="0"/>
                <w:sz w:val="21"/>
                <w:szCs w:val="21"/>
                <w:lang w:eastAsia="zh-CN"/>
              </w:rPr>
            </w:pPr>
            <w:r>
              <w:rPr>
                <w:rFonts w:hint="default" w:ascii="Times New Roman" w:hAnsi="Times New Roman" w:cs="Times New Roman" w:eastAsiaTheme="minorEastAsia"/>
                <w:b w:val="0"/>
                <w:bCs w:val="0"/>
                <w:color w:val="000000"/>
                <w:kern w:val="0"/>
                <w:sz w:val="21"/>
                <w:szCs w:val="21"/>
              </w:rPr>
              <w:t>产出指标</w:t>
            </w:r>
            <w:r>
              <w:rPr>
                <w:rFonts w:hint="eastAsia" w:ascii="Times New Roman" w:hAnsi="Times New Roman" w:cs="Times New Roman"/>
                <w:b w:val="0"/>
                <w:bCs w:val="0"/>
                <w:color w:val="000000"/>
                <w:kern w:val="0"/>
                <w:sz w:val="21"/>
                <w:szCs w:val="21"/>
                <w:lang w:eastAsia="zh-CN"/>
              </w:rPr>
              <w:t>（</w:t>
            </w:r>
            <w:r>
              <w:rPr>
                <w:rFonts w:hint="default" w:ascii="Times New Roman" w:hAnsi="Times New Roman" w:cs="Times New Roman" w:eastAsiaTheme="minorEastAsia"/>
                <w:b w:val="0"/>
                <w:bCs w:val="0"/>
                <w:color w:val="000000"/>
                <w:kern w:val="0"/>
                <w:sz w:val="21"/>
                <w:szCs w:val="21"/>
              </w:rPr>
              <w:t>50分</w:t>
            </w:r>
            <w:r>
              <w:rPr>
                <w:rFonts w:hint="eastAsia" w:ascii="Times New Roman" w:hAnsi="Times New Roman" w:cs="Times New Roman"/>
                <w:b w:val="0"/>
                <w:bCs w:val="0"/>
                <w:color w:val="000000"/>
                <w:kern w:val="0"/>
                <w:sz w:val="21"/>
                <w:szCs w:val="21"/>
                <w:lang w:eastAsia="zh-CN"/>
              </w:rPr>
              <w:t>）</w:t>
            </w:r>
          </w:p>
        </w:tc>
        <w:tc>
          <w:tcPr>
            <w:tcW w:w="4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数量指标</w:t>
            </w:r>
          </w:p>
        </w:tc>
        <w:tc>
          <w:tcPr>
            <w:tcW w:w="6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eastAsia="zh-CN"/>
              </w:rPr>
            </w:pPr>
            <w:r>
              <w:rPr>
                <w:rFonts w:hint="default" w:ascii="Times New Roman" w:hAnsi="Times New Roman" w:cs="Times New Roman" w:eastAsiaTheme="minorEastAsia"/>
                <w:b w:val="0"/>
                <w:bCs w:val="0"/>
                <w:color w:val="000000"/>
                <w:kern w:val="0"/>
                <w:sz w:val="21"/>
                <w:szCs w:val="21"/>
                <w:lang w:eastAsia="zh-CN"/>
              </w:rPr>
              <w:t>医疗救助</w:t>
            </w:r>
          </w:p>
        </w:tc>
        <w:tc>
          <w:tcPr>
            <w:tcW w:w="7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i w:val="0"/>
                <w:iCs w:val="0"/>
                <w:caps w:val="0"/>
                <w:color w:val="1E1E1E"/>
                <w:spacing w:val="0"/>
                <w:sz w:val="21"/>
                <w:szCs w:val="21"/>
                <w:shd w:val="clear" w:fill="FFFFFF"/>
              </w:rPr>
              <w:t>63.2</w:t>
            </w:r>
            <w:r>
              <w:rPr>
                <w:rFonts w:hint="default" w:ascii="Times New Roman" w:hAnsi="Times New Roman" w:cs="Times New Roman" w:eastAsiaTheme="minorEastAsia"/>
                <w:b w:val="0"/>
                <w:bCs w:val="0"/>
                <w:i w:val="0"/>
                <w:iCs w:val="0"/>
                <w:caps w:val="0"/>
                <w:color w:val="1E1E1E"/>
                <w:spacing w:val="0"/>
                <w:sz w:val="21"/>
                <w:szCs w:val="21"/>
                <w:shd w:val="clear" w:fill="FFFFFF"/>
                <w:lang w:eastAsia="zh-CN"/>
              </w:rPr>
              <w:t>万元</w:t>
            </w:r>
          </w:p>
        </w:tc>
        <w:tc>
          <w:tcPr>
            <w:tcW w:w="69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bidi="ar-SA"/>
              </w:rPr>
            </w:pPr>
            <w:r>
              <w:rPr>
                <w:rFonts w:hint="default" w:ascii="Times New Roman" w:hAnsi="Times New Roman" w:cs="Times New Roman" w:eastAsiaTheme="minorEastAsia"/>
                <w:b w:val="0"/>
                <w:bCs w:val="0"/>
                <w:i w:val="0"/>
                <w:iCs w:val="0"/>
                <w:caps w:val="0"/>
                <w:color w:val="1E1E1E"/>
                <w:spacing w:val="0"/>
                <w:sz w:val="21"/>
                <w:szCs w:val="21"/>
                <w:shd w:val="clear" w:fill="FFFFFF"/>
              </w:rPr>
              <w:t>63.2</w:t>
            </w:r>
            <w:r>
              <w:rPr>
                <w:rFonts w:hint="default" w:ascii="Times New Roman" w:hAnsi="Times New Roman" w:cs="Times New Roman" w:eastAsiaTheme="minorEastAsia"/>
                <w:b w:val="0"/>
                <w:bCs w:val="0"/>
                <w:i w:val="0"/>
                <w:iCs w:val="0"/>
                <w:caps w:val="0"/>
                <w:color w:val="1E1E1E"/>
                <w:spacing w:val="0"/>
                <w:sz w:val="21"/>
                <w:szCs w:val="21"/>
                <w:shd w:val="clear" w:fill="FFFFFF"/>
                <w:lang w:eastAsia="zh-CN"/>
              </w:rPr>
              <w:t>万元</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16</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16</w:t>
            </w: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54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4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质量指标</w:t>
            </w:r>
          </w:p>
        </w:tc>
        <w:tc>
          <w:tcPr>
            <w:tcW w:w="6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困难医疗救助率</w:t>
            </w:r>
          </w:p>
        </w:tc>
        <w:tc>
          <w:tcPr>
            <w:tcW w:w="78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救助困难家庭</w:t>
            </w:r>
          </w:p>
        </w:tc>
        <w:tc>
          <w:tcPr>
            <w:tcW w:w="69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对报送困难家庭进行医疗救助</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17</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15</w:t>
            </w: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54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4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时效指标</w:t>
            </w:r>
          </w:p>
        </w:tc>
        <w:tc>
          <w:tcPr>
            <w:tcW w:w="6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eastAsia="zh-CN"/>
              </w:rPr>
            </w:pPr>
            <w:r>
              <w:rPr>
                <w:rFonts w:hint="default" w:ascii="Times New Roman" w:hAnsi="Times New Roman" w:cs="Times New Roman" w:eastAsiaTheme="minorEastAsia"/>
                <w:b w:val="0"/>
                <w:bCs w:val="0"/>
                <w:color w:val="000000"/>
                <w:kern w:val="0"/>
                <w:sz w:val="21"/>
                <w:szCs w:val="21"/>
                <w:lang w:eastAsia="zh-CN"/>
              </w:rPr>
              <w:t>医疗救助</w:t>
            </w:r>
          </w:p>
        </w:tc>
        <w:tc>
          <w:tcPr>
            <w:tcW w:w="7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sz w:val="21"/>
                <w:szCs w:val="21"/>
              </w:rPr>
              <w:t>重点工作办结率</w:t>
            </w:r>
          </w:p>
        </w:tc>
        <w:tc>
          <w:tcPr>
            <w:tcW w:w="69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sz w:val="21"/>
                <w:szCs w:val="21"/>
              </w:rPr>
              <w:t>按时办结100%</w:t>
            </w:r>
          </w:p>
        </w:tc>
        <w:tc>
          <w:tcPr>
            <w:tcW w:w="38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eastAsia="zh-CN"/>
              </w:rPr>
            </w:pPr>
            <w:r>
              <w:rPr>
                <w:rFonts w:hint="default" w:ascii="Times New Roman" w:hAnsi="Times New Roman" w:cs="Times New Roman" w:eastAsiaTheme="minorEastAsia"/>
                <w:b w:val="0"/>
                <w:bCs w:val="0"/>
                <w:color w:val="000000"/>
                <w:sz w:val="21"/>
                <w:szCs w:val="21"/>
                <w:lang w:val="en-US" w:eastAsia="zh-CN"/>
              </w:rPr>
              <w:t>8</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lang w:val="en-US" w:eastAsia="zh-CN"/>
              </w:rPr>
              <w:t>8</w:t>
            </w: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54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4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成本指标</w:t>
            </w:r>
          </w:p>
        </w:tc>
        <w:tc>
          <w:tcPr>
            <w:tcW w:w="6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eastAsia="zh-CN"/>
              </w:rPr>
            </w:pPr>
            <w:r>
              <w:rPr>
                <w:rFonts w:hint="default" w:ascii="Times New Roman" w:hAnsi="Times New Roman" w:cs="Times New Roman" w:eastAsiaTheme="minorEastAsia"/>
                <w:b w:val="0"/>
                <w:bCs w:val="0"/>
                <w:color w:val="000000"/>
                <w:kern w:val="0"/>
                <w:sz w:val="21"/>
                <w:szCs w:val="21"/>
                <w:lang w:eastAsia="zh-CN"/>
              </w:rPr>
              <w:t>救助金额</w:t>
            </w:r>
          </w:p>
        </w:tc>
        <w:tc>
          <w:tcPr>
            <w:tcW w:w="7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sz w:val="21"/>
                <w:szCs w:val="21"/>
                <w:lang w:eastAsia="zh-CN"/>
              </w:rPr>
              <w:t>医疗救助</w:t>
            </w:r>
            <w:r>
              <w:rPr>
                <w:rFonts w:hint="default" w:ascii="Times New Roman" w:hAnsi="Times New Roman" w:cs="Times New Roman" w:eastAsiaTheme="minorEastAsia"/>
                <w:b w:val="0"/>
                <w:bCs w:val="0"/>
                <w:color w:val="000000"/>
                <w:sz w:val="21"/>
                <w:szCs w:val="21"/>
              </w:rPr>
              <w:t>费不超出预算</w:t>
            </w:r>
          </w:p>
        </w:tc>
        <w:tc>
          <w:tcPr>
            <w:tcW w:w="69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sz w:val="21"/>
                <w:szCs w:val="21"/>
              </w:rPr>
              <w:t>100%</w:t>
            </w:r>
          </w:p>
        </w:tc>
        <w:tc>
          <w:tcPr>
            <w:tcW w:w="38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eastAsia="zh-CN"/>
              </w:rPr>
            </w:pPr>
            <w:r>
              <w:rPr>
                <w:rFonts w:hint="default" w:ascii="Times New Roman" w:hAnsi="Times New Roman" w:cs="Times New Roman" w:eastAsiaTheme="minorEastAsia"/>
                <w:b w:val="0"/>
                <w:bCs w:val="0"/>
                <w:color w:val="000000"/>
                <w:sz w:val="21"/>
                <w:szCs w:val="21"/>
                <w:lang w:val="en-US" w:eastAsia="zh-CN"/>
              </w:rPr>
              <w:t>9</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lang w:val="en-US" w:eastAsia="zh-CN"/>
              </w:rPr>
              <w:t>9</w:t>
            </w: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5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效益指标（30分）</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4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益指标</w:t>
            </w:r>
          </w:p>
        </w:tc>
        <w:tc>
          <w:tcPr>
            <w:tcW w:w="6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eastAsia="zh-CN"/>
              </w:rPr>
            </w:pPr>
            <w:r>
              <w:rPr>
                <w:rFonts w:hint="default" w:ascii="Times New Roman" w:hAnsi="Times New Roman" w:cs="Times New Roman" w:eastAsiaTheme="minorEastAsia"/>
                <w:b w:val="0"/>
                <w:bCs w:val="0"/>
                <w:sz w:val="21"/>
                <w:szCs w:val="21"/>
                <w:lang w:eastAsia="zh-CN"/>
              </w:rPr>
              <w:t>过救助提高居民可支配收入水平</w:t>
            </w:r>
          </w:p>
        </w:tc>
        <w:tc>
          <w:tcPr>
            <w:tcW w:w="7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sz w:val="21"/>
                <w:szCs w:val="21"/>
                <w:lang w:eastAsia="zh-CN"/>
              </w:rPr>
              <w:t>通过救助提高居民可支配收入水平</w:t>
            </w:r>
          </w:p>
        </w:tc>
        <w:tc>
          <w:tcPr>
            <w:tcW w:w="69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sz w:val="21"/>
                <w:szCs w:val="21"/>
                <w:lang w:eastAsia="zh-CN"/>
              </w:rPr>
              <w:t>可支配水平提高</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15</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rPr>
            </w:pPr>
            <w:r>
              <w:rPr>
                <w:rFonts w:hint="default" w:ascii="Times New Roman" w:hAnsi="Times New Roman" w:cs="Times New Roman" w:eastAsiaTheme="minorEastAsia"/>
                <w:b w:val="0"/>
                <w:bCs w:val="0"/>
                <w:color w:val="000000"/>
                <w:kern w:val="0"/>
                <w:sz w:val="21"/>
                <w:szCs w:val="21"/>
                <w:lang w:val="en-US" w:eastAsia="zh-CN"/>
              </w:rPr>
              <w:t>14</w:t>
            </w: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54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4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益指标</w:t>
            </w:r>
          </w:p>
        </w:tc>
        <w:tc>
          <w:tcPr>
            <w:tcW w:w="6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保障困难家庭住院</w:t>
            </w:r>
          </w:p>
        </w:tc>
        <w:tc>
          <w:tcPr>
            <w:tcW w:w="78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降低困难家庭住院难度</w:t>
            </w:r>
          </w:p>
        </w:tc>
        <w:tc>
          <w:tcPr>
            <w:tcW w:w="69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sz w:val="21"/>
                <w:szCs w:val="21"/>
                <w:lang w:eastAsia="zh-CN"/>
              </w:rPr>
              <w:t>困难家庭住院难度有所降低</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7</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7</w:t>
            </w: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54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4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益指标</w:t>
            </w:r>
          </w:p>
        </w:tc>
        <w:tc>
          <w:tcPr>
            <w:tcW w:w="6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生态可持续发展</w:t>
            </w:r>
          </w:p>
        </w:tc>
        <w:tc>
          <w:tcPr>
            <w:tcW w:w="78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eastAsia="zh-CN"/>
              </w:rPr>
              <w:t>生态可持续发展</w:t>
            </w:r>
          </w:p>
        </w:tc>
        <w:tc>
          <w:tcPr>
            <w:tcW w:w="69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eastAsia="zh-CN"/>
              </w:rPr>
              <w:t>生态可持续发展</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4</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4</w:t>
            </w: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5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p>
        </w:tc>
        <w:tc>
          <w:tcPr>
            <w:tcW w:w="4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可持续影响指标</w:t>
            </w:r>
          </w:p>
        </w:tc>
        <w:tc>
          <w:tcPr>
            <w:tcW w:w="6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文明建设</w:t>
            </w:r>
          </w:p>
        </w:tc>
        <w:tc>
          <w:tcPr>
            <w:tcW w:w="78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提高全区文明建设水平</w:t>
            </w:r>
          </w:p>
        </w:tc>
        <w:tc>
          <w:tcPr>
            <w:tcW w:w="69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文明建设水平有所提升</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4</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4</w:t>
            </w: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6"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p>
        </w:tc>
        <w:tc>
          <w:tcPr>
            <w:tcW w:w="5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满意度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（10分）</w:t>
            </w:r>
          </w:p>
        </w:tc>
        <w:tc>
          <w:tcPr>
            <w:tcW w:w="4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服务对象满意度指标</w:t>
            </w:r>
          </w:p>
        </w:tc>
        <w:tc>
          <w:tcPr>
            <w:tcW w:w="6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sz w:val="21"/>
                <w:szCs w:val="21"/>
              </w:rPr>
              <w:t>社会公众</w:t>
            </w:r>
            <w:r>
              <w:rPr>
                <w:rFonts w:hint="default" w:ascii="Times New Roman" w:hAnsi="Times New Roman" w:cs="Times New Roman" w:eastAsiaTheme="minorEastAsia"/>
                <w:b w:val="0"/>
                <w:bCs w:val="0"/>
                <w:color w:val="000000"/>
                <w:sz w:val="21"/>
                <w:szCs w:val="21"/>
                <w:lang w:val="en-US" w:eastAsia="zh-CN"/>
              </w:rPr>
              <w:t>或</w:t>
            </w:r>
            <w:r>
              <w:rPr>
                <w:rFonts w:hint="default" w:ascii="Times New Roman" w:hAnsi="Times New Roman" w:cs="Times New Roman" w:eastAsiaTheme="minorEastAsia"/>
                <w:b w:val="0"/>
                <w:bCs w:val="0"/>
                <w:color w:val="000000"/>
                <w:sz w:val="21"/>
                <w:szCs w:val="21"/>
              </w:rPr>
              <w:t>服务对象满意度</w:t>
            </w:r>
          </w:p>
        </w:tc>
        <w:tc>
          <w:tcPr>
            <w:tcW w:w="7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sz w:val="21"/>
                <w:szCs w:val="21"/>
              </w:rPr>
              <w:t>社会公众或服务对象满意度≥95%</w:t>
            </w:r>
          </w:p>
        </w:tc>
        <w:tc>
          <w:tcPr>
            <w:tcW w:w="69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sz w:val="21"/>
                <w:szCs w:val="21"/>
                <w:lang w:val="en-US" w:eastAsia="zh-CN"/>
              </w:rPr>
              <w:t>98%</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10</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lang w:val="en-US" w:eastAsia="zh-CN"/>
              </w:rPr>
              <w:t>10</w:t>
            </w: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23" w:type="pct"/>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总分</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100</w:t>
            </w:r>
          </w:p>
        </w:tc>
        <w:tc>
          <w:tcPr>
            <w:tcW w:w="3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lang w:val="en-US" w:eastAsia="zh-CN"/>
              </w:rPr>
            </w:pPr>
            <w:r>
              <w:rPr>
                <w:rFonts w:hint="default" w:ascii="Times New Roman" w:hAnsi="Times New Roman" w:cs="Times New Roman" w:eastAsiaTheme="minorEastAsia"/>
                <w:b w:val="0"/>
                <w:bCs w:val="0"/>
                <w:color w:val="000000"/>
                <w:kern w:val="0"/>
                <w:sz w:val="21"/>
                <w:szCs w:val="21"/>
              </w:rPr>
              <w:t>　</w:t>
            </w:r>
            <w:r>
              <w:rPr>
                <w:rFonts w:hint="default" w:ascii="Times New Roman" w:hAnsi="Times New Roman" w:cs="Times New Roman" w:eastAsiaTheme="minorEastAsia"/>
                <w:b w:val="0"/>
                <w:bCs w:val="0"/>
                <w:color w:val="000000"/>
                <w:kern w:val="0"/>
                <w:sz w:val="21"/>
                <w:szCs w:val="21"/>
                <w:lang w:val="en-US" w:eastAsia="zh-CN"/>
              </w:rPr>
              <w:t>95</w:t>
            </w:r>
          </w:p>
        </w:tc>
        <w:tc>
          <w:tcPr>
            <w:tcW w:w="61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b w:val="0"/>
                <w:bCs w:val="0"/>
                <w:color w:val="000000"/>
                <w:kern w:val="0"/>
                <w:sz w:val="21"/>
                <w:szCs w:val="21"/>
              </w:rPr>
            </w:pPr>
            <w:r>
              <w:rPr>
                <w:rFonts w:hint="default" w:ascii="Times New Roman" w:hAnsi="Times New Roman" w:cs="Times New Roman" w:eastAsiaTheme="minorEastAsia"/>
                <w:b w:val="0"/>
                <w:bCs w:val="0"/>
                <w:color w:val="000000"/>
                <w:kern w:val="0"/>
                <w:sz w:val="21"/>
                <w:szCs w:val="21"/>
              </w:rPr>
              <w:t>　</w:t>
            </w:r>
          </w:p>
        </w:tc>
      </w:tr>
    </w:tbl>
    <w:p>
      <w:pPr>
        <w:pStyle w:val="17"/>
        <w:keepNext w:val="0"/>
        <w:keepLines w:val="0"/>
        <w:pageBreakBefore w:val="0"/>
        <w:widowControl w:val="0"/>
        <w:kinsoku/>
        <w:wordWrap/>
        <w:overflowPunct/>
        <w:topLinePunct w:val="0"/>
        <w:autoSpaceDE/>
        <w:autoSpaceDN/>
        <w:bidi w:val="0"/>
        <w:adjustRightInd w:val="0"/>
        <w:snapToGrid w:val="0"/>
        <w:spacing w:line="20" w:lineRule="atLeast"/>
        <w:ind w:left="0" w:leftChars="0" w:firstLine="0" w:firstLineChars="0"/>
        <w:textAlignment w:val="auto"/>
        <w:rPr>
          <w:rFonts w:hint="default" w:ascii="Times New Roman Regular" w:hAnsi="Times New Roman Regular" w:eastAsia="仿宋" w:cs="Times New Roman Regular"/>
          <w:b w:val="0"/>
          <w:bCs w:val="0"/>
          <w:sz w:val="31"/>
          <w:szCs w:val="31"/>
          <w:lang w:val="en-US" w:eastAsia="zh-CN"/>
        </w:rPr>
      </w:pPr>
    </w:p>
    <w:sectPr>
      <w:headerReference r:id="rId7" w:type="default"/>
      <w:pgSz w:w="11906" w:h="16838"/>
      <w:pgMar w:top="986" w:right="1389" w:bottom="986" w:left="1389" w:header="227"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邵阳市北塔区医疗保障局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邵阳市北塔区医疗保障局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邵阳市北塔区医疗保障局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3449EF"/>
    <w:rsid w:val="003D21B2"/>
    <w:rsid w:val="00A83AD0"/>
    <w:rsid w:val="00D42B17"/>
    <w:rsid w:val="00D64AE1"/>
    <w:rsid w:val="00F700A8"/>
    <w:rsid w:val="01031033"/>
    <w:rsid w:val="01070A50"/>
    <w:rsid w:val="01141165"/>
    <w:rsid w:val="015107AC"/>
    <w:rsid w:val="015D63FC"/>
    <w:rsid w:val="01722330"/>
    <w:rsid w:val="019138A1"/>
    <w:rsid w:val="0194120E"/>
    <w:rsid w:val="01941529"/>
    <w:rsid w:val="01B54127"/>
    <w:rsid w:val="01DD36AA"/>
    <w:rsid w:val="01DE3C65"/>
    <w:rsid w:val="01FD29C4"/>
    <w:rsid w:val="01FD7E4B"/>
    <w:rsid w:val="02092C94"/>
    <w:rsid w:val="021653B1"/>
    <w:rsid w:val="023A2E4D"/>
    <w:rsid w:val="024C0DD3"/>
    <w:rsid w:val="02533F0F"/>
    <w:rsid w:val="02A767F1"/>
    <w:rsid w:val="02B4470B"/>
    <w:rsid w:val="02BD79F4"/>
    <w:rsid w:val="02D3485F"/>
    <w:rsid w:val="030A17AF"/>
    <w:rsid w:val="034C2738"/>
    <w:rsid w:val="035B53EC"/>
    <w:rsid w:val="037B7F18"/>
    <w:rsid w:val="039E5752"/>
    <w:rsid w:val="03A04F32"/>
    <w:rsid w:val="03CD3298"/>
    <w:rsid w:val="0486237A"/>
    <w:rsid w:val="049329AF"/>
    <w:rsid w:val="049F51EA"/>
    <w:rsid w:val="04A44EF6"/>
    <w:rsid w:val="04CB4231"/>
    <w:rsid w:val="04D46306"/>
    <w:rsid w:val="04EF3743"/>
    <w:rsid w:val="04F33A06"/>
    <w:rsid w:val="05310411"/>
    <w:rsid w:val="0580501B"/>
    <w:rsid w:val="05A16753"/>
    <w:rsid w:val="05E30782"/>
    <w:rsid w:val="05FD4158"/>
    <w:rsid w:val="06021276"/>
    <w:rsid w:val="060317A8"/>
    <w:rsid w:val="061D0ABC"/>
    <w:rsid w:val="06540256"/>
    <w:rsid w:val="0664493D"/>
    <w:rsid w:val="06BE710D"/>
    <w:rsid w:val="06DC2725"/>
    <w:rsid w:val="06ED486D"/>
    <w:rsid w:val="06F2601B"/>
    <w:rsid w:val="07283BBC"/>
    <w:rsid w:val="072B6F49"/>
    <w:rsid w:val="07342561"/>
    <w:rsid w:val="07372051"/>
    <w:rsid w:val="073E6F3C"/>
    <w:rsid w:val="07667BB2"/>
    <w:rsid w:val="078828AD"/>
    <w:rsid w:val="07BE1E2B"/>
    <w:rsid w:val="082223BA"/>
    <w:rsid w:val="087A7807"/>
    <w:rsid w:val="08A22B63"/>
    <w:rsid w:val="08E41D65"/>
    <w:rsid w:val="09AF2373"/>
    <w:rsid w:val="09C825A5"/>
    <w:rsid w:val="0A41622F"/>
    <w:rsid w:val="0A4C309B"/>
    <w:rsid w:val="0A7964DD"/>
    <w:rsid w:val="0AB32F67"/>
    <w:rsid w:val="0AC2018B"/>
    <w:rsid w:val="0AD86622"/>
    <w:rsid w:val="0AFA5870"/>
    <w:rsid w:val="0B1F5477"/>
    <w:rsid w:val="0B271B04"/>
    <w:rsid w:val="0B440899"/>
    <w:rsid w:val="0B4B7E79"/>
    <w:rsid w:val="0B554854"/>
    <w:rsid w:val="0B7D3DAB"/>
    <w:rsid w:val="0B8F4572"/>
    <w:rsid w:val="0BC419DA"/>
    <w:rsid w:val="0C8373CF"/>
    <w:rsid w:val="0CB51A76"/>
    <w:rsid w:val="0D5E4A89"/>
    <w:rsid w:val="0D614217"/>
    <w:rsid w:val="0DA91778"/>
    <w:rsid w:val="0DB53CD0"/>
    <w:rsid w:val="0DBC0BBA"/>
    <w:rsid w:val="0DF57489"/>
    <w:rsid w:val="0E625C06"/>
    <w:rsid w:val="0E871098"/>
    <w:rsid w:val="0EAE1417"/>
    <w:rsid w:val="0F3E4E43"/>
    <w:rsid w:val="0F503CB0"/>
    <w:rsid w:val="0FAF0E26"/>
    <w:rsid w:val="0FD038C7"/>
    <w:rsid w:val="0FDD4B1F"/>
    <w:rsid w:val="0FE8038D"/>
    <w:rsid w:val="10262C63"/>
    <w:rsid w:val="103435D2"/>
    <w:rsid w:val="105709C9"/>
    <w:rsid w:val="10B23618"/>
    <w:rsid w:val="10B77D5F"/>
    <w:rsid w:val="10BA0895"/>
    <w:rsid w:val="10C84C25"/>
    <w:rsid w:val="10D64689"/>
    <w:rsid w:val="11075191"/>
    <w:rsid w:val="11145517"/>
    <w:rsid w:val="111D5D5A"/>
    <w:rsid w:val="111E1B8C"/>
    <w:rsid w:val="1162031D"/>
    <w:rsid w:val="11A036CE"/>
    <w:rsid w:val="123A47A4"/>
    <w:rsid w:val="125F76F2"/>
    <w:rsid w:val="12962DFA"/>
    <w:rsid w:val="12A10652"/>
    <w:rsid w:val="12C125EC"/>
    <w:rsid w:val="12FB1166"/>
    <w:rsid w:val="12FE566B"/>
    <w:rsid w:val="134F2A5F"/>
    <w:rsid w:val="13616C00"/>
    <w:rsid w:val="13A30C34"/>
    <w:rsid w:val="13AD711E"/>
    <w:rsid w:val="13E21B19"/>
    <w:rsid w:val="144831DD"/>
    <w:rsid w:val="14494352"/>
    <w:rsid w:val="14520243"/>
    <w:rsid w:val="148443FC"/>
    <w:rsid w:val="14A867BA"/>
    <w:rsid w:val="14C83B63"/>
    <w:rsid w:val="14E56EB1"/>
    <w:rsid w:val="151A3A77"/>
    <w:rsid w:val="156644E7"/>
    <w:rsid w:val="157601E9"/>
    <w:rsid w:val="158D5230"/>
    <w:rsid w:val="159927CF"/>
    <w:rsid w:val="15D95C1C"/>
    <w:rsid w:val="15DF178B"/>
    <w:rsid w:val="16223ECC"/>
    <w:rsid w:val="1625781F"/>
    <w:rsid w:val="162D4C24"/>
    <w:rsid w:val="16445B83"/>
    <w:rsid w:val="165A5414"/>
    <w:rsid w:val="16704559"/>
    <w:rsid w:val="167D1103"/>
    <w:rsid w:val="16A3500D"/>
    <w:rsid w:val="16C17241"/>
    <w:rsid w:val="16FB6BF7"/>
    <w:rsid w:val="170F4451"/>
    <w:rsid w:val="174001E4"/>
    <w:rsid w:val="176B182A"/>
    <w:rsid w:val="17740758"/>
    <w:rsid w:val="179A45B6"/>
    <w:rsid w:val="17A75370"/>
    <w:rsid w:val="17B7378B"/>
    <w:rsid w:val="17BA172D"/>
    <w:rsid w:val="17DF2A99"/>
    <w:rsid w:val="17EA4F97"/>
    <w:rsid w:val="17F17FFA"/>
    <w:rsid w:val="181F0F4A"/>
    <w:rsid w:val="18334F9A"/>
    <w:rsid w:val="183C062F"/>
    <w:rsid w:val="185C1EE0"/>
    <w:rsid w:val="185E6EB6"/>
    <w:rsid w:val="18AE6DE7"/>
    <w:rsid w:val="18CC15ED"/>
    <w:rsid w:val="18E84F59"/>
    <w:rsid w:val="190C4F45"/>
    <w:rsid w:val="1969191D"/>
    <w:rsid w:val="196B4518"/>
    <w:rsid w:val="198A392A"/>
    <w:rsid w:val="19A20B4F"/>
    <w:rsid w:val="19B72B7E"/>
    <w:rsid w:val="19C5236C"/>
    <w:rsid w:val="19FB6F0E"/>
    <w:rsid w:val="1A00180A"/>
    <w:rsid w:val="1A21439C"/>
    <w:rsid w:val="1AB1581F"/>
    <w:rsid w:val="1AC0098C"/>
    <w:rsid w:val="1AFD2812"/>
    <w:rsid w:val="1B0758FD"/>
    <w:rsid w:val="1B204EAB"/>
    <w:rsid w:val="1B2472E9"/>
    <w:rsid w:val="1B423001"/>
    <w:rsid w:val="1B813443"/>
    <w:rsid w:val="1C60574F"/>
    <w:rsid w:val="1C754516"/>
    <w:rsid w:val="1C96585A"/>
    <w:rsid w:val="1CAA0778"/>
    <w:rsid w:val="1CC64099"/>
    <w:rsid w:val="1CE9788F"/>
    <w:rsid w:val="1D226B12"/>
    <w:rsid w:val="1D496DC2"/>
    <w:rsid w:val="1DA17DCD"/>
    <w:rsid w:val="1E073968"/>
    <w:rsid w:val="1E2E729A"/>
    <w:rsid w:val="1E591960"/>
    <w:rsid w:val="1E5D6DE0"/>
    <w:rsid w:val="1E5E4D57"/>
    <w:rsid w:val="1E69544E"/>
    <w:rsid w:val="1EC30786"/>
    <w:rsid w:val="1ED16490"/>
    <w:rsid w:val="1EF77EF6"/>
    <w:rsid w:val="1EFF4D1E"/>
    <w:rsid w:val="1F4D78E4"/>
    <w:rsid w:val="1F503DF8"/>
    <w:rsid w:val="1F5E41C7"/>
    <w:rsid w:val="1FA228EE"/>
    <w:rsid w:val="2034767B"/>
    <w:rsid w:val="20710D0B"/>
    <w:rsid w:val="20954610"/>
    <w:rsid w:val="20F72930"/>
    <w:rsid w:val="21352A19"/>
    <w:rsid w:val="21985D98"/>
    <w:rsid w:val="21A26717"/>
    <w:rsid w:val="21C32917"/>
    <w:rsid w:val="21FF14CD"/>
    <w:rsid w:val="223E5BEA"/>
    <w:rsid w:val="22433200"/>
    <w:rsid w:val="2267625F"/>
    <w:rsid w:val="22A85759"/>
    <w:rsid w:val="22E845A7"/>
    <w:rsid w:val="22F10B70"/>
    <w:rsid w:val="23027D5E"/>
    <w:rsid w:val="2303007B"/>
    <w:rsid w:val="239758BD"/>
    <w:rsid w:val="23AF6E65"/>
    <w:rsid w:val="23E50309"/>
    <w:rsid w:val="24197AF2"/>
    <w:rsid w:val="24233E34"/>
    <w:rsid w:val="243A0633"/>
    <w:rsid w:val="2496290D"/>
    <w:rsid w:val="24B12ABC"/>
    <w:rsid w:val="24B228BF"/>
    <w:rsid w:val="25441520"/>
    <w:rsid w:val="254D7F7A"/>
    <w:rsid w:val="25D41548"/>
    <w:rsid w:val="25D66AB7"/>
    <w:rsid w:val="25E371D4"/>
    <w:rsid w:val="26095B77"/>
    <w:rsid w:val="26154EB4"/>
    <w:rsid w:val="264D28A0"/>
    <w:rsid w:val="26521602"/>
    <w:rsid w:val="26A338B2"/>
    <w:rsid w:val="26CA167A"/>
    <w:rsid w:val="271C503E"/>
    <w:rsid w:val="27201D62"/>
    <w:rsid w:val="27472FDF"/>
    <w:rsid w:val="27612030"/>
    <w:rsid w:val="27624C01"/>
    <w:rsid w:val="276F7F3A"/>
    <w:rsid w:val="27A110F5"/>
    <w:rsid w:val="27AC7A9A"/>
    <w:rsid w:val="27D55D47"/>
    <w:rsid w:val="27E15995"/>
    <w:rsid w:val="27F07987"/>
    <w:rsid w:val="27FD4DB1"/>
    <w:rsid w:val="281D55C8"/>
    <w:rsid w:val="28CF4308"/>
    <w:rsid w:val="28DD7B11"/>
    <w:rsid w:val="29354D1A"/>
    <w:rsid w:val="293D2493"/>
    <w:rsid w:val="296C5733"/>
    <w:rsid w:val="29AA1DB7"/>
    <w:rsid w:val="29B641A3"/>
    <w:rsid w:val="29FA2D3E"/>
    <w:rsid w:val="29FD282F"/>
    <w:rsid w:val="2A0F07CB"/>
    <w:rsid w:val="2A42251A"/>
    <w:rsid w:val="2A672779"/>
    <w:rsid w:val="2ACF5971"/>
    <w:rsid w:val="2AF46052"/>
    <w:rsid w:val="2BB60EE7"/>
    <w:rsid w:val="2BC538CE"/>
    <w:rsid w:val="2BC64379"/>
    <w:rsid w:val="2BD903BF"/>
    <w:rsid w:val="2BF0285A"/>
    <w:rsid w:val="2C025EDA"/>
    <w:rsid w:val="2C153E60"/>
    <w:rsid w:val="2C2B7E03"/>
    <w:rsid w:val="2C817A09"/>
    <w:rsid w:val="2C877DC8"/>
    <w:rsid w:val="2CD8457F"/>
    <w:rsid w:val="2D293ED8"/>
    <w:rsid w:val="2D4B16D2"/>
    <w:rsid w:val="2D616BC2"/>
    <w:rsid w:val="2E9F3EB4"/>
    <w:rsid w:val="2EB3170E"/>
    <w:rsid w:val="2F0D5D93"/>
    <w:rsid w:val="2F406891"/>
    <w:rsid w:val="2FD91648"/>
    <w:rsid w:val="2FE21531"/>
    <w:rsid w:val="2FE91CEC"/>
    <w:rsid w:val="2FFFDD82"/>
    <w:rsid w:val="30634296"/>
    <w:rsid w:val="306E0B42"/>
    <w:rsid w:val="307B199E"/>
    <w:rsid w:val="30A36FF1"/>
    <w:rsid w:val="30BC4A8F"/>
    <w:rsid w:val="30C23098"/>
    <w:rsid w:val="30EB45DA"/>
    <w:rsid w:val="30FF1132"/>
    <w:rsid w:val="30FF63EF"/>
    <w:rsid w:val="310D4304"/>
    <w:rsid w:val="312525F7"/>
    <w:rsid w:val="314D2F38"/>
    <w:rsid w:val="317E24A7"/>
    <w:rsid w:val="318A2BFA"/>
    <w:rsid w:val="31AF08B2"/>
    <w:rsid w:val="31CC4FC0"/>
    <w:rsid w:val="31EF4AA0"/>
    <w:rsid w:val="31F7433A"/>
    <w:rsid w:val="3253409F"/>
    <w:rsid w:val="325E6415"/>
    <w:rsid w:val="32803FFD"/>
    <w:rsid w:val="328A4FE6"/>
    <w:rsid w:val="32953ED5"/>
    <w:rsid w:val="32C75788"/>
    <w:rsid w:val="33193D6E"/>
    <w:rsid w:val="3321758E"/>
    <w:rsid w:val="33916868"/>
    <w:rsid w:val="33CB74FA"/>
    <w:rsid w:val="342C7F98"/>
    <w:rsid w:val="344D7F0F"/>
    <w:rsid w:val="345E3ECA"/>
    <w:rsid w:val="346F60D7"/>
    <w:rsid w:val="34894BBA"/>
    <w:rsid w:val="34A02734"/>
    <w:rsid w:val="34B044FD"/>
    <w:rsid w:val="34F34F5A"/>
    <w:rsid w:val="34F82570"/>
    <w:rsid w:val="352300D8"/>
    <w:rsid w:val="3546372A"/>
    <w:rsid w:val="355E0625"/>
    <w:rsid w:val="35B71AE4"/>
    <w:rsid w:val="35BE2E72"/>
    <w:rsid w:val="35D8677A"/>
    <w:rsid w:val="360B0496"/>
    <w:rsid w:val="36211653"/>
    <w:rsid w:val="36780E50"/>
    <w:rsid w:val="36BF4B72"/>
    <w:rsid w:val="36C62378"/>
    <w:rsid w:val="36E91C82"/>
    <w:rsid w:val="36F92F47"/>
    <w:rsid w:val="376A752C"/>
    <w:rsid w:val="38031EDD"/>
    <w:rsid w:val="38033923"/>
    <w:rsid w:val="38051BB9"/>
    <w:rsid w:val="38080D1C"/>
    <w:rsid w:val="3819279E"/>
    <w:rsid w:val="38366EFB"/>
    <w:rsid w:val="383E029A"/>
    <w:rsid w:val="384B29B7"/>
    <w:rsid w:val="38BC1BDC"/>
    <w:rsid w:val="38E87BBB"/>
    <w:rsid w:val="390239BE"/>
    <w:rsid w:val="390E32F6"/>
    <w:rsid w:val="3914549F"/>
    <w:rsid w:val="392D1322"/>
    <w:rsid w:val="39AB434B"/>
    <w:rsid w:val="39B4157B"/>
    <w:rsid w:val="39BD44BE"/>
    <w:rsid w:val="39E41149"/>
    <w:rsid w:val="39EB26A4"/>
    <w:rsid w:val="39FC6ECE"/>
    <w:rsid w:val="3A3F654C"/>
    <w:rsid w:val="3A5A25A6"/>
    <w:rsid w:val="3A726921"/>
    <w:rsid w:val="3AD575DA"/>
    <w:rsid w:val="3AEE41FA"/>
    <w:rsid w:val="3B7010B2"/>
    <w:rsid w:val="3BAF0C04"/>
    <w:rsid w:val="3C030EA1"/>
    <w:rsid w:val="3C073192"/>
    <w:rsid w:val="3C0B3260"/>
    <w:rsid w:val="3C237ED3"/>
    <w:rsid w:val="3C26744A"/>
    <w:rsid w:val="3C2C3893"/>
    <w:rsid w:val="3C430575"/>
    <w:rsid w:val="3C4349FB"/>
    <w:rsid w:val="3C5B6705"/>
    <w:rsid w:val="3CB472A8"/>
    <w:rsid w:val="3CE44D6B"/>
    <w:rsid w:val="3D0D1C09"/>
    <w:rsid w:val="3D101FEB"/>
    <w:rsid w:val="3D1B75AF"/>
    <w:rsid w:val="3D251A29"/>
    <w:rsid w:val="3DE03BA2"/>
    <w:rsid w:val="3DE96EFA"/>
    <w:rsid w:val="3E1C107E"/>
    <w:rsid w:val="3EB9054F"/>
    <w:rsid w:val="3EC86B10"/>
    <w:rsid w:val="3ED41E38"/>
    <w:rsid w:val="3EEECE1A"/>
    <w:rsid w:val="3F9904AC"/>
    <w:rsid w:val="3FF35426"/>
    <w:rsid w:val="401C181E"/>
    <w:rsid w:val="40560AE5"/>
    <w:rsid w:val="409E1999"/>
    <w:rsid w:val="40CD48B8"/>
    <w:rsid w:val="40E340D5"/>
    <w:rsid w:val="40F005A0"/>
    <w:rsid w:val="41063629"/>
    <w:rsid w:val="414C1C7A"/>
    <w:rsid w:val="41582048"/>
    <w:rsid w:val="41653AC2"/>
    <w:rsid w:val="41797F24"/>
    <w:rsid w:val="41A25F3E"/>
    <w:rsid w:val="41A270E3"/>
    <w:rsid w:val="41AC70DE"/>
    <w:rsid w:val="41B0748D"/>
    <w:rsid w:val="41F2582A"/>
    <w:rsid w:val="42003582"/>
    <w:rsid w:val="42EF1C2D"/>
    <w:rsid w:val="432B3B11"/>
    <w:rsid w:val="43503F67"/>
    <w:rsid w:val="43807133"/>
    <w:rsid w:val="438644B5"/>
    <w:rsid w:val="44544A76"/>
    <w:rsid w:val="448E1010"/>
    <w:rsid w:val="44E4666D"/>
    <w:rsid w:val="44EE42A1"/>
    <w:rsid w:val="45877724"/>
    <w:rsid w:val="45AC4E6E"/>
    <w:rsid w:val="45B20519"/>
    <w:rsid w:val="45F90867"/>
    <w:rsid w:val="460C7193"/>
    <w:rsid w:val="4642189D"/>
    <w:rsid w:val="467852BF"/>
    <w:rsid w:val="46805F22"/>
    <w:rsid w:val="4683047E"/>
    <w:rsid w:val="47541888"/>
    <w:rsid w:val="479A2668"/>
    <w:rsid w:val="47AA2B40"/>
    <w:rsid w:val="47AC326C"/>
    <w:rsid w:val="47C415B1"/>
    <w:rsid w:val="48DF33D4"/>
    <w:rsid w:val="492F31C0"/>
    <w:rsid w:val="49301E81"/>
    <w:rsid w:val="494557C4"/>
    <w:rsid w:val="49966F85"/>
    <w:rsid w:val="49C8593B"/>
    <w:rsid w:val="4A110D60"/>
    <w:rsid w:val="4A7D10F6"/>
    <w:rsid w:val="4AAC42E7"/>
    <w:rsid w:val="4AD221CC"/>
    <w:rsid w:val="4AD64F49"/>
    <w:rsid w:val="4B5D6832"/>
    <w:rsid w:val="4B9934BC"/>
    <w:rsid w:val="4BA234C7"/>
    <w:rsid w:val="4BBC0E50"/>
    <w:rsid w:val="4BE62CCB"/>
    <w:rsid w:val="4BEF12BE"/>
    <w:rsid w:val="4C34368B"/>
    <w:rsid w:val="4CB701C3"/>
    <w:rsid w:val="4CBE72DA"/>
    <w:rsid w:val="4CF542D3"/>
    <w:rsid w:val="4D021D86"/>
    <w:rsid w:val="4D066599"/>
    <w:rsid w:val="4D1220A6"/>
    <w:rsid w:val="4D9218E1"/>
    <w:rsid w:val="4DC4504D"/>
    <w:rsid w:val="4DC64B62"/>
    <w:rsid w:val="4DC95567"/>
    <w:rsid w:val="4DD42A2F"/>
    <w:rsid w:val="4E2078E8"/>
    <w:rsid w:val="4E3C6D60"/>
    <w:rsid w:val="4E4C6AC5"/>
    <w:rsid w:val="4E5E7C38"/>
    <w:rsid w:val="4E685B94"/>
    <w:rsid w:val="4E8005CA"/>
    <w:rsid w:val="4F226D6F"/>
    <w:rsid w:val="4F6E725F"/>
    <w:rsid w:val="4FC43C9F"/>
    <w:rsid w:val="4FD176D0"/>
    <w:rsid w:val="4FE51205"/>
    <w:rsid w:val="4FF43314"/>
    <w:rsid w:val="5026374E"/>
    <w:rsid w:val="505910FD"/>
    <w:rsid w:val="505D1E8E"/>
    <w:rsid w:val="507E55A3"/>
    <w:rsid w:val="50877CF3"/>
    <w:rsid w:val="508D5E0B"/>
    <w:rsid w:val="509B1CB1"/>
    <w:rsid w:val="50B37D27"/>
    <w:rsid w:val="50BE1397"/>
    <w:rsid w:val="50C40DD7"/>
    <w:rsid w:val="50EA2AF2"/>
    <w:rsid w:val="518A2886"/>
    <w:rsid w:val="519F0328"/>
    <w:rsid w:val="51EE6435"/>
    <w:rsid w:val="5273781C"/>
    <w:rsid w:val="528D62B1"/>
    <w:rsid w:val="52F925D0"/>
    <w:rsid w:val="532E399E"/>
    <w:rsid w:val="53344B2D"/>
    <w:rsid w:val="53364538"/>
    <w:rsid w:val="53782DBB"/>
    <w:rsid w:val="53AE40CE"/>
    <w:rsid w:val="540006A2"/>
    <w:rsid w:val="54024923"/>
    <w:rsid w:val="5474356A"/>
    <w:rsid w:val="54C54DE0"/>
    <w:rsid w:val="54F503EE"/>
    <w:rsid w:val="550B7056"/>
    <w:rsid w:val="55364B38"/>
    <w:rsid w:val="555D52FB"/>
    <w:rsid w:val="559534D4"/>
    <w:rsid w:val="55A84374"/>
    <w:rsid w:val="55AB1785"/>
    <w:rsid w:val="55E04545"/>
    <w:rsid w:val="55EA5046"/>
    <w:rsid w:val="561D19DF"/>
    <w:rsid w:val="56200FBF"/>
    <w:rsid w:val="562821FE"/>
    <w:rsid w:val="565418A0"/>
    <w:rsid w:val="568832FC"/>
    <w:rsid w:val="56A44031"/>
    <w:rsid w:val="56A85AB0"/>
    <w:rsid w:val="56B714EC"/>
    <w:rsid w:val="56DC53F6"/>
    <w:rsid w:val="56FC2A7A"/>
    <w:rsid w:val="57047689"/>
    <w:rsid w:val="572333E8"/>
    <w:rsid w:val="57533BD6"/>
    <w:rsid w:val="57713D91"/>
    <w:rsid w:val="579E28D1"/>
    <w:rsid w:val="57AC6B77"/>
    <w:rsid w:val="57F77651"/>
    <w:rsid w:val="581F1BD6"/>
    <w:rsid w:val="583E7E63"/>
    <w:rsid w:val="584056FE"/>
    <w:rsid w:val="5846521D"/>
    <w:rsid w:val="584766AC"/>
    <w:rsid w:val="58887411"/>
    <w:rsid w:val="58F632BA"/>
    <w:rsid w:val="594B0611"/>
    <w:rsid w:val="59653481"/>
    <w:rsid w:val="59C44A38"/>
    <w:rsid w:val="59D16D68"/>
    <w:rsid w:val="59FA694D"/>
    <w:rsid w:val="5A8C6946"/>
    <w:rsid w:val="5AEB5C08"/>
    <w:rsid w:val="5AFB5A70"/>
    <w:rsid w:val="5B043B8C"/>
    <w:rsid w:val="5B700A53"/>
    <w:rsid w:val="5B914A01"/>
    <w:rsid w:val="5B9F1014"/>
    <w:rsid w:val="5BF27270"/>
    <w:rsid w:val="5C0E0752"/>
    <w:rsid w:val="5C0F4C20"/>
    <w:rsid w:val="5C383A38"/>
    <w:rsid w:val="5C9F6485"/>
    <w:rsid w:val="5CC02802"/>
    <w:rsid w:val="5D0E613A"/>
    <w:rsid w:val="5D4635C9"/>
    <w:rsid w:val="5D535CE6"/>
    <w:rsid w:val="5D70031C"/>
    <w:rsid w:val="5D791FAA"/>
    <w:rsid w:val="5DAE574E"/>
    <w:rsid w:val="5DEA2501"/>
    <w:rsid w:val="5E331DA0"/>
    <w:rsid w:val="5E4D76A5"/>
    <w:rsid w:val="5E5166CA"/>
    <w:rsid w:val="5E780E5B"/>
    <w:rsid w:val="5EB50A07"/>
    <w:rsid w:val="5EC2182D"/>
    <w:rsid w:val="5EE412EC"/>
    <w:rsid w:val="5EE94600"/>
    <w:rsid w:val="5F36141C"/>
    <w:rsid w:val="5F447FDD"/>
    <w:rsid w:val="5F60062F"/>
    <w:rsid w:val="5F70492E"/>
    <w:rsid w:val="5F721217"/>
    <w:rsid w:val="5F8B1768"/>
    <w:rsid w:val="5F985888"/>
    <w:rsid w:val="5FC34395"/>
    <w:rsid w:val="5FF94923"/>
    <w:rsid w:val="602337DF"/>
    <w:rsid w:val="60563B24"/>
    <w:rsid w:val="60827C2A"/>
    <w:rsid w:val="60CA4515"/>
    <w:rsid w:val="61110B23"/>
    <w:rsid w:val="61164429"/>
    <w:rsid w:val="614C769B"/>
    <w:rsid w:val="616D0E9D"/>
    <w:rsid w:val="6181227D"/>
    <w:rsid w:val="61D95824"/>
    <w:rsid w:val="61DF4F25"/>
    <w:rsid w:val="622639C9"/>
    <w:rsid w:val="623615CA"/>
    <w:rsid w:val="6239194F"/>
    <w:rsid w:val="623B528F"/>
    <w:rsid w:val="624E2A9B"/>
    <w:rsid w:val="62824F6D"/>
    <w:rsid w:val="62AF7F3F"/>
    <w:rsid w:val="62B337E3"/>
    <w:rsid w:val="62CF7BBD"/>
    <w:rsid w:val="630272DB"/>
    <w:rsid w:val="63270E30"/>
    <w:rsid w:val="634702E2"/>
    <w:rsid w:val="63617B43"/>
    <w:rsid w:val="63857C95"/>
    <w:rsid w:val="641E63C8"/>
    <w:rsid w:val="649102B0"/>
    <w:rsid w:val="64A659DF"/>
    <w:rsid w:val="64AD2180"/>
    <w:rsid w:val="64AF5EF8"/>
    <w:rsid w:val="64BA66CA"/>
    <w:rsid w:val="64C34049"/>
    <w:rsid w:val="65513A47"/>
    <w:rsid w:val="658E038D"/>
    <w:rsid w:val="659C3ABC"/>
    <w:rsid w:val="659F2386"/>
    <w:rsid w:val="661F2C0A"/>
    <w:rsid w:val="661F4759"/>
    <w:rsid w:val="66402BC6"/>
    <w:rsid w:val="66835660"/>
    <w:rsid w:val="66AF21DF"/>
    <w:rsid w:val="66D86EEC"/>
    <w:rsid w:val="67034F8B"/>
    <w:rsid w:val="673B1CC5"/>
    <w:rsid w:val="67691A21"/>
    <w:rsid w:val="6795184E"/>
    <w:rsid w:val="679F2254"/>
    <w:rsid w:val="67CA42A6"/>
    <w:rsid w:val="67D320AA"/>
    <w:rsid w:val="68150176"/>
    <w:rsid w:val="683913C9"/>
    <w:rsid w:val="683A27FC"/>
    <w:rsid w:val="688431F8"/>
    <w:rsid w:val="68B27D65"/>
    <w:rsid w:val="693B3D95"/>
    <w:rsid w:val="69C2588F"/>
    <w:rsid w:val="69DF38CB"/>
    <w:rsid w:val="69EF4666"/>
    <w:rsid w:val="69FC6B39"/>
    <w:rsid w:val="6A190855"/>
    <w:rsid w:val="6A1D029D"/>
    <w:rsid w:val="6A2309CD"/>
    <w:rsid w:val="6A582B8E"/>
    <w:rsid w:val="6A615EE7"/>
    <w:rsid w:val="6A701C86"/>
    <w:rsid w:val="6AA933EA"/>
    <w:rsid w:val="6AFF6C91"/>
    <w:rsid w:val="6B5748D8"/>
    <w:rsid w:val="6B881251"/>
    <w:rsid w:val="6B916DF5"/>
    <w:rsid w:val="6C103720"/>
    <w:rsid w:val="6C1C5489"/>
    <w:rsid w:val="6C2F7E97"/>
    <w:rsid w:val="6C3F5DB4"/>
    <w:rsid w:val="6CC0205D"/>
    <w:rsid w:val="6CC91D04"/>
    <w:rsid w:val="6CEC143C"/>
    <w:rsid w:val="6D09032B"/>
    <w:rsid w:val="6D0931DE"/>
    <w:rsid w:val="6D404752"/>
    <w:rsid w:val="6D6668C3"/>
    <w:rsid w:val="6D7B106D"/>
    <w:rsid w:val="6D9051A0"/>
    <w:rsid w:val="6D9914F3"/>
    <w:rsid w:val="6DB279DA"/>
    <w:rsid w:val="6E393953"/>
    <w:rsid w:val="6E410F16"/>
    <w:rsid w:val="6E644211"/>
    <w:rsid w:val="6E7B0A0C"/>
    <w:rsid w:val="6EA21699"/>
    <w:rsid w:val="6EEF24A9"/>
    <w:rsid w:val="6F027AF7"/>
    <w:rsid w:val="6F26325B"/>
    <w:rsid w:val="6F6C2268"/>
    <w:rsid w:val="6F6F69B0"/>
    <w:rsid w:val="6F8F06D9"/>
    <w:rsid w:val="6F9C351D"/>
    <w:rsid w:val="6F9E2305"/>
    <w:rsid w:val="6FAA0C45"/>
    <w:rsid w:val="6FCC337B"/>
    <w:rsid w:val="6FD76303"/>
    <w:rsid w:val="6FD7CA27"/>
    <w:rsid w:val="6FE729EA"/>
    <w:rsid w:val="6FEF189F"/>
    <w:rsid w:val="700B6747"/>
    <w:rsid w:val="70801449"/>
    <w:rsid w:val="70933881"/>
    <w:rsid w:val="709F4389"/>
    <w:rsid w:val="70AE65AA"/>
    <w:rsid w:val="70B5428E"/>
    <w:rsid w:val="70D93F49"/>
    <w:rsid w:val="70E128AC"/>
    <w:rsid w:val="70E1634E"/>
    <w:rsid w:val="70FF2AA0"/>
    <w:rsid w:val="71107D1F"/>
    <w:rsid w:val="71316D8D"/>
    <w:rsid w:val="715F4802"/>
    <w:rsid w:val="71654D19"/>
    <w:rsid w:val="71904F75"/>
    <w:rsid w:val="71A768D5"/>
    <w:rsid w:val="71E66C33"/>
    <w:rsid w:val="72113B59"/>
    <w:rsid w:val="72205CFE"/>
    <w:rsid w:val="72336342"/>
    <w:rsid w:val="72676064"/>
    <w:rsid w:val="72842772"/>
    <w:rsid w:val="72844C7D"/>
    <w:rsid w:val="72A36BE8"/>
    <w:rsid w:val="72D54ABB"/>
    <w:rsid w:val="72D92BEE"/>
    <w:rsid w:val="72E421B6"/>
    <w:rsid w:val="72FF3958"/>
    <w:rsid w:val="73193F46"/>
    <w:rsid w:val="731D4975"/>
    <w:rsid w:val="734903DF"/>
    <w:rsid w:val="73BE7F06"/>
    <w:rsid w:val="73CD3228"/>
    <w:rsid w:val="73E3796C"/>
    <w:rsid w:val="74134DFB"/>
    <w:rsid w:val="7419513C"/>
    <w:rsid w:val="742D3D9C"/>
    <w:rsid w:val="74387CB8"/>
    <w:rsid w:val="745B25CA"/>
    <w:rsid w:val="74A06616"/>
    <w:rsid w:val="74AE1D28"/>
    <w:rsid w:val="74C55995"/>
    <w:rsid w:val="74FD49B7"/>
    <w:rsid w:val="7586788F"/>
    <w:rsid w:val="75C86411"/>
    <w:rsid w:val="76237386"/>
    <w:rsid w:val="762B7F17"/>
    <w:rsid w:val="76317141"/>
    <w:rsid w:val="765B1A3C"/>
    <w:rsid w:val="769907B6"/>
    <w:rsid w:val="76DB2A57"/>
    <w:rsid w:val="771147F0"/>
    <w:rsid w:val="777F1209"/>
    <w:rsid w:val="778D36DC"/>
    <w:rsid w:val="77FFE807"/>
    <w:rsid w:val="782E0EB8"/>
    <w:rsid w:val="783B1B25"/>
    <w:rsid w:val="784328C1"/>
    <w:rsid w:val="78DA1D7B"/>
    <w:rsid w:val="78F13662"/>
    <w:rsid w:val="793E7C5B"/>
    <w:rsid w:val="7955517B"/>
    <w:rsid w:val="79560DFC"/>
    <w:rsid w:val="79570BE0"/>
    <w:rsid w:val="79674B9C"/>
    <w:rsid w:val="798B6ADC"/>
    <w:rsid w:val="79A25BD4"/>
    <w:rsid w:val="79AC1FDF"/>
    <w:rsid w:val="79BA4CCB"/>
    <w:rsid w:val="79BC1425"/>
    <w:rsid w:val="79EB1329"/>
    <w:rsid w:val="7A1C75A3"/>
    <w:rsid w:val="7A394769"/>
    <w:rsid w:val="7A6A4943"/>
    <w:rsid w:val="7ABE3508"/>
    <w:rsid w:val="7AE71AF0"/>
    <w:rsid w:val="7B066E91"/>
    <w:rsid w:val="7B413F7E"/>
    <w:rsid w:val="7B885D10"/>
    <w:rsid w:val="7BE74CFC"/>
    <w:rsid w:val="7BEE6B88"/>
    <w:rsid w:val="7BF7570B"/>
    <w:rsid w:val="7C2E345F"/>
    <w:rsid w:val="7C5424A5"/>
    <w:rsid w:val="7C5A2796"/>
    <w:rsid w:val="7C605268"/>
    <w:rsid w:val="7C6A0C2B"/>
    <w:rsid w:val="7CF46746"/>
    <w:rsid w:val="7D1F1329"/>
    <w:rsid w:val="7DB86548"/>
    <w:rsid w:val="7E37C637"/>
    <w:rsid w:val="7E5D00E7"/>
    <w:rsid w:val="7E9F7825"/>
    <w:rsid w:val="7EB10D93"/>
    <w:rsid w:val="7EB73ECF"/>
    <w:rsid w:val="7F2C4635"/>
    <w:rsid w:val="7F376DBE"/>
    <w:rsid w:val="7F7162F6"/>
    <w:rsid w:val="7F9A7019"/>
    <w:rsid w:val="7FB81CAD"/>
    <w:rsid w:val="7FC85D75"/>
    <w:rsid w:val="7FD5583B"/>
    <w:rsid w:val="7FDE196C"/>
    <w:rsid w:val="7FE138D8"/>
    <w:rsid w:val="7FE31449"/>
    <w:rsid w:val="7FE405C7"/>
    <w:rsid w:val="7FEA2C5C"/>
    <w:rsid w:val="7FF52F01"/>
    <w:rsid w:val="BD6DBFFE"/>
    <w:rsid w:val="E7F71833"/>
    <w:rsid w:val="FF9F75F1"/>
    <w:rsid w:val="FFF95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autoRedefine/>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paragraph" w:styleId="6">
    <w:name w:val="heading 2"/>
    <w:basedOn w:val="1"/>
    <w:next w:val="1"/>
    <w:unhideWhenUsed/>
    <w:qFormat/>
    <w:uiPriority w:val="0"/>
    <w:pPr>
      <w:keepNext/>
      <w:keepLines/>
      <w:spacing w:beforeLines="0" w:beforeAutospacing="0" w:afterLines="0" w:afterAutospacing="0" w:line="360" w:lineRule="auto"/>
      <w:ind w:firstLine="723" w:firstLineChars="200"/>
      <w:outlineLvl w:val="1"/>
    </w:pPr>
    <w:rPr>
      <w:rFonts w:ascii="Arial" w:hAnsi="Arial" w:eastAsia="楷体"/>
      <w:b/>
      <w:bCs/>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Body Text First Indent"/>
    <w:basedOn w:val="5"/>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autoRedefine/>
    <w:unhideWhenUsed/>
    <w:qFormat/>
    <w:uiPriority w:val="99"/>
    <w:pPr>
      <w:spacing w:after="120"/>
    </w:pPr>
  </w:style>
  <w:style w:type="paragraph" w:styleId="7">
    <w:name w:val="annotation text"/>
    <w:basedOn w:val="1"/>
    <w:autoRedefine/>
    <w:qFormat/>
    <w:uiPriority w:val="0"/>
    <w:pPr>
      <w:jc w:val="left"/>
    </w:pPr>
  </w:style>
  <w:style w:type="paragraph" w:styleId="8">
    <w:name w:val="Body Text Indent"/>
    <w:basedOn w:val="1"/>
    <w:autoRedefine/>
    <w:qFormat/>
    <w:uiPriority w:val="0"/>
    <w:pPr>
      <w:spacing w:after="120"/>
      <w:ind w:left="420" w:leftChars="200"/>
    </w:pPr>
  </w:style>
  <w:style w:type="paragraph" w:styleId="9">
    <w:name w:val="Body Text Indent 2"/>
    <w:basedOn w:val="1"/>
    <w:next w:val="10"/>
    <w:autoRedefine/>
    <w:unhideWhenUsed/>
    <w:qFormat/>
    <w:uiPriority w:val="99"/>
    <w:pPr>
      <w:spacing w:after="120" w:line="480" w:lineRule="auto"/>
      <w:ind w:left="420" w:leftChars="200"/>
    </w:pPr>
  </w:style>
  <w:style w:type="paragraph" w:customStyle="1" w:styleId="10">
    <w:name w:val="p0"/>
    <w:next w:val="11"/>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11">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toc 1"/>
    <w:basedOn w:val="1"/>
    <w:next w:val="1"/>
    <w:autoRedefine/>
    <w:qFormat/>
    <w:uiPriority w:val="0"/>
  </w:style>
  <w:style w:type="paragraph" w:styleId="14">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5">
    <w:name w:val="toc 2"/>
    <w:basedOn w:val="1"/>
    <w:next w:val="1"/>
    <w:autoRedefine/>
    <w:qFormat/>
    <w:uiPriority w:val="0"/>
    <w:pPr>
      <w:ind w:left="420" w:leftChars="200"/>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8"/>
    <w:autoRedefine/>
    <w:qFormat/>
    <w:uiPriority w:val="0"/>
    <w:pPr>
      <w:adjustRightInd w:val="0"/>
      <w:snapToGrid w:val="0"/>
      <w:spacing w:after="0" w:line="660" w:lineRule="exact"/>
      <w:ind w:left="0" w:leftChars="0" w:firstLine="420" w:firstLineChars="200"/>
    </w:pPr>
    <w:rPr>
      <w:rFonts w:ascii="??_GB2312" w:eastAsia="Times New Roman"/>
      <w:kern w:val="0"/>
      <w:sz w:val="32"/>
      <w:szCs w:val="3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 w:type="paragraph" w:styleId="24">
    <w:name w:val="List Paragraph"/>
    <w:basedOn w:val="1"/>
    <w:autoRedefine/>
    <w:qFormat/>
    <w:uiPriority w:val="34"/>
    <w:pPr>
      <w:ind w:firstLine="420" w:firstLineChars="200"/>
    </w:pPr>
  </w:style>
  <w:style w:type="paragraph" w:customStyle="1" w:styleId="25">
    <w:name w:val="正文1"/>
    <w:basedOn w:val="1"/>
    <w:autoRedefine/>
    <w:qFormat/>
    <w:uiPriority w:val="0"/>
    <w:pPr>
      <w:spacing w:line="360" w:lineRule="auto"/>
      <w:ind w:firstLine="480" w:firstLineChars="200"/>
    </w:pPr>
    <w:rPr>
      <w:sz w:val="24"/>
    </w:rPr>
  </w:style>
  <w:style w:type="paragraph" w:customStyle="1" w:styleId="26">
    <w:name w:val="BodyText1I2"/>
    <w:basedOn w:val="27"/>
    <w:autoRedefine/>
    <w:qFormat/>
    <w:uiPriority w:val="0"/>
    <w:pPr>
      <w:snapToGrid w:val="0"/>
      <w:spacing w:after="0" w:line="660" w:lineRule="exact"/>
      <w:ind w:left="0" w:leftChars="0" w:firstLine="420" w:firstLineChars="200"/>
      <w:jc w:val="both"/>
      <w:textAlignment w:val="baseline"/>
    </w:pPr>
    <w:rPr>
      <w:rFonts w:ascii="仿宋_GB2312" w:eastAsia="仿宋_GB2312"/>
      <w:kern w:val="0"/>
      <w:sz w:val="32"/>
    </w:rPr>
  </w:style>
  <w:style w:type="paragraph" w:customStyle="1" w:styleId="27">
    <w:name w:val="BodyTextIndent"/>
    <w:basedOn w:val="1"/>
    <w:autoRedefine/>
    <w:qFormat/>
    <w:uiPriority w:val="0"/>
    <w:pPr>
      <w:spacing w:after="120"/>
      <w:ind w:left="420" w:leftChars="200"/>
      <w:jc w:val="both"/>
      <w:textAlignment w:val="baseline"/>
    </w:pPr>
  </w:style>
  <w:style w:type="character" w:customStyle="1" w:styleId="28">
    <w:name w:val="font21"/>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12464</Words>
  <Characters>13549</Characters>
  <Lines>0</Lines>
  <Paragraphs>0</Paragraphs>
  <TotalTime>7</TotalTime>
  <ScaleCrop>false</ScaleCrop>
  <LinksUpToDate>false</LinksUpToDate>
  <CharactersWithSpaces>14642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2023-10-13T00:39:00Z</dcterms:created>
  <dc:creator>银鹏会计事务所</dc:creator>
  <cp:lastModifiedBy>财正</cp:lastModifiedBy>
  <dcterms:modified xsi:type="dcterms:W3CDTF">2023-12-16T02:38:32Z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DD83DEF80CE298B129852F6511B47680_43</vt:lpwstr>
  </property>
</Properties>
</file>