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Regular" w:hAnsi="Times New Roman Regular" w:cs="Times New Roman Regular"/>
        </w:rPr>
      </w:pPr>
    </w:p>
    <w:p>
      <w:pPr>
        <w:pStyle w:val="5"/>
        <w:rPr>
          <w:rFonts w:hint="default" w:ascii="Times New Roman Regular" w:hAnsi="Times New Roman Regular" w:cs="Times New Roman Regular"/>
        </w:rPr>
      </w:pPr>
    </w:p>
    <w:p>
      <w:pPr>
        <w:pStyle w:val="5"/>
        <w:rPr>
          <w:rFonts w:hint="default" w:ascii="Times New Roman Regular" w:hAnsi="Times New Roman Regular" w:cs="Times New Roman Regular"/>
        </w:rPr>
      </w:pPr>
    </w:p>
    <w:p>
      <w:pPr>
        <w:pStyle w:val="5"/>
        <w:rPr>
          <w:rFonts w:hint="default" w:ascii="Times New Roman Regular" w:hAnsi="Times New Roman Regular" w:cs="Times New Roman Regular"/>
        </w:rPr>
      </w:pPr>
    </w:p>
    <w:p>
      <w:pPr>
        <w:pStyle w:val="5"/>
        <w:rPr>
          <w:rFonts w:hint="default" w:ascii="Times New Roman Regular" w:hAnsi="Times New Roman Regular" w:cs="Times New Roman Regular"/>
        </w:rPr>
      </w:pPr>
    </w:p>
    <w:p>
      <w:pPr>
        <w:pStyle w:val="5"/>
        <w:rPr>
          <w:rFonts w:hint="default" w:ascii="Times New Roman Regular" w:hAnsi="Times New Roman Regular" w:cs="Times New Roman Regular"/>
        </w:rPr>
      </w:pPr>
    </w:p>
    <w:p>
      <w:pPr>
        <w:pStyle w:val="5"/>
        <w:rPr>
          <w:rFonts w:hint="default" w:ascii="Times New Roman Regular" w:hAnsi="Times New Roman Regular" w:cs="Times New Roman Regular"/>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imes New Roman" w:hAnsi="Times New Roman" w:eastAsia="方正小标宋_GBK"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imes New Roman" w:hAnsi="Times New Roman" w:eastAsia="方正小标宋_GBK"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imes New Roman" w:hAnsi="Times New Roman" w:eastAsia="方正小标宋_GBK"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方正小标宋_GBK" w:cs="Times New Roman"/>
          <w:b w:val="0"/>
          <w:bCs w:val="0"/>
          <w:sz w:val="44"/>
          <w:szCs w:val="44"/>
          <w:lang w:val="en-US" w:eastAsia="zh-CN"/>
        </w:rPr>
      </w:pPr>
      <w:r>
        <w:rPr>
          <w:rFonts w:hint="eastAsia" w:ascii="Times New Roman" w:hAnsi="Times New Roman" w:eastAsia="方正小标宋_GBK" w:cs="Times New Roman"/>
          <w:b w:val="0"/>
          <w:bCs w:val="0"/>
          <w:sz w:val="44"/>
          <w:szCs w:val="44"/>
          <w:lang w:val="en-US" w:eastAsia="zh-CN"/>
        </w:rPr>
        <w:t>邵阳市北塔区医疗保障局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202</w:t>
      </w:r>
      <w:r>
        <w:rPr>
          <w:rFonts w:hint="eastAsia" w:ascii="Times New Roman" w:hAnsi="Times New Roman" w:eastAsia="方正小标宋_GBK" w:cs="Times New Roman"/>
          <w:b w:val="0"/>
          <w:bCs w:val="0"/>
          <w:sz w:val="44"/>
          <w:szCs w:val="44"/>
          <w:lang w:val="en-US" w:eastAsia="zh-CN"/>
        </w:rPr>
        <w:t>2</w:t>
      </w:r>
      <w:r>
        <w:rPr>
          <w:rFonts w:hint="default" w:ascii="Times New Roman" w:hAnsi="Times New Roman" w:eastAsia="方正小标宋_GBK" w:cs="Times New Roman"/>
          <w:b w:val="0"/>
          <w:bCs w:val="0"/>
          <w:sz w:val="44"/>
          <w:szCs w:val="44"/>
          <w:lang w:val="en-US" w:eastAsia="zh-CN"/>
        </w:rPr>
        <w:t>年度</w:t>
      </w:r>
      <w:r>
        <w:rPr>
          <w:rFonts w:hint="eastAsia" w:ascii="Times New Roman" w:hAnsi="Times New Roman" w:eastAsia="方正小标宋_GBK" w:cs="Times New Roman"/>
          <w:b w:val="0"/>
          <w:bCs w:val="0"/>
          <w:sz w:val="44"/>
          <w:szCs w:val="44"/>
          <w:lang w:val="en-US" w:eastAsia="zh-CN"/>
        </w:rPr>
        <w:t>部门整体支出</w:t>
      </w:r>
      <w:r>
        <w:rPr>
          <w:rFonts w:hint="default" w:ascii="Times New Roman" w:hAnsi="Times New Roman" w:eastAsia="方正小标宋_GBK" w:cs="Times New Roman"/>
          <w:b w:val="0"/>
          <w:bCs w:val="0"/>
          <w:sz w:val="44"/>
          <w:szCs w:val="44"/>
          <w:lang w:val="en-US" w:eastAsia="zh-CN"/>
        </w:rPr>
        <w:t>绩效评价报告</w:t>
      </w:r>
    </w:p>
    <w:p>
      <w:pPr>
        <w:pStyle w:val="9"/>
      </w:pPr>
    </w:p>
    <w:p>
      <w:pPr>
        <w:pStyle w:val="9"/>
      </w:pPr>
    </w:p>
    <w:p>
      <w:pPr>
        <w:pStyle w:val="24"/>
        <w:rPr>
          <w:rFonts w:ascii="宋体" w:hAnsi="宋体" w:eastAsia="宋体" w:cs="宋体"/>
          <w:spacing w:val="-8"/>
          <w:sz w:val="43"/>
          <w:szCs w:val="43"/>
          <w14:textOutline w14:w="7810" w14:cap="flat" w14:cmpd="sng">
            <w14:solidFill>
              <w14:srgbClr w14:val="000000"/>
            </w14:solidFill>
            <w14:prstDash w14:val="solid"/>
            <w14:miter w14:val="0"/>
          </w14:textOutline>
        </w:rPr>
      </w:pPr>
    </w:p>
    <w:p>
      <w:pPr>
        <w:jc w:val="center"/>
        <w:rPr>
          <w:rFonts w:ascii="仿宋" w:hAnsi="仿宋" w:eastAsia="仿宋"/>
          <w:b/>
          <w:bCs/>
          <w:sz w:val="32"/>
          <w:szCs w:val="32"/>
        </w:rPr>
      </w:pPr>
    </w:p>
    <w:p>
      <w:pPr>
        <w:jc w:val="center"/>
        <w:rPr>
          <w:rFonts w:ascii="仿宋" w:hAnsi="仿宋" w:eastAsia="仿宋"/>
          <w:b/>
          <w:bCs/>
          <w:sz w:val="32"/>
          <w:szCs w:val="32"/>
        </w:rPr>
      </w:pPr>
    </w:p>
    <w:p>
      <w:pPr>
        <w:jc w:val="center"/>
        <w:rPr>
          <w:rFonts w:ascii="仿宋" w:hAnsi="仿宋" w:eastAsia="仿宋"/>
          <w:b/>
          <w:bCs/>
          <w:sz w:val="32"/>
          <w:szCs w:val="32"/>
        </w:rPr>
      </w:pPr>
    </w:p>
    <w:p>
      <w:pPr>
        <w:jc w:val="both"/>
        <w:rPr>
          <w:rFonts w:ascii="仿宋" w:hAnsi="仿宋" w:eastAsia="仿宋"/>
          <w:b/>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 w:hAnsi="仿宋" w:eastAsia="仿宋"/>
          <w:b/>
          <w:bCs/>
          <w:sz w:val="30"/>
          <w:szCs w:val="30"/>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rPr>
        <w:t>湖南财正会计师事务所</w:t>
      </w:r>
      <w:r>
        <w:rPr>
          <w:rFonts w:hint="eastAsia" w:ascii="仿宋" w:hAnsi="仿宋" w:eastAsia="仿宋" w:cs="仿宋"/>
          <w:b/>
          <w:bCs/>
          <w:sz w:val="32"/>
          <w:szCs w:val="32"/>
          <w:lang w:val="en-US" w:eastAsia="zh-CN"/>
        </w:rPr>
        <w:t>（普通合伙）</w:t>
      </w:r>
    </w:p>
    <w:p>
      <w:pPr>
        <w:keepNext w:val="0"/>
        <w:keepLines w:val="0"/>
        <w:pageBreakBefore w:val="0"/>
        <w:widowControl w:val="0"/>
        <w:kinsoku/>
        <w:wordWrap/>
        <w:overflowPunct/>
        <w:topLinePunct w:val="0"/>
        <w:autoSpaceDE/>
        <w:autoSpaceDN/>
        <w:bidi w:val="0"/>
        <w:adjustRightInd/>
        <w:snapToGrid/>
        <w:spacing w:line="360" w:lineRule="auto"/>
        <w:ind w:left="-57" w:right="84" w:rightChars="40"/>
        <w:jc w:val="center"/>
        <w:textAlignment w:val="auto"/>
        <w:outlineLvl w:val="9"/>
        <w:rPr>
          <w:rFonts w:hint="eastAsia" w:ascii="仿宋" w:hAnsi="仿宋" w:eastAsia="仿宋" w:cs="仿宋"/>
          <w:b/>
          <w:bCs/>
          <w:sz w:val="32"/>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titlePg/>
          <w:docGrid w:type="lines" w:linePitch="312" w:charSpace="0"/>
        </w:sectPr>
      </w:pPr>
      <w:r>
        <w:rPr>
          <w:rFonts w:hint="eastAsia" w:ascii="仿宋" w:hAnsi="仿宋" w:eastAsia="仿宋" w:cs="仿宋"/>
          <w:b/>
          <w:bCs/>
          <w:sz w:val="32"/>
          <w:szCs w:val="32"/>
        </w:rPr>
        <w:t>二〇二</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年</w:t>
      </w:r>
      <w:r>
        <w:rPr>
          <w:rFonts w:hint="eastAsia" w:ascii="仿宋" w:hAnsi="仿宋" w:eastAsia="仿宋" w:cs="仿宋"/>
          <w:b/>
          <w:bCs/>
          <w:sz w:val="32"/>
          <w:szCs w:val="32"/>
          <w:lang w:val="en-US" w:eastAsia="zh-CN"/>
        </w:rPr>
        <w:t>十</w:t>
      </w:r>
      <w:r>
        <w:rPr>
          <w:rFonts w:hint="eastAsia" w:ascii="仿宋" w:hAnsi="仿宋" w:eastAsia="仿宋" w:cs="仿宋"/>
          <w:b/>
          <w:bCs/>
          <w:sz w:val="32"/>
          <w:szCs w:val="32"/>
        </w:rPr>
        <w:t>月</w:t>
      </w:r>
    </w:p>
    <w:sdt>
      <w:sdtPr>
        <w:rPr>
          <w:rFonts w:ascii="Times New Roman Regular" w:hAnsi="Times New Roman Regular" w:eastAsia="宋体" w:cs="Times New Roman Regular"/>
          <w:kern w:val="2"/>
          <w:sz w:val="21"/>
          <w:szCs w:val="24"/>
          <w:lang w:val="en-US" w:eastAsia="zh-CN" w:bidi="ar-SA"/>
        </w:rPr>
        <w:id w:val="147451260"/>
        <w15:color w:val="DBDBDB"/>
        <w:docPartObj>
          <w:docPartGallery w:val="Table of Contents"/>
          <w:docPartUnique/>
        </w:docPartObj>
      </w:sdtPr>
      <w:sdtEndPr>
        <w:rPr>
          <w:rFonts w:hint="default" w:ascii="Times New Roman Regular" w:hAnsi="Times New Roman Regular" w:eastAsia="仿宋" w:cs="Times New Roman Regular"/>
          <w:b/>
          <w:kern w:val="2"/>
          <w:sz w:val="31"/>
          <w:szCs w:val="31"/>
          <w:lang w:val="en-US" w:eastAsia="zh-CN" w:bidi="ar-SA"/>
        </w:rPr>
      </w:sdtEndPr>
      <w:sdtContent>
        <w:p>
          <w:pPr>
            <w:spacing w:before="0" w:beforeLines="0" w:after="0" w:afterLines="0" w:line="240" w:lineRule="auto"/>
            <w:ind w:left="0" w:leftChars="0" w:right="0" w:rightChars="0" w:firstLine="0" w:firstLineChars="0"/>
            <w:jc w:val="center"/>
            <w:rPr>
              <w:rFonts w:hint="default" w:ascii="Times New Roman Regular" w:hAnsi="Times New Roman Regular" w:eastAsia="仿宋" w:cs="Times New Roman Regular"/>
              <w:kern w:val="2"/>
              <w:sz w:val="21"/>
              <w:szCs w:val="31"/>
              <w:lang w:val="en-US" w:eastAsia="zh-CN" w:bidi="ar-SA"/>
            </w:rPr>
          </w:pPr>
          <w:r>
            <w:rPr>
              <w:rFonts w:hint="eastAsia" w:ascii="方正小标宋_GBK" w:hAnsi="方正小标宋_GBK" w:eastAsia="方正小标宋_GBK" w:cs="方正小标宋_GBK"/>
              <w:b w:val="0"/>
              <w:bCs w:val="0"/>
              <w:sz w:val="45"/>
              <w:szCs w:val="45"/>
            </w:rPr>
            <w:t>目</w:t>
          </w:r>
          <w:r>
            <w:rPr>
              <w:rFonts w:hint="eastAsia" w:ascii="方正小标宋_GBK" w:hAnsi="方正小标宋_GBK" w:eastAsia="方正小标宋_GBK" w:cs="方正小标宋_GBK"/>
              <w:b w:val="0"/>
              <w:bCs w:val="0"/>
              <w:sz w:val="45"/>
              <w:szCs w:val="45"/>
              <w:lang w:val="en-US" w:eastAsia="zh-CN"/>
            </w:rPr>
            <w:t xml:space="preserve"> </w:t>
          </w:r>
          <w:r>
            <w:rPr>
              <w:rFonts w:hint="eastAsia" w:ascii="方正小标宋_GBK" w:hAnsi="方正小标宋_GBK" w:eastAsia="方正小标宋_GBK" w:cs="方正小标宋_GBK"/>
              <w:b w:val="0"/>
              <w:bCs w:val="0"/>
              <w:sz w:val="45"/>
              <w:szCs w:val="45"/>
            </w:rPr>
            <w:t>录</w:t>
          </w:r>
          <w:r>
            <w:rPr>
              <w:rFonts w:hint="default" w:ascii="Times New Roman Regular" w:hAnsi="Times New Roman Regular" w:eastAsia="仿宋" w:cs="Times New Roman Regular"/>
              <w:sz w:val="31"/>
              <w:szCs w:val="31"/>
            </w:rPr>
            <w:fldChar w:fldCharType="begin"/>
          </w:r>
          <w:r>
            <w:rPr>
              <w:rFonts w:hint="default" w:ascii="Times New Roman Regular" w:hAnsi="Times New Roman Regular" w:eastAsia="仿宋" w:cs="Times New Roman Regular"/>
              <w:sz w:val="31"/>
              <w:szCs w:val="31"/>
            </w:rPr>
            <w:instrText xml:space="preserve">TOC \o "1-2" \h \u </w:instrText>
          </w:r>
          <w:r>
            <w:rPr>
              <w:rFonts w:hint="default" w:ascii="Times New Roman Regular" w:hAnsi="Times New Roman Regular" w:eastAsia="仿宋" w:cs="Times New Roman Regular"/>
              <w:sz w:val="31"/>
              <w:szCs w:val="31"/>
            </w:rPr>
            <w:fldChar w:fldCharType="separate"/>
          </w:r>
        </w:p>
        <w:p>
          <w:pPr>
            <w:pStyle w:val="13"/>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_Toc6886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2"/>
              <w:sz w:val="28"/>
              <w:szCs w:val="28"/>
              <w:lang w:val="en-US" w:eastAsia="zh-CN" w:bidi="ar-SA"/>
            </w:rPr>
            <w:t>一、</w:t>
          </w:r>
          <w:r>
            <w:rPr>
              <w:rFonts w:hint="default" w:ascii="Times New Roman" w:hAnsi="Times New Roman" w:eastAsia="仿宋" w:cs="Times New Roman"/>
              <w:bCs/>
              <w:sz w:val="28"/>
              <w:szCs w:val="28"/>
              <w:lang w:val="en-US" w:eastAsia="zh-CN"/>
            </w:rPr>
            <w:t>单位基本情况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_Toc6886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5"/>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_Toc4096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（一）部门概况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_Toc4096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5"/>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_Toc19997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（二）主要职责</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_Toc19997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5"/>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_Toc24822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（三）人员情况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_Toc24822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3"/>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_Toc4237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2"/>
              <w:sz w:val="28"/>
              <w:szCs w:val="28"/>
              <w:lang w:val="en-US" w:eastAsia="zh-CN" w:bidi="ar-SA"/>
            </w:rPr>
            <w:t>二、部门整体收支情况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_Toc4237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5"/>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_Toc6745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（一）资金收入情况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_Toc6745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5"/>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_Toc111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（二）资金支出情况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_Toc111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4</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5"/>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_Toc7212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（三）资金管理情况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_Toc7212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3"/>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_Toc5547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2"/>
              <w:sz w:val="28"/>
              <w:szCs w:val="28"/>
              <w:lang w:val="en-US" w:eastAsia="zh-CN" w:bidi="ar-SA"/>
            </w:rPr>
            <w:t>三、制度建设情况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_Toc5547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6</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5"/>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_Toc24314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（一）内控制度建设情况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_Toc24314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6</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5"/>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_Toc19926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（二）资产管理制度建设及使用情况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_Toc19926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6</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5"/>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_Toc7256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（三）政</w:t>
          </w:r>
          <w:r>
            <w:rPr>
              <w:rFonts w:hint="default" w:ascii="Times New Roman" w:hAnsi="Times New Roman" w:eastAsia="仿宋" w:cs="Times New Roman"/>
              <w:bCs/>
              <w:sz w:val="28"/>
              <w:szCs w:val="28"/>
              <w:highlight w:val="none"/>
              <w:lang w:val="en-US" w:eastAsia="zh-CN"/>
            </w:rPr>
            <w:t>府采购制度建设情况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_Toc7256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6</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3"/>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_Toc11580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2"/>
              <w:sz w:val="28"/>
              <w:szCs w:val="28"/>
              <w:lang w:val="en-US" w:eastAsia="zh-CN" w:bidi="ar-SA"/>
            </w:rPr>
            <w:t>四、第三方重点绩效评价工作情况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_Toc11580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6</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5"/>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_Toc23621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（一）重点绩效评价目的</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_Toc23621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7</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5"/>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_Toc25915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（二）重点绩效评价工作过程</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_Toc25915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7</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3"/>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_Toc5784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2"/>
              <w:sz w:val="28"/>
              <w:szCs w:val="28"/>
              <w:lang w:val="en-US" w:eastAsia="zh-CN" w:bidi="ar-SA"/>
            </w:rPr>
            <w:t>五、部门整体支出绩效情况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_Toc5784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8</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5"/>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_Toc12919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（一）</w:t>
          </w:r>
          <w:r>
            <w:rPr>
              <w:rFonts w:hint="default" w:ascii="Times New Roman" w:hAnsi="Times New Roman" w:eastAsia="仿宋" w:cs="Times New Roman"/>
              <w:bCs/>
              <w:sz w:val="28"/>
              <w:szCs w:val="28"/>
              <w:highlight w:val="none"/>
              <w:lang w:val="en-US" w:eastAsia="zh-CN"/>
            </w:rPr>
            <w:t>部门整体实际产出情况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_Toc12919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8</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5"/>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_Toc13672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（二）</w:t>
          </w:r>
          <w:r>
            <w:rPr>
              <w:rFonts w:hint="default" w:ascii="Times New Roman" w:hAnsi="Times New Roman" w:eastAsia="仿宋" w:cs="Times New Roman"/>
              <w:bCs/>
              <w:sz w:val="28"/>
              <w:szCs w:val="28"/>
              <w:highlight w:val="none"/>
              <w:lang w:val="en-US" w:eastAsia="zh-CN"/>
            </w:rPr>
            <w:t>部门整体效益情况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_Toc13672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8</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5"/>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_Toc9179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（三）部门整体满意度</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_Toc9179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10</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3"/>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_Toc7506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2"/>
              <w:sz w:val="28"/>
              <w:szCs w:val="28"/>
              <w:lang w:val="en-US" w:eastAsia="zh-CN" w:bidi="ar-SA"/>
            </w:rPr>
            <w:t>六、综合评价情况及评价结论</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_Toc7506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10</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3"/>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_Toc20026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2"/>
              <w:sz w:val="28"/>
              <w:szCs w:val="28"/>
              <w:highlight w:val="none"/>
              <w:lang w:val="en-US" w:eastAsia="zh-CN" w:bidi="ar-SA"/>
            </w:rPr>
            <w:t>七、存在的主要问题</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_Toc20026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10</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5"/>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_Toc17587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w:t>
          </w:r>
          <w:r>
            <w:rPr>
              <w:rFonts w:hint="eastAsia" w:ascii="Times New Roman" w:hAnsi="Times New Roman" w:eastAsia="仿宋" w:cs="Times New Roman"/>
              <w:bCs/>
              <w:sz w:val="28"/>
              <w:szCs w:val="28"/>
              <w:lang w:val="en-US" w:eastAsia="zh-CN"/>
            </w:rPr>
            <w:t>一</w:t>
          </w:r>
          <w:r>
            <w:rPr>
              <w:rFonts w:hint="default" w:ascii="Times New Roman" w:hAnsi="Times New Roman" w:eastAsia="仿宋" w:cs="Times New Roman"/>
              <w:bCs/>
              <w:sz w:val="28"/>
              <w:szCs w:val="28"/>
              <w:lang w:val="en-US" w:eastAsia="zh-CN"/>
            </w:rPr>
            <w:t>）政府采购方面</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_Toc17587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10</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5"/>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_Toc21027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w:t>
          </w:r>
          <w:r>
            <w:rPr>
              <w:rFonts w:hint="eastAsia" w:ascii="Times New Roman" w:hAnsi="Times New Roman" w:eastAsia="仿宋" w:cs="Times New Roman"/>
              <w:bCs/>
              <w:sz w:val="28"/>
              <w:szCs w:val="28"/>
              <w:lang w:val="en-US" w:eastAsia="zh-CN"/>
            </w:rPr>
            <w:t>二</w:t>
          </w:r>
          <w:r>
            <w:rPr>
              <w:rFonts w:hint="default" w:ascii="Times New Roman" w:hAnsi="Times New Roman" w:eastAsia="仿宋" w:cs="Times New Roman"/>
              <w:bCs/>
              <w:sz w:val="28"/>
              <w:szCs w:val="28"/>
              <w:lang w:val="en-US" w:eastAsia="zh-CN"/>
            </w:rPr>
            <w:t>）资产管理方面</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_Toc21027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11</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3"/>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_Toc26705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2"/>
              <w:sz w:val="28"/>
              <w:szCs w:val="28"/>
              <w:lang w:val="en-US" w:eastAsia="zh-CN" w:bidi="ar-SA"/>
            </w:rPr>
            <w:t>八</w:t>
          </w:r>
          <w:r>
            <w:rPr>
              <w:rFonts w:hint="default" w:ascii="Times New Roman" w:hAnsi="Times New Roman" w:eastAsia="仿宋" w:cs="Times New Roman"/>
              <w:bCs/>
              <w:kern w:val="2"/>
              <w:sz w:val="28"/>
              <w:szCs w:val="28"/>
              <w:highlight w:val="none"/>
              <w:lang w:val="en-US" w:eastAsia="zh-CN" w:bidi="ar-SA"/>
            </w:rPr>
            <w:t>、相关建议</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_Toc26705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11</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5"/>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_Toc13883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w:t>
          </w:r>
          <w:r>
            <w:rPr>
              <w:rFonts w:hint="eastAsia" w:ascii="Times New Roman" w:hAnsi="Times New Roman" w:eastAsia="仿宋" w:cs="Times New Roman"/>
              <w:bCs/>
              <w:sz w:val="28"/>
              <w:szCs w:val="28"/>
              <w:lang w:val="en-US" w:eastAsia="zh-CN"/>
            </w:rPr>
            <w:t>一</w:t>
          </w:r>
          <w:r>
            <w:rPr>
              <w:rFonts w:hint="default" w:ascii="Times New Roman" w:hAnsi="Times New Roman" w:eastAsia="仿宋" w:cs="Times New Roman"/>
              <w:bCs/>
              <w:sz w:val="28"/>
              <w:szCs w:val="28"/>
              <w:lang w:val="en-US" w:eastAsia="zh-CN"/>
            </w:rPr>
            <w:t>）加强政府采购管理</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_Toc13883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11</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5"/>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_Toc606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w:t>
          </w:r>
          <w:r>
            <w:rPr>
              <w:rFonts w:hint="eastAsia" w:ascii="Times New Roman" w:hAnsi="Times New Roman" w:eastAsia="仿宋" w:cs="Times New Roman"/>
              <w:bCs/>
              <w:sz w:val="28"/>
              <w:szCs w:val="28"/>
              <w:lang w:val="en-US" w:eastAsia="zh-CN"/>
            </w:rPr>
            <w:t>二</w:t>
          </w:r>
          <w:r>
            <w:rPr>
              <w:rFonts w:hint="default" w:ascii="Times New Roman" w:hAnsi="Times New Roman" w:eastAsia="仿宋" w:cs="Times New Roman"/>
              <w:bCs/>
              <w:sz w:val="28"/>
              <w:szCs w:val="28"/>
              <w:lang w:val="en-US" w:eastAsia="zh-CN"/>
            </w:rPr>
            <w:t>）规范资产管理</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_Toc606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11</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3"/>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_Toc18000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2"/>
              <w:sz w:val="28"/>
              <w:szCs w:val="28"/>
              <w:lang w:val="en-US" w:eastAsia="zh-CN" w:bidi="ar-SA"/>
            </w:rPr>
            <w:t>九、报告使用情况说明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_Toc18000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11</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spacing w:before="0" w:beforeLines="0" w:after="0" w:afterLines="0" w:line="240" w:lineRule="auto"/>
            <w:ind w:left="0" w:leftChars="0" w:right="0" w:rightChars="0" w:firstLine="0" w:firstLineChars="0"/>
            <w:jc w:val="center"/>
            <w:rPr>
              <w:rFonts w:hint="default" w:ascii="Times New Roman Regular" w:hAnsi="Times New Roman Regular" w:eastAsia="仿宋" w:cs="Times New Roman Regular"/>
              <w:sz w:val="31"/>
              <w:szCs w:val="31"/>
            </w:rPr>
          </w:pPr>
          <w:r>
            <w:rPr>
              <w:rFonts w:hint="default" w:ascii="Times New Roman Regular" w:hAnsi="Times New Roman Regular" w:eastAsia="仿宋" w:cs="Times New Roman Regular"/>
              <w:szCs w:val="31"/>
            </w:rPr>
            <w:fldChar w:fldCharType="end"/>
          </w:r>
        </w:p>
      </w:sdtContent>
    </w:sdt>
    <w:p>
      <w:pPr>
        <w:jc w:val="center"/>
        <w:rPr>
          <w:rFonts w:hint="default" w:ascii="Times New Roman Regular" w:hAnsi="Times New Roman Regular" w:eastAsia="黑体" w:cs="Times New Roman Regular"/>
          <w:b/>
          <w:bCs/>
          <w:spacing w:val="33"/>
          <w:sz w:val="33"/>
          <w:szCs w:val="33"/>
        </w:rPr>
      </w:pPr>
    </w:p>
    <w:p>
      <w:pPr>
        <w:jc w:val="center"/>
        <w:rPr>
          <w:rFonts w:hint="default" w:ascii="Times New Roman Regular" w:hAnsi="Times New Roman Regular" w:eastAsia="黑体" w:cs="Times New Roman Regular"/>
          <w:b/>
          <w:bCs/>
          <w:spacing w:val="33"/>
          <w:sz w:val="33"/>
          <w:szCs w:val="33"/>
        </w:rPr>
      </w:pPr>
    </w:p>
    <w:p>
      <w:pPr>
        <w:jc w:val="center"/>
        <w:rPr>
          <w:rFonts w:hint="default" w:ascii="Times New Roman Regular" w:hAnsi="Times New Roman Regular" w:eastAsia="黑体" w:cs="Times New Roman Regular"/>
          <w:b/>
          <w:bCs/>
          <w:spacing w:val="33"/>
          <w:sz w:val="33"/>
          <w:szCs w:val="33"/>
        </w:rPr>
        <w:sectPr>
          <w:pgSz w:w="11906" w:h="16838"/>
          <w:pgMar w:top="1440" w:right="1757" w:bottom="1440" w:left="1757" w:header="851" w:footer="992" w:gutter="0"/>
          <w:pgBorders>
            <w:top w:val="none" w:sz="0" w:space="0"/>
            <w:left w:val="none" w:sz="0" w:space="0"/>
            <w:bottom w:val="none" w:sz="0" w:space="0"/>
            <w:right w:val="none" w:sz="0" w:space="0"/>
          </w:pgBorders>
          <w:cols w:space="425" w:num="1"/>
          <w:docGrid w:type="lines" w:linePitch="312" w:charSpace="0"/>
        </w:sectPr>
      </w:pPr>
    </w:p>
    <w:p>
      <w:pPr>
        <w:widowControl/>
        <w:spacing w:line="540" w:lineRule="exact"/>
        <w:jc w:val="both"/>
        <w:rPr>
          <w:rFonts w:ascii="黑体" w:hAnsi="黑体" w:eastAsia="黑体" w:cs="黑体"/>
          <w:kern w:val="0"/>
          <w:sz w:val="44"/>
          <w:szCs w:val="44"/>
        </w:rPr>
      </w:pPr>
      <w:r>
        <w:rPr>
          <w:sz w:val="72"/>
        </w:rPr>
        <mc:AlternateContent>
          <mc:Choice Requires="wpg">
            <w:drawing>
              <wp:anchor distT="0" distB="0" distL="114300" distR="114300" simplePos="0" relativeHeight="251661312" behindDoc="0" locked="0" layoutInCell="1" allowOverlap="1">
                <wp:simplePos x="0" y="0"/>
                <wp:positionH relativeFrom="column">
                  <wp:posOffset>-531495</wp:posOffset>
                </wp:positionH>
                <wp:positionV relativeFrom="paragraph">
                  <wp:posOffset>64135</wp:posOffset>
                </wp:positionV>
                <wp:extent cx="6372860" cy="1358265"/>
                <wp:effectExtent l="0" t="0" r="0" b="12700"/>
                <wp:wrapNone/>
                <wp:docPr id="4" name="组合 4"/>
                <wp:cNvGraphicFramePr/>
                <a:graphic xmlns:a="http://schemas.openxmlformats.org/drawingml/2006/main">
                  <a:graphicData uri="http://schemas.microsoft.com/office/word/2010/wordprocessingGroup">
                    <wpg:wgp>
                      <wpg:cNvGrpSpPr/>
                      <wpg:grpSpPr>
                        <a:xfrm>
                          <a:off x="0" y="0"/>
                          <a:ext cx="6372860" cy="1358265"/>
                          <a:chOff x="1452" y="1627"/>
                          <a:chExt cx="10036" cy="2139"/>
                        </a:xfrm>
                      </wpg:grpSpPr>
                      <wps:wsp>
                        <wps:cNvPr id="5" name="文本框 5"/>
                        <wps:cNvSpPr txBox="1"/>
                        <wps:spPr>
                          <a:xfrm>
                            <a:off x="1452" y="1627"/>
                            <a:ext cx="10036" cy="1716"/>
                          </a:xfrm>
                          <a:prstGeom prst="rect">
                            <a:avLst/>
                          </a:prstGeom>
                          <a:noFill/>
                          <a:ln w="6350">
                            <a:noFill/>
                          </a:ln>
                        </wps:spPr>
                        <wps:txbx>
                          <w:txbxContent>
                            <w:p>
                              <w:pPr>
                                <w:keepNext w:val="0"/>
                                <w:keepLines w:val="0"/>
                                <w:pageBreakBefore w:val="0"/>
                                <w:widowControl w:val="0"/>
                                <w:kinsoku/>
                                <w:wordWrap/>
                                <w:overflowPunct/>
                                <w:topLinePunct w:val="0"/>
                                <w:autoSpaceDE/>
                                <w:autoSpaceDN/>
                                <w:bidi w:val="0"/>
                                <w:adjustRightInd/>
                                <w:snapToGrid/>
                                <w:ind w:left="0" w:leftChars="0"/>
                                <w:jc w:val="both"/>
                                <w:textAlignment w:val="auto"/>
                                <w:rPr>
                                  <w:rFonts w:hint="eastAsia" w:ascii="方正粗黑宋简体" w:hAnsi="方正粗黑宋简体" w:eastAsia="方正粗黑宋简体" w:cs="方正粗黑宋简体"/>
                                  <w:b/>
                                  <w:bCs/>
                                  <w:color w:val="00B0F0"/>
                                  <w:spacing w:val="-113"/>
                                </w:rPr>
                              </w:pPr>
                              <w:r>
                                <w:rPr>
                                  <w:rFonts w:hint="eastAsia" w:ascii="方正大标宋_GBK" w:hAnsi="方正大标宋_GBK" w:eastAsia="方正大标宋_GBK" w:cs="方正大标宋_GBK"/>
                                  <w:b/>
                                  <w:bCs/>
                                  <w:color w:val="FF0000"/>
                                  <w:spacing w:val="0"/>
                                  <w:w w:val="60"/>
                                  <w:kern w:val="0"/>
                                  <w:sz w:val="110"/>
                                  <w:szCs w:val="110"/>
                                  <w:fitText w:val="9733" w:id="1792034012"/>
                                  <w:lang w:val="en-US" w:eastAsia="zh-CN"/>
                                </w:rPr>
                                <w:t>湖南财正会计师事务所(普通合伙</w:t>
                              </w:r>
                              <w:r>
                                <w:rPr>
                                  <w:rFonts w:hint="eastAsia" w:ascii="方正大标宋_GBK" w:hAnsi="方正大标宋_GBK" w:eastAsia="方正大标宋_GBK" w:cs="方正大标宋_GBK"/>
                                  <w:b/>
                                  <w:bCs/>
                                  <w:color w:val="FF0000"/>
                                  <w:spacing w:val="-30"/>
                                  <w:w w:val="60"/>
                                  <w:kern w:val="0"/>
                                  <w:sz w:val="110"/>
                                  <w:szCs w:val="110"/>
                                  <w:fitText w:val="9733" w:id="1792034012"/>
                                  <w:lang w:val="en-US" w:eastAsia="zh-CN"/>
                                </w:rPr>
                                <w:t>)</w:t>
                              </w:r>
                            </w:p>
                          </w:txbxContent>
                        </wps:txbx>
                        <wps:bodyPr upright="1"/>
                      </wps:wsp>
                      <wps:wsp>
                        <wps:cNvPr id="6" name="文本框 6"/>
                        <wps:cNvSpPr txBox="1"/>
                        <wps:spPr>
                          <a:xfrm>
                            <a:off x="1704" y="3046"/>
                            <a:ext cx="9253" cy="662"/>
                          </a:xfrm>
                          <a:prstGeom prst="rect">
                            <a:avLst/>
                          </a:prstGeom>
                          <a:noFill/>
                          <a:ln w="6350">
                            <a:noFill/>
                          </a:ln>
                        </wps:spPr>
                        <wps:txbx>
                          <w:txbxContent>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Arial" w:hAnsi="Arial" w:cs="Arial"/>
                                  <w:b w:val="0"/>
                                  <w:bCs w:val="0"/>
                                  <w:color w:val="FF0000"/>
                                  <w:w w:val="150"/>
                                  <w:sz w:val="36"/>
                                  <w:szCs w:val="36"/>
                                </w:rPr>
                              </w:pPr>
                              <w:r>
                                <w:rPr>
                                  <w:rFonts w:hint="default" w:ascii="Arial" w:hAnsi="Arial" w:cs="Arial"/>
                                  <w:b w:val="0"/>
                                  <w:bCs w:val="0"/>
                                  <w:color w:val="FF0000"/>
                                  <w:spacing w:val="1"/>
                                  <w:w w:val="98"/>
                                  <w:kern w:val="0"/>
                                  <w:sz w:val="36"/>
                                  <w:szCs w:val="36"/>
                                  <w:fitText w:val="8800" w:id="1416915932"/>
                                </w:rPr>
                                <w:t>Hunan Caizheng Accounting Firm (General Partnership</w:t>
                              </w:r>
                              <w:r>
                                <w:rPr>
                                  <w:rFonts w:hint="default" w:ascii="Arial" w:hAnsi="Arial" w:cs="Arial"/>
                                  <w:b w:val="0"/>
                                  <w:bCs w:val="0"/>
                                  <w:color w:val="FF0000"/>
                                  <w:spacing w:val="-15"/>
                                  <w:w w:val="98"/>
                                  <w:kern w:val="0"/>
                                  <w:sz w:val="36"/>
                                  <w:szCs w:val="36"/>
                                  <w:fitText w:val="8800" w:id="1416915932"/>
                                </w:rPr>
                                <w:t>)</w:t>
                              </w:r>
                            </w:p>
                            <w:p>
                              <w:pPr>
                                <w:jc w:val="center"/>
                                <w:rPr>
                                  <w:rFonts w:hint="default"/>
                                  <w:color w:val="366091"/>
                                  <w:w w:val="150"/>
                                  <w:sz w:val="40"/>
                                  <w:szCs w:val="40"/>
                                  <w:lang w:val="en-US"/>
                                </w:rPr>
                              </w:pPr>
                            </w:p>
                          </w:txbxContent>
                        </wps:txbx>
                        <wps:bodyPr upright="1"/>
                      </wps:wsp>
                      <wps:wsp>
                        <wps:cNvPr id="7" name="矩形 7"/>
                        <wps:cNvSpPr/>
                        <wps:spPr>
                          <a:xfrm>
                            <a:off x="1632" y="3709"/>
                            <a:ext cx="9360" cy="57"/>
                          </a:xfrm>
                          <a:prstGeom prst="rect">
                            <a:avLst/>
                          </a:prstGeom>
                          <a:solidFill>
                            <a:srgbClr val="FF0000"/>
                          </a:solidFill>
                          <a:ln w="25400" cap="flat" cmpd="sng">
                            <a:solidFill>
                              <a:srgbClr val="FF0000"/>
                            </a:solidFill>
                            <a:prstDash val="solid"/>
                            <a:round/>
                            <a:headEnd type="none" w="med" len="med"/>
                            <a:tailEnd type="none" w="med" len="med"/>
                          </a:ln>
                        </wps:spPr>
                        <wps:bodyPr anchor="ctr" anchorCtr="0" upright="1"/>
                      </wps:wsp>
                    </wpg:wgp>
                  </a:graphicData>
                </a:graphic>
              </wp:anchor>
            </w:drawing>
          </mc:Choice>
          <mc:Fallback>
            <w:pict>
              <v:group id="_x0000_s1026" o:spid="_x0000_s1026" o:spt="203" style="position:absolute;left:0pt;margin-left:-41.85pt;margin-top:5.05pt;height:106.95pt;width:501.8pt;z-index:251661312;mso-width-relative:page;mso-height-relative:page;" coordorigin="1452,1627" coordsize="10036,2139" o:gfxdata="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QbYO0dsAAAAKAQAA&#10;DwAAAAAAAAABACAAAAAiAAAAZHJzL2Rvd25yZXYueG1sUEsBAhQAFAAAAAgAh07iQLebZeX6AgAA&#10;XwgAAA4AAAAAAAAAAQAgAAAAKgEAAGRycy9lMm9Eb2MueG1sUEsFBgAAAAAGAAYAWQEAAJYGAAAA&#10;AA==&#10;">
                <o:lock v:ext="edit" aspectratio="f"/>
                <v:shape id="_x0000_s1026" o:spid="_x0000_s1026" o:spt="202" type="#_x0000_t202" style="position:absolute;left:1452;top:1627;height:1716;width:10036;" filled="f" stroked="f" coordsize="21600,21600" o:gfxdata="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kpHL4A&#10;AADa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left="0" w:leftChars="0"/>
                          <w:jc w:val="both"/>
                          <w:textAlignment w:val="auto"/>
                          <w:rPr>
                            <w:rFonts w:hint="eastAsia" w:ascii="方正粗黑宋简体" w:hAnsi="方正粗黑宋简体" w:eastAsia="方正粗黑宋简体" w:cs="方正粗黑宋简体"/>
                            <w:b/>
                            <w:bCs/>
                            <w:color w:val="00B0F0"/>
                            <w:spacing w:val="-113"/>
                          </w:rPr>
                        </w:pPr>
                        <w:r>
                          <w:rPr>
                            <w:rFonts w:hint="eastAsia" w:ascii="方正大标宋_GBK" w:hAnsi="方正大标宋_GBK" w:eastAsia="方正大标宋_GBK" w:cs="方正大标宋_GBK"/>
                            <w:b/>
                            <w:bCs/>
                            <w:color w:val="FF0000"/>
                            <w:spacing w:val="0"/>
                            <w:w w:val="60"/>
                            <w:kern w:val="0"/>
                            <w:sz w:val="110"/>
                            <w:szCs w:val="110"/>
                            <w:fitText w:val="9733" w:id="1792034012"/>
                            <w:lang w:val="en-US" w:eastAsia="zh-CN"/>
                          </w:rPr>
                          <w:t>湖南财正会计师事务所(普通合伙</w:t>
                        </w:r>
                        <w:r>
                          <w:rPr>
                            <w:rFonts w:hint="eastAsia" w:ascii="方正大标宋_GBK" w:hAnsi="方正大标宋_GBK" w:eastAsia="方正大标宋_GBK" w:cs="方正大标宋_GBK"/>
                            <w:b/>
                            <w:bCs/>
                            <w:color w:val="FF0000"/>
                            <w:spacing w:val="-30"/>
                            <w:w w:val="60"/>
                            <w:kern w:val="0"/>
                            <w:sz w:val="110"/>
                            <w:szCs w:val="110"/>
                            <w:fitText w:val="9733" w:id="1792034012"/>
                            <w:lang w:val="en-US" w:eastAsia="zh-CN"/>
                          </w:rPr>
                          <w:t>)</w:t>
                        </w:r>
                      </w:p>
                    </w:txbxContent>
                  </v:textbox>
                </v:shape>
                <v:shape id="_x0000_s1026" o:spid="_x0000_s1026" o:spt="202" type="#_x0000_t202" style="position:absolute;left:1704;top:3046;height:662;width:9253;" filled="f" stroked="f" coordsize="21600,21600" o:gfxdata="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m7dr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Arial" w:hAnsi="Arial" w:cs="Arial"/>
                            <w:b w:val="0"/>
                            <w:bCs w:val="0"/>
                            <w:color w:val="FF0000"/>
                            <w:w w:val="150"/>
                            <w:sz w:val="36"/>
                            <w:szCs w:val="36"/>
                          </w:rPr>
                        </w:pPr>
                        <w:r>
                          <w:rPr>
                            <w:rFonts w:hint="default" w:ascii="Arial" w:hAnsi="Arial" w:cs="Arial"/>
                            <w:b w:val="0"/>
                            <w:bCs w:val="0"/>
                            <w:color w:val="FF0000"/>
                            <w:spacing w:val="1"/>
                            <w:w w:val="98"/>
                            <w:kern w:val="0"/>
                            <w:sz w:val="36"/>
                            <w:szCs w:val="36"/>
                            <w:fitText w:val="8800" w:id="1416915932"/>
                          </w:rPr>
                          <w:t>Hunan Caizheng Accounting Firm (General Partnership</w:t>
                        </w:r>
                        <w:r>
                          <w:rPr>
                            <w:rFonts w:hint="default" w:ascii="Arial" w:hAnsi="Arial" w:cs="Arial"/>
                            <w:b w:val="0"/>
                            <w:bCs w:val="0"/>
                            <w:color w:val="FF0000"/>
                            <w:spacing w:val="-15"/>
                            <w:w w:val="98"/>
                            <w:kern w:val="0"/>
                            <w:sz w:val="36"/>
                            <w:szCs w:val="36"/>
                            <w:fitText w:val="8800" w:id="1416915932"/>
                          </w:rPr>
                          <w:t>)</w:t>
                        </w:r>
                      </w:p>
                      <w:p>
                        <w:pPr>
                          <w:jc w:val="center"/>
                          <w:rPr>
                            <w:rFonts w:hint="default"/>
                            <w:color w:val="366091"/>
                            <w:w w:val="150"/>
                            <w:sz w:val="40"/>
                            <w:szCs w:val="40"/>
                            <w:lang w:val="en-US"/>
                          </w:rPr>
                        </w:pPr>
                      </w:p>
                    </w:txbxContent>
                  </v:textbox>
                </v:shape>
                <v:rect id="_x0000_s1026" o:spid="_x0000_s1026" o:spt="1" style="position:absolute;left:1632;top:3709;height:57;width:9360;v-text-anchor:middle;" fillcolor="#FF0000" filled="t" stroked="t" coordsize="21600,21600" o:gfxdata="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ZXNVq5AAAA2gAA&#10;AA8AAAAAAAAAAQAgAAAAIgAAAGRycy9kb3ducmV2LnhtbFBLAQIUABQAAAAIAIdO4kAzLwWeOwAA&#10;ADkAAAAQAAAAAAAAAAEAIAAAAAgBAABkcnMvc2hhcGV4bWwueG1sUEsFBgAAAAAGAAYAWwEAALID&#10;AAAAAA==&#10;">
                  <v:fill on="t" focussize="0,0"/>
                  <v:stroke weight="2pt" color="#FF0000" joinstyle="round"/>
                  <v:imagedata o:title=""/>
                  <o:lock v:ext="edit" aspectratio="f"/>
                </v:rect>
              </v:group>
            </w:pict>
          </mc:Fallback>
        </mc:AlternateContent>
      </w:r>
    </w:p>
    <w:p>
      <w:pPr>
        <w:spacing w:line="600" w:lineRule="exact"/>
        <w:jc w:val="center"/>
        <w:outlineLvl w:val="9"/>
        <w:rPr>
          <w:rFonts w:hint="eastAsia" w:ascii="方正小标宋_GBK" w:hAnsi="方正小标宋_GBK" w:eastAsia="方正小标宋_GBK" w:cs="方正小标宋_GBK"/>
          <w:bCs/>
          <w:sz w:val="44"/>
          <w:szCs w:val="44"/>
        </w:rPr>
      </w:pPr>
    </w:p>
    <w:p>
      <w:pPr>
        <w:spacing w:line="600" w:lineRule="exact"/>
        <w:jc w:val="center"/>
        <w:outlineLvl w:val="9"/>
        <w:rPr>
          <w:rFonts w:hint="eastAsia" w:ascii="方正小标宋_GBK" w:hAnsi="方正小标宋_GBK" w:eastAsia="方正小标宋_GBK" w:cs="方正小标宋_GBK"/>
          <w:bCs/>
          <w:sz w:val="44"/>
          <w:szCs w:val="44"/>
        </w:rPr>
      </w:pPr>
    </w:p>
    <w:p>
      <w:pPr>
        <w:jc w:val="center"/>
        <w:rPr>
          <w:rFonts w:hint="default" w:ascii="Times New Roman Regular" w:hAnsi="Times New Roman Regular" w:eastAsia="黑体" w:cs="Times New Roman Regular"/>
          <w:b/>
          <w:bCs/>
          <w:spacing w:val="33"/>
          <w:sz w:val="33"/>
          <w:szCs w:val="33"/>
        </w:rPr>
      </w:pPr>
    </w:p>
    <w:p>
      <w:pPr>
        <w:jc w:val="center"/>
        <w:rPr>
          <w:rFonts w:hint="default" w:ascii="Times New Roman Regular" w:hAnsi="Times New Roman Regular" w:eastAsia="仿宋" w:cs="Times New Roman Regular"/>
          <w:b w:val="0"/>
          <w:bCs w:val="0"/>
          <w:sz w:val="33"/>
          <w:lang w:val="en-US" w:eastAsia="zh-CN"/>
        </w:rPr>
      </w:pPr>
      <w:r>
        <w:rPr>
          <w:rFonts w:hint="default" w:ascii="Times New Roman Regular" w:hAnsi="Times New Roman Regular" w:eastAsia="仿宋" w:cs="Times New Roman Regular"/>
          <w:b/>
          <w:bCs/>
          <w:sz w:val="33"/>
        </w:rPr>
        <mc:AlternateContent>
          <mc:Choice Requires="wps">
            <w:drawing>
              <wp:anchor distT="0" distB="0" distL="114935" distR="114935" simplePos="0" relativeHeight="251660288" behindDoc="0" locked="0" layoutInCell="1" allowOverlap="1">
                <wp:simplePos x="0" y="0"/>
                <wp:positionH relativeFrom="column">
                  <wp:posOffset>-305435</wp:posOffset>
                </wp:positionH>
                <wp:positionV relativeFrom="page">
                  <wp:posOffset>2144395</wp:posOffset>
                </wp:positionV>
                <wp:extent cx="5923915" cy="635"/>
                <wp:effectExtent l="0" t="0" r="0" b="0"/>
                <wp:wrapSquare wrapText="bothSides"/>
                <wp:docPr id="3" name="直接连接符 3"/>
                <wp:cNvGraphicFramePr/>
                <a:graphic xmlns:a="http://schemas.openxmlformats.org/drawingml/2006/main">
                  <a:graphicData uri="http://schemas.microsoft.com/office/word/2010/wordprocessingShape">
                    <wps:wsp>
                      <wps:cNvCnPr/>
                      <wps:spPr>
                        <a:xfrm>
                          <a:off x="779145" y="2103120"/>
                          <a:ext cx="5923915" cy="635"/>
                        </a:xfrm>
                        <a:prstGeom prst="line">
                          <a:avLst/>
                        </a:prstGeom>
                        <a:ln w="28575" cmpd="sng">
                          <a:no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05pt;margin-top:168.85pt;height:0.05pt;width:466.45pt;mso-position-vertical-relative:page;mso-wrap-distance-bottom:0pt;mso-wrap-distance-left:9.05pt;mso-wrap-distance-right:9.05pt;mso-wrap-distance-top:0pt;z-index:251660288;mso-width-relative:page;mso-height-relative:page;" filled="f" stroked="f" coordsize="21600,21600" o:gfxdata="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NcWPx2QAA&#10;AAsBAAAPAAAAAAAAAAEAIAAAACIAAABkcnMvZG93bnJldi54bWxQSwECFAAUAAAACACHTuJAd39K&#10;MeQBAACWAwAADgAAAAAAAAABACAAAAAoAQAAZHJzL2Uyb0RvYy54bWxQSwUGAAAAAAYABgBZAQAA&#10;fgUAAAAA&#10;">
                <v:fill on="f" focussize="0,0"/>
                <v:stroke on="f" weight="2.25pt" miterlimit="8" joinstyle="miter"/>
                <v:imagedata o:title=""/>
                <o:lock v:ext="edit" aspectratio="f"/>
                <w10:wrap type="square"/>
              </v:line>
            </w:pict>
          </mc:Fallback>
        </mc:AlternateContent>
      </w:r>
      <w:r>
        <w:rPr>
          <w:rFonts w:hint="default" w:ascii="Times New Roman Regular" w:hAnsi="Times New Roman Regular" w:eastAsia="仿宋" w:cs="Times New Roman Regular"/>
          <w:b/>
          <w:bCs/>
          <w:sz w:val="33"/>
          <w:lang w:val="en-US" w:eastAsia="zh-CN"/>
        </w:rPr>
        <w:t>湘财正咨字</w:t>
      </w:r>
      <w:r>
        <w:rPr>
          <w:rFonts w:hint="default" w:ascii="Times New Roman Regular" w:hAnsi="Times New Roman Regular" w:eastAsia="仿宋" w:cs="Times New Roman Regular"/>
          <w:b w:val="0"/>
          <w:bCs w:val="0"/>
          <w:sz w:val="33"/>
          <w:lang w:val="en-US" w:eastAsia="zh-CN"/>
        </w:rPr>
        <w:t>[2023]</w:t>
      </w:r>
      <w:r>
        <w:rPr>
          <w:rFonts w:hint="default" w:ascii="Times New Roman Regular" w:hAnsi="Times New Roman Regular" w:eastAsia="仿宋" w:cs="Times New Roman Regular"/>
          <w:b/>
          <w:bCs/>
          <w:sz w:val="33"/>
          <w:lang w:val="en-US" w:eastAsia="zh-CN"/>
        </w:rPr>
        <w:t>第</w:t>
      </w:r>
      <w:r>
        <w:rPr>
          <w:rFonts w:hint="default" w:ascii="Times New Roman Regular" w:hAnsi="Times New Roman Regular" w:eastAsia="仿宋" w:cs="Times New Roman Regular"/>
          <w:b w:val="0"/>
          <w:bCs w:val="0"/>
          <w:color w:val="auto"/>
          <w:sz w:val="33"/>
          <w:lang w:val="en-US" w:eastAsia="zh-CN"/>
        </w:rPr>
        <w:t>0</w:t>
      </w:r>
      <w:r>
        <w:rPr>
          <w:rFonts w:hint="eastAsia" w:ascii="Times New Roman Regular" w:hAnsi="Times New Roman Regular" w:eastAsia="仿宋" w:cs="Times New Roman Regular"/>
          <w:b w:val="0"/>
          <w:bCs w:val="0"/>
          <w:color w:val="auto"/>
          <w:sz w:val="33"/>
          <w:lang w:val="en-US" w:eastAsia="zh-CN"/>
        </w:rPr>
        <w:t>93</w:t>
      </w:r>
      <w:r>
        <w:rPr>
          <w:rFonts w:hint="default" w:ascii="Times New Roman Regular" w:hAnsi="Times New Roman Regular" w:eastAsia="仿宋" w:cs="Times New Roman Regular"/>
          <w:b/>
          <w:bCs/>
          <w:sz w:val="33"/>
          <w:lang w:val="en-US" w:eastAsia="zh-CN"/>
        </w:rPr>
        <w:t>号</w:t>
      </w:r>
    </w:p>
    <w:p>
      <w:pPr>
        <w:jc w:val="center"/>
        <w:rPr>
          <w:rFonts w:hint="default" w:ascii="Times New Roman Regular" w:hAnsi="Times New Roman Regular" w:eastAsia="仿宋" w:cs="Times New Roman Regular"/>
          <w:sz w:val="33"/>
          <w:lang w:val="en-US" w:eastAsia="zh-CN"/>
        </w:rPr>
      </w:pPr>
    </w:p>
    <w:p>
      <w:pPr>
        <w:jc w:val="center"/>
        <w:rPr>
          <w:rFonts w:hint="eastAsia" w:ascii="Times New Roman Regular" w:hAnsi="Times New Roman Regular" w:eastAsia="方正小标宋简体" w:cs="Times New Roman Regular"/>
          <w:b w:val="0"/>
          <w:bCs w:val="0"/>
          <w:sz w:val="40"/>
          <w:szCs w:val="40"/>
          <w:lang w:val="en-US" w:eastAsia="zh-CN"/>
        </w:rPr>
      </w:pPr>
      <w:r>
        <w:rPr>
          <w:rFonts w:hint="eastAsia" w:ascii="Times New Roman Regular" w:hAnsi="Times New Roman Regular" w:eastAsia="方正小标宋简体" w:cs="Times New Roman Regular"/>
          <w:b w:val="0"/>
          <w:bCs w:val="0"/>
          <w:sz w:val="40"/>
          <w:szCs w:val="40"/>
          <w:lang w:val="en-US" w:eastAsia="zh-CN"/>
        </w:rPr>
        <w:t>邵阳市北塔区医疗保障局</w:t>
      </w:r>
      <w:bookmarkStart w:id="67" w:name="_GoBack"/>
      <w:bookmarkEnd w:id="67"/>
    </w:p>
    <w:p>
      <w:pPr>
        <w:jc w:val="center"/>
        <w:rPr>
          <w:rFonts w:hint="default" w:ascii="Times New Roman Regular" w:hAnsi="Times New Roman Regular" w:eastAsia="宋体" w:cs="Times New Roman Regular"/>
          <w:b w:val="0"/>
          <w:bCs w:val="0"/>
          <w:sz w:val="40"/>
          <w:szCs w:val="40"/>
          <w:lang w:val="en-US" w:eastAsia="zh-CN"/>
        </w:rPr>
      </w:pPr>
      <w:r>
        <w:rPr>
          <w:rFonts w:hint="default" w:ascii="Times New Roman Regular" w:hAnsi="Times New Roman Regular" w:eastAsia="方正小标宋简体" w:cs="Times New Roman Regular"/>
          <w:b w:val="0"/>
          <w:bCs w:val="0"/>
          <w:sz w:val="40"/>
          <w:szCs w:val="40"/>
          <w:lang w:val="en-US" w:eastAsia="zh-CN"/>
        </w:rPr>
        <w:t>2022年度部门整体支出绩效评价报告</w:t>
      </w:r>
    </w:p>
    <w:p>
      <w:pPr>
        <w:jc w:val="center"/>
        <w:rPr>
          <w:rFonts w:hint="default" w:ascii="Times New Roman Regular" w:hAnsi="Times New Roman Regular" w:eastAsia="宋体" w:cs="Times New Roman Regular"/>
          <w:b/>
          <w:bCs/>
          <w:sz w:val="40"/>
          <w:szCs w:val="40"/>
          <w:lang w:val="en-US" w:eastAsia="zh-CN"/>
        </w:rPr>
      </w:pPr>
    </w:p>
    <w:p>
      <w:pPr>
        <w:pStyle w:val="17"/>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为加强预算绩效管理，强化预算支出的责任意识和效率意识，提高财政资金使用效益，根据《中共中央国务院关于全面实施预算绩效管理的意见》（中发〔2018〕34号）、《中共湖南省委办公厅湖南省人民政府办公厅关于全面实施预算绩效管理的实施意见》（湘办发〔2019〕10号）、</w:t>
      </w:r>
      <w:r>
        <w:rPr>
          <w:rFonts w:hint="default" w:ascii="Times New Roman" w:hAnsi="Times New Roman" w:eastAsia="仿宋" w:cs="Times New Roman"/>
          <w:sz w:val="32"/>
          <w:szCs w:val="32"/>
          <w:lang w:val="en-US" w:eastAsia="zh-CN"/>
        </w:rPr>
        <w:t>《湖南省财政厅关于印发&lt;湖南省预算支出绩效评价管理办法&gt;的通知》（湘财绩〔2020〕7号）</w:t>
      </w:r>
      <w:r>
        <w:rPr>
          <w:rFonts w:hint="default" w:ascii="Times New Roman" w:hAnsi="Times New Roman" w:eastAsia="仿宋" w:cs="Times New Roman"/>
          <w:b w:val="0"/>
          <w:bCs w:val="0"/>
          <w:sz w:val="32"/>
          <w:szCs w:val="32"/>
          <w:lang w:val="en-US" w:eastAsia="zh-CN"/>
        </w:rPr>
        <w:t>等精神及相关工作要求，受邵阳市北塔区财政局委托，湖南财正会计师事务所（以下简称“我所”）对邵阳市北塔区医疗保障局2022年度部门整体支出开展了绩效评价。现将有关情况报告如下：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22" w:firstLineChars="200"/>
        <w:jc w:val="both"/>
        <w:textAlignment w:val="auto"/>
        <w:outlineLvl w:val="0"/>
        <w:rPr>
          <w:rFonts w:hint="default" w:ascii="Times New Roman" w:hAnsi="Times New Roman" w:eastAsia="仿宋" w:cs="Times New Roman"/>
          <w:b/>
          <w:bCs/>
          <w:kern w:val="2"/>
          <w:sz w:val="31"/>
          <w:szCs w:val="31"/>
          <w:lang w:val="en-US" w:eastAsia="zh-CN" w:bidi="ar-SA"/>
        </w:rPr>
        <w:sectPr>
          <w:footerReference r:id="rId3" w:type="default"/>
          <w:pgSz w:w="11906" w:h="16838"/>
          <w:pgMar w:top="1440" w:right="1757" w:bottom="1440" w:left="1757"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黑体" w:cs="Times New Roman Regular"/>
          <w:b/>
          <w:bCs/>
          <w:sz w:val="32"/>
          <w:szCs w:val="32"/>
          <w:lang w:val="en-US" w:eastAsia="zh-CN"/>
        </w:rPr>
      </w:pPr>
      <w:bookmarkStart w:id="0" w:name="_Toc23508"/>
      <w:bookmarkStart w:id="1" w:name="_Toc6886"/>
      <w:r>
        <w:rPr>
          <w:rFonts w:hint="default" w:ascii="Times New Roman Regular" w:hAnsi="Times New Roman Regular" w:eastAsia="黑体" w:cs="Times New Roman Regular"/>
          <w:b/>
          <w:bCs/>
          <w:kern w:val="2"/>
          <w:sz w:val="32"/>
          <w:szCs w:val="32"/>
          <w:lang w:val="en-US" w:eastAsia="zh-CN" w:bidi="ar-SA"/>
        </w:rPr>
        <w:t>一、</w:t>
      </w:r>
      <w:r>
        <w:rPr>
          <w:rFonts w:hint="default" w:ascii="Times New Roman Regular" w:hAnsi="Times New Roman Regular" w:eastAsia="黑体" w:cs="Times New Roman Regular"/>
          <w:b/>
          <w:bCs/>
          <w:sz w:val="32"/>
          <w:szCs w:val="32"/>
          <w:lang w:val="en-US" w:eastAsia="zh-CN"/>
        </w:rPr>
        <w:t>单位基本情况</w:t>
      </w:r>
      <w:bookmarkEnd w:id="0"/>
      <w:bookmarkEnd w:id="1"/>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2" w:name="_Toc7170"/>
      <w:bookmarkStart w:id="3" w:name="_Toc4096"/>
      <w:r>
        <w:rPr>
          <w:rFonts w:hint="default" w:ascii="Times New Roman Regular" w:hAnsi="Times New Roman Regular" w:eastAsia="楷体" w:cs="Times New Roman Regular"/>
          <w:b/>
          <w:bCs/>
          <w:sz w:val="32"/>
          <w:szCs w:val="32"/>
          <w:lang w:val="en-US" w:eastAsia="zh-CN"/>
        </w:rPr>
        <w:t>（一）部门概况</w:t>
      </w:r>
      <w:bookmarkEnd w:id="2"/>
      <w:bookmarkEnd w:id="3"/>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邵阳市北塔区医疗保障局（以下简称“医疗保障局”）是邵阳市北塔区人民政府直属的正科级公益一类全额拨款事业单位。下设办公室、待遇保障股、医药服务管理股、医药价格和招标采购股、基金监管股5个内部机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4" w:name="_Toc19997"/>
      <w:bookmarkStart w:id="5" w:name="_Toc23398"/>
      <w:r>
        <w:rPr>
          <w:rFonts w:hint="default" w:ascii="Times New Roman Regular" w:hAnsi="Times New Roman Regular" w:eastAsia="楷体" w:cs="Times New Roman Regular"/>
          <w:b/>
          <w:bCs/>
          <w:sz w:val="32"/>
          <w:szCs w:val="32"/>
          <w:lang w:val="en-US" w:eastAsia="zh-CN"/>
        </w:rPr>
        <w:t>（二）主要职责</w:t>
      </w:r>
      <w:bookmarkEnd w:id="4"/>
      <w:bookmarkEnd w:id="5"/>
    </w:p>
    <w:p>
      <w:pPr>
        <w:numPr>
          <w:ilvl w:val="0"/>
          <w:numId w:val="0"/>
        </w:numPr>
        <w:ind w:firstLine="640" w:firstLineChars="200"/>
        <w:jc w:val="both"/>
        <w:rPr>
          <w:rFonts w:hint="eastAsia"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医疗保障局主要职责为：</w:t>
      </w:r>
    </w:p>
    <w:p>
      <w:pPr>
        <w:numPr>
          <w:ilvl w:val="0"/>
          <w:numId w:val="0"/>
        </w:numPr>
        <w:ind w:firstLine="640" w:firstLineChars="200"/>
        <w:jc w:val="both"/>
        <w:rPr>
          <w:rFonts w:hint="eastAsia" w:ascii="Times New Roman Regular" w:hAnsi="Times New Roman Regular" w:eastAsia="仿宋" w:cs="Times New Roman Regular"/>
          <w:b w:val="0"/>
          <w:bCs w:val="0"/>
          <w:sz w:val="31"/>
          <w:szCs w:val="31"/>
          <w:lang w:val="en-US" w:eastAsia="zh-CN"/>
        </w:rPr>
      </w:pPr>
      <w:r>
        <w:rPr>
          <w:rFonts w:hint="eastAsia" w:ascii="Times New Roman Regular" w:hAnsi="Times New Roman Regular" w:eastAsia="仿宋" w:cs="Times New Roman Regular"/>
          <w:b w:val="0"/>
          <w:bCs w:val="0"/>
          <w:sz w:val="32"/>
          <w:szCs w:val="32"/>
          <w:lang w:val="en-US" w:eastAsia="zh-CN"/>
        </w:rPr>
        <w:t>1、</w:t>
      </w:r>
      <w:r>
        <w:rPr>
          <w:rFonts w:hint="default" w:ascii="Times New Roman Regular" w:hAnsi="Times New Roman Regular" w:eastAsia="仿宋" w:cs="Times New Roman Regular"/>
          <w:b w:val="0"/>
          <w:bCs w:val="0"/>
          <w:sz w:val="31"/>
          <w:szCs w:val="31"/>
          <w:lang w:val="en-US" w:eastAsia="zh-CN"/>
        </w:rPr>
        <w:t>贯彻执行国家、省和市关于医疗保险、生育保险、医疗救助等医疗保障制度的法律法规、政策规划和标准</w:t>
      </w:r>
      <w:r>
        <w:rPr>
          <w:rFonts w:hint="eastAsia" w:ascii="Times New Roman Regular" w:hAnsi="Times New Roman Regular" w:eastAsia="仿宋" w:cs="Times New Roman Regular"/>
          <w:b w:val="0"/>
          <w:bCs w:val="0"/>
          <w:sz w:val="31"/>
          <w:szCs w:val="31"/>
          <w:lang w:val="en-US" w:eastAsia="zh-CN"/>
        </w:rPr>
        <w:t>，</w:t>
      </w:r>
      <w:r>
        <w:rPr>
          <w:rFonts w:hint="default" w:ascii="Times New Roman Regular" w:hAnsi="Times New Roman Regular" w:eastAsia="仿宋" w:cs="Times New Roman Regular"/>
          <w:b w:val="0"/>
          <w:bCs w:val="0"/>
          <w:sz w:val="31"/>
          <w:szCs w:val="31"/>
          <w:lang w:val="en-US" w:eastAsia="zh-CN"/>
        </w:rPr>
        <w:t>拟订相关政策、规划和标准，并组织实施</w:t>
      </w:r>
      <w:r>
        <w:rPr>
          <w:rFonts w:hint="eastAsia" w:ascii="Times New Roman Regular" w:hAnsi="Times New Roman Regular" w:eastAsia="仿宋" w:cs="Times New Roman Regular"/>
          <w:b w:val="0"/>
          <w:bCs w:val="0"/>
          <w:sz w:val="31"/>
          <w:szCs w:val="31"/>
          <w:lang w:val="en-US" w:eastAsia="zh-CN"/>
        </w:rPr>
        <w:t>；</w:t>
      </w:r>
    </w:p>
    <w:p>
      <w:pPr>
        <w:numPr>
          <w:ilvl w:val="0"/>
          <w:numId w:val="0"/>
        </w:numPr>
        <w:ind w:firstLine="620" w:firstLineChars="200"/>
        <w:jc w:val="both"/>
        <w:rPr>
          <w:rFonts w:hint="eastAsia" w:ascii="Times New Roman Regular" w:hAnsi="Times New Roman Regular" w:eastAsia="仿宋" w:cs="Times New Roman Regular"/>
          <w:b w:val="0"/>
          <w:bCs w:val="0"/>
          <w:sz w:val="31"/>
          <w:szCs w:val="31"/>
          <w:lang w:val="en-US" w:eastAsia="zh-CN"/>
        </w:rPr>
      </w:pPr>
      <w:r>
        <w:rPr>
          <w:rFonts w:hint="eastAsia" w:ascii="Times New Roman Regular" w:hAnsi="Times New Roman Regular" w:eastAsia="仿宋" w:cs="Times New Roman Regular"/>
          <w:b w:val="0"/>
          <w:bCs w:val="0"/>
          <w:sz w:val="31"/>
          <w:szCs w:val="31"/>
          <w:lang w:val="en-US" w:eastAsia="zh-CN"/>
        </w:rPr>
        <w:t>2、组织制定并实施全区医疗保障基金监督管理办法，监督管理相关医疗保障基金，建立健全医疗保障基金安全防控机制，推进医疗保障基金支付方式改革；</w:t>
      </w:r>
    </w:p>
    <w:p>
      <w:pPr>
        <w:numPr>
          <w:ilvl w:val="0"/>
          <w:numId w:val="0"/>
        </w:numPr>
        <w:ind w:firstLine="620" w:firstLineChars="200"/>
        <w:jc w:val="both"/>
        <w:rPr>
          <w:rFonts w:hint="eastAsia" w:ascii="Times New Roman Regular" w:hAnsi="Times New Roman Regular" w:eastAsia="仿宋" w:cs="Times New Roman Regular"/>
          <w:b w:val="0"/>
          <w:bCs w:val="0"/>
          <w:sz w:val="31"/>
          <w:szCs w:val="31"/>
          <w:lang w:val="en-US" w:eastAsia="zh-CN"/>
        </w:rPr>
      </w:pPr>
      <w:r>
        <w:rPr>
          <w:rFonts w:hint="eastAsia" w:ascii="Times New Roman Regular" w:hAnsi="Times New Roman Regular" w:eastAsia="仿宋" w:cs="Times New Roman Regular"/>
          <w:b w:val="0"/>
          <w:bCs w:val="0"/>
          <w:sz w:val="31"/>
          <w:szCs w:val="31"/>
          <w:lang w:val="en-US" w:eastAsia="zh-CN"/>
        </w:rPr>
        <w:t>3、组织制定全区医疗保障筹资和待遇政策，完善动态调整和区域调剂平衡机制，统筹城乡医疗保障待遇标准，建立健全与筹资水平相适应的待遇调整机制，组织拟订并实施长期护理保险制度改革方案；</w:t>
      </w:r>
    </w:p>
    <w:p>
      <w:pPr>
        <w:numPr>
          <w:ilvl w:val="0"/>
          <w:numId w:val="0"/>
        </w:numPr>
        <w:ind w:firstLine="620" w:firstLineChars="200"/>
        <w:jc w:val="both"/>
        <w:rPr>
          <w:rFonts w:hint="eastAsia" w:ascii="Times New Roman Regular" w:hAnsi="Times New Roman Regular" w:eastAsia="仿宋" w:cs="Times New Roman Regular"/>
          <w:b w:val="0"/>
          <w:bCs w:val="0"/>
          <w:sz w:val="31"/>
          <w:szCs w:val="31"/>
          <w:lang w:val="en-US" w:eastAsia="zh-CN"/>
        </w:rPr>
      </w:pPr>
      <w:r>
        <w:rPr>
          <w:rFonts w:hint="eastAsia" w:ascii="Times New Roman Regular" w:hAnsi="Times New Roman Regular" w:eastAsia="仿宋" w:cs="Times New Roman Regular"/>
          <w:b w:val="0"/>
          <w:bCs w:val="0"/>
          <w:sz w:val="31"/>
          <w:szCs w:val="31"/>
          <w:lang w:val="en-US" w:eastAsia="zh-CN"/>
        </w:rPr>
        <w:t>4、组织实施全区城乡统一的药品、医用耗材、医疗服务项目、医疗服务设施等医保目录和支付标准，建立动态调整机制，组织实施医保目录准入相关工作；组织实施全区药品、医用耗材价格和医疗服务项目医疗服务设施收费等政策，建立医保支付医药服务价格合理确定和动态调整机制，推动建立市场主导的社会医药服务价格形成机制，建立价格信息监测和信息发布制度；</w:t>
      </w:r>
    </w:p>
    <w:p>
      <w:pPr>
        <w:numPr>
          <w:ilvl w:val="0"/>
          <w:numId w:val="0"/>
        </w:numPr>
        <w:ind w:firstLine="620" w:firstLineChars="200"/>
        <w:jc w:val="both"/>
        <w:rPr>
          <w:rFonts w:hint="eastAsia" w:ascii="Times New Roman Regular" w:hAnsi="Times New Roman Regular" w:eastAsia="仿宋" w:cs="Times New Roman Regular"/>
          <w:b w:val="0"/>
          <w:bCs w:val="0"/>
          <w:sz w:val="31"/>
          <w:szCs w:val="31"/>
          <w:lang w:val="en-US" w:eastAsia="zh-CN"/>
        </w:rPr>
      </w:pPr>
      <w:r>
        <w:rPr>
          <w:rFonts w:hint="eastAsia" w:ascii="Times New Roman Regular" w:hAnsi="Times New Roman Regular" w:eastAsia="仿宋" w:cs="Times New Roman Regular"/>
          <w:b w:val="0"/>
          <w:bCs w:val="0"/>
          <w:sz w:val="31"/>
          <w:szCs w:val="31"/>
          <w:lang w:val="en-US" w:eastAsia="zh-CN"/>
        </w:rPr>
        <w:t>5、贯彻落实国家和省市药品、医用耗材的招标采购政策制定全区药品、医用耗材的招标采购政策并监督实施，指导药品医用耗材招标采购平台建设；</w:t>
      </w:r>
    </w:p>
    <w:p>
      <w:pPr>
        <w:numPr>
          <w:ilvl w:val="0"/>
          <w:numId w:val="0"/>
        </w:numPr>
        <w:ind w:firstLine="620" w:firstLineChars="200"/>
        <w:jc w:val="both"/>
        <w:rPr>
          <w:rFonts w:hint="eastAsia" w:ascii="Times New Roman Regular" w:hAnsi="Times New Roman Regular" w:eastAsia="仿宋" w:cs="Times New Roman Regular"/>
          <w:b w:val="0"/>
          <w:bCs w:val="0"/>
          <w:sz w:val="31"/>
          <w:szCs w:val="31"/>
          <w:lang w:val="en-US" w:eastAsia="zh-CN"/>
        </w:rPr>
      </w:pPr>
      <w:r>
        <w:rPr>
          <w:rFonts w:hint="eastAsia" w:ascii="Times New Roman Regular" w:hAnsi="Times New Roman Regular" w:eastAsia="仿宋" w:cs="Times New Roman Regular"/>
          <w:b w:val="0"/>
          <w:bCs w:val="0"/>
          <w:sz w:val="31"/>
          <w:szCs w:val="31"/>
          <w:lang w:val="en-US" w:eastAsia="zh-CN"/>
        </w:rPr>
        <w:t>6、制定全区定点医药机构协议和支付管理办法并组织实施，建立健全医疗保障信用评价体系和信息披露制度，监督管理纳入医保范围内的医疗服务行为和医疗费用，依法查处医疗保障领域违法违规行为；</w:t>
      </w:r>
    </w:p>
    <w:p>
      <w:pPr>
        <w:numPr>
          <w:ilvl w:val="0"/>
          <w:numId w:val="0"/>
        </w:numPr>
        <w:ind w:firstLine="620" w:firstLineChars="200"/>
        <w:jc w:val="both"/>
        <w:rPr>
          <w:rFonts w:hint="eastAsia" w:ascii="Times New Roman Regular" w:hAnsi="Times New Roman Regular" w:eastAsia="仿宋" w:cs="Times New Roman Regular"/>
          <w:b w:val="0"/>
          <w:bCs w:val="0"/>
          <w:sz w:val="31"/>
          <w:szCs w:val="31"/>
          <w:lang w:val="en-US" w:eastAsia="zh-CN"/>
        </w:rPr>
      </w:pPr>
      <w:r>
        <w:rPr>
          <w:rFonts w:hint="eastAsia" w:ascii="Times New Roman Regular" w:hAnsi="Times New Roman Regular" w:eastAsia="仿宋" w:cs="Times New Roman Regular"/>
          <w:b w:val="0"/>
          <w:bCs w:val="0"/>
          <w:sz w:val="31"/>
          <w:szCs w:val="31"/>
          <w:lang w:val="en-US" w:eastAsia="zh-CN"/>
        </w:rPr>
        <w:t>7、负责全区医疗保障经办管理、公共服务体系和信息化建设。拟定社会力量参与基本医保经办服务的具体办法并组织实施；</w:t>
      </w:r>
    </w:p>
    <w:p>
      <w:pPr>
        <w:numPr>
          <w:ilvl w:val="0"/>
          <w:numId w:val="0"/>
        </w:numPr>
        <w:ind w:firstLine="620" w:firstLineChars="200"/>
        <w:jc w:val="both"/>
        <w:rPr>
          <w:rFonts w:hint="eastAsia" w:ascii="Times New Roman Regular" w:hAnsi="Times New Roman Regular" w:eastAsia="仿宋" w:cs="Times New Roman Regular"/>
          <w:b w:val="0"/>
          <w:bCs w:val="0"/>
          <w:sz w:val="31"/>
          <w:szCs w:val="31"/>
          <w:lang w:val="en-US" w:eastAsia="zh-CN"/>
        </w:rPr>
      </w:pPr>
      <w:r>
        <w:rPr>
          <w:rFonts w:hint="eastAsia" w:ascii="Times New Roman Regular" w:hAnsi="Times New Roman Regular" w:eastAsia="仿宋" w:cs="Times New Roman Regular"/>
          <w:b w:val="0"/>
          <w:bCs w:val="0"/>
          <w:sz w:val="31"/>
          <w:szCs w:val="31"/>
          <w:lang w:val="en-US" w:eastAsia="zh-CN"/>
        </w:rPr>
        <w:t>8、指导和监督全区医疗保险、生育保险、医疗救助等医疗保障经办业务工作。组织制定和完善异地就医管理和费用结算政策。建立健全医疗保障关系转移接续制度；</w:t>
      </w:r>
    </w:p>
    <w:p>
      <w:pPr>
        <w:numPr>
          <w:ilvl w:val="0"/>
          <w:numId w:val="0"/>
        </w:numPr>
        <w:ind w:firstLine="620" w:firstLineChars="200"/>
        <w:jc w:val="both"/>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1"/>
          <w:szCs w:val="31"/>
          <w:lang w:val="en-US" w:eastAsia="zh-CN"/>
        </w:rPr>
        <w:t>8、完成区委、区政府交办的其他任务</w:t>
      </w:r>
      <w:r>
        <w:rPr>
          <w:rFonts w:hint="default" w:ascii="Times New Roman Regular" w:hAnsi="Times New Roman Regular" w:eastAsia="仿宋" w:cs="Times New Roman Regular"/>
          <w:b w:val="0"/>
          <w:bCs w:val="0"/>
          <w:sz w:val="31"/>
          <w:szCs w:val="3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6" w:name="_Toc24822"/>
      <w:bookmarkStart w:id="7" w:name="_Toc3110"/>
      <w:r>
        <w:rPr>
          <w:rFonts w:hint="default" w:ascii="Times New Roman Regular" w:hAnsi="Times New Roman Regular" w:eastAsia="楷体" w:cs="Times New Roman Regular"/>
          <w:b/>
          <w:bCs/>
          <w:sz w:val="32"/>
          <w:szCs w:val="32"/>
          <w:lang w:val="en-US" w:eastAsia="zh-CN"/>
        </w:rPr>
        <w:t>（三）人员情况</w:t>
      </w:r>
      <w:bookmarkEnd w:id="6"/>
      <w:bookmarkEnd w:id="7"/>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楷体" w:cs="Times New Roman Regular"/>
          <w:b/>
          <w:bCs/>
          <w:color w:val="FF0000"/>
          <w:sz w:val="32"/>
          <w:szCs w:val="32"/>
          <w:lang w:val="en-US" w:eastAsia="zh-CN"/>
        </w:rPr>
      </w:pPr>
      <w:r>
        <w:rPr>
          <w:rFonts w:hint="eastAsia" w:ascii="Times New Roman Regular" w:hAnsi="Times New Roman Regular" w:eastAsia="仿宋" w:cs="Times New Roman Regular"/>
          <w:b w:val="0"/>
          <w:bCs w:val="0"/>
          <w:sz w:val="32"/>
          <w:szCs w:val="32"/>
          <w:lang w:val="en-US" w:eastAsia="zh-CN"/>
        </w:rPr>
        <w:t>医疗保障局</w:t>
      </w:r>
      <w:r>
        <w:rPr>
          <w:rFonts w:hint="default" w:ascii="Times New Roman Regular" w:hAnsi="Times New Roman Regular" w:eastAsia="仿宋" w:cs="Times New Roman Regular"/>
          <w:b w:val="0"/>
          <w:bCs w:val="0"/>
          <w:sz w:val="32"/>
          <w:szCs w:val="32"/>
          <w:lang w:eastAsia="zh-CN"/>
        </w:rPr>
        <w:t>实有人员15人</w:t>
      </w:r>
      <w:r>
        <w:rPr>
          <w:rFonts w:hint="default" w:ascii="Times New Roman Regular" w:hAnsi="Times New Roman Regular" w:eastAsia="仿宋" w:cs="Times New Roman Regular"/>
          <w:b w:val="0"/>
          <w:bCs w:val="0"/>
          <w:sz w:val="32"/>
          <w:szCs w:val="32"/>
          <w:lang w:val="en-US" w:eastAsia="zh-CN"/>
        </w:rPr>
        <w:t>，</w:t>
      </w:r>
      <w:r>
        <w:rPr>
          <w:rFonts w:hint="eastAsia" w:ascii="Times New Roman Regular" w:hAnsi="Times New Roman Regular" w:eastAsia="仿宋" w:cs="Times New Roman Regular"/>
          <w:b w:val="0"/>
          <w:bCs w:val="0"/>
          <w:sz w:val="32"/>
          <w:szCs w:val="32"/>
          <w:lang w:val="en-US" w:eastAsia="zh-CN"/>
        </w:rPr>
        <w:t>设主任1名，副主任2名。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楷体" w:cs="Times New Roman Regular"/>
          <w:b/>
          <w:bCs/>
          <w:sz w:val="32"/>
          <w:szCs w:val="32"/>
          <w:lang w:val="en-US" w:eastAsia="zh-CN"/>
        </w:rPr>
      </w:pPr>
      <w:bookmarkStart w:id="8" w:name="_Toc4237"/>
      <w:bookmarkStart w:id="9" w:name="_Toc8464"/>
      <w:r>
        <w:rPr>
          <w:rFonts w:hint="default" w:ascii="Times New Roman Regular" w:hAnsi="Times New Roman Regular" w:eastAsia="黑体" w:cs="Times New Roman Regular"/>
          <w:b/>
          <w:bCs/>
          <w:kern w:val="2"/>
          <w:sz w:val="32"/>
          <w:szCs w:val="32"/>
          <w:lang w:val="en-US" w:eastAsia="zh-CN" w:bidi="ar-SA"/>
        </w:rPr>
        <w:t>二、部门整体收支情况</w:t>
      </w:r>
      <w:bookmarkEnd w:id="8"/>
      <w:bookmarkEnd w:id="9"/>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10" w:name="_Toc20736"/>
      <w:bookmarkStart w:id="11" w:name="_Toc6745"/>
      <w:r>
        <w:rPr>
          <w:rFonts w:hint="default" w:ascii="Times New Roman Regular" w:hAnsi="Times New Roman Regular" w:eastAsia="楷体" w:cs="Times New Roman Regular"/>
          <w:b/>
          <w:bCs/>
          <w:sz w:val="32"/>
          <w:szCs w:val="32"/>
          <w:lang w:val="en-US" w:eastAsia="zh-CN"/>
        </w:rPr>
        <w:t>（一）资金收入情况</w:t>
      </w:r>
      <w:bookmarkEnd w:id="10"/>
      <w:bookmarkEnd w:id="11"/>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根据</w:t>
      </w:r>
      <w:r>
        <w:rPr>
          <w:rFonts w:hint="eastAsia" w:ascii="Times New Roman Regular" w:hAnsi="Times New Roman Regular" w:eastAsia="仿宋" w:cs="Times New Roman Regular"/>
          <w:b w:val="0"/>
          <w:bCs w:val="0"/>
          <w:sz w:val="32"/>
          <w:szCs w:val="32"/>
          <w:lang w:val="en-US" w:eastAsia="zh-CN"/>
        </w:rPr>
        <w:t>医疗保障局</w:t>
      </w:r>
      <w:r>
        <w:rPr>
          <w:rFonts w:hint="default" w:ascii="Times New Roman Regular" w:hAnsi="Times New Roman Regular" w:eastAsia="仿宋" w:cs="Times New Roman Regular"/>
          <w:b w:val="0"/>
          <w:bCs w:val="0"/>
          <w:sz w:val="32"/>
          <w:szCs w:val="32"/>
          <w:lang w:val="en-US" w:eastAsia="zh-CN"/>
        </w:rPr>
        <w:t>2022年度部门</w:t>
      </w:r>
      <w:r>
        <w:rPr>
          <w:rFonts w:hint="default" w:ascii="Times New Roman Regular" w:hAnsi="Times New Roman Regular" w:eastAsia="仿宋" w:cs="Times New Roman Regular"/>
          <w:b w:val="0"/>
          <w:bCs w:val="0"/>
          <w:sz w:val="32"/>
          <w:szCs w:val="32"/>
          <w:lang w:eastAsia="zh-CN"/>
        </w:rPr>
        <w:t>预</w:t>
      </w:r>
      <w:r>
        <w:rPr>
          <w:rFonts w:hint="default" w:ascii="Times New Roman Regular" w:hAnsi="Times New Roman Regular" w:eastAsia="仿宋" w:cs="Times New Roman Regular"/>
          <w:b w:val="0"/>
          <w:bCs w:val="0"/>
          <w:sz w:val="32"/>
          <w:szCs w:val="32"/>
          <w:lang w:val="en-US" w:eastAsia="zh-CN"/>
        </w:rPr>
        <w:t>决算报表，2022</w:t>
      </w:r>
      <w:r>
        <w:rPr>
          <w:rFonts w:hint="eastAsia" w:ascii="Times New Roman Regular" w:hAnsi="Times New Roman Regular" w:eastAsia="仿宋" w:cs="Times New Roman Regular"/>
          <w:b w:val="0"/>
          <w:bCs w:val="0"/>
          <w:sz w:val="32"/>
          <w:szCs w:val="32"/>
          <w:lang w:val="en-US" w:eastAsia="zh-CN"/>
        </w:rPr>
        <w:t>年度部门收入</w:t>
      </w:r>
      <w:r>
        <w:rPr>
          <w:rFonts w:hint="default" w:ascii="Times New Roman Regular" w:hAnsi="Times New Roman Regular" w:eastAsia="仿宋" w:cs="Times New Roman Regular"/>
          <w:b w:val="0"/>
          <w:bCs w:val="0"/>
          <w:sz w:val="32"/>
          <w:szCs w:val="32"/>
          <w:lang w:eastAsia="zh-CN"/>
        </w:rPr>
        <w:t>预算数为211.16万元，其中：一般公共预算拨款收入211.16万元；</w:t>
      </w:r>
      <w:r>
        <w:rPr>
          <w:rFonts w:hint="eastAsia" w:ascii="Times New Roman Regular" w:hAnsi="Times New Roman Regular" w:eastAsia="仿宋" w:cs="Times New Roman Regular"/>
          <w:b w:val="0"/>
          <w:bCs w:val="0"/>
          <w:sz w:val="32"/>
          <w:szCs w:val="32"/>
          <w:lang w:val="en-US" w:eastAsia="zh-CN"/>
        </w:rPr>
        <w:t>决算数</w:t>
      </w:r>
      <w:r>
        <w:rPr>
          <w:rFonts w:hint="default" w:ascii="Times New Roman Regular" w:hAnsi="Times New Roman Regular" w:eastAsia="仿宋" w:cs="Times New Roman Regular"/>
          <w:b w:val="0"/>
          <w:bCs w:val="0"/>
          <w:sz w:val="32"/>
          <w:szCs w:val="32"/>
          <w:lang w:val="en-US" w:eastAsia="zh-CN"/>
        </w:rPr>
        <w:t>为401.17万元，其中</w:t>
      </w:r>
      <w:r>
        <w:rPr>
          <w:rFonts w:hint="default" w:ascii="Times New Roman Regular" w:hAnsi="Times New Roman Regular" w:eastAsia="仿宋" w:cs="Times New Roman Regular"/>
          <w:b w:val="0"/>
          <w:bCs w:val="0"/>
          <w:sz w:val="32"/>
          <w:szCs w:val="32"/>
          <w:lang w:eastAsia="zh-CN"/>
        </w:rPr>
        <w:t>：</w:t>
      </w:r>
      <w:r>
        <w:rPr>
          <w:rFonts w:hint="default" w:ascii="Times New Roman Regular" w:hAnsi="Times New Roman Regular" w:eastAsia="仿宋" w:cs="Times New Roman Regular"/>
          <w:b w:val="0"/>
          <w:bCs w:val="0"/>
          <w:sz w:val="32"/>
          <w:szCs w:val="32"/>
          <w:lang w:val="en-US" w:eastAsia="zh-CN"/>
        </w:rPr>
        <w:t>一般公共预算财政拨款收入321.52万元、其他收入79.65万元</w:t>
      </w:r>
      <w:r>
        <w:rPr>
          <w:rFonts w:hint="eastAsia" w:ascii="Times New Roman Regular" w:hAnsi="Times New Roman Regular" w:eastAsia="仿宋" w:cs="Times New Roman Regular"/>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仿宋" w:cs="Times New Roman Regular"/>
          <w:b w:val="0"/>
          <w:bCs w:val="0"/>
          <w:sz w:val="32"/>
          <w:szCs w:val="32"/>
          <w:lang w:val="en-US" w:eastAsia="zh-CN"/>
        </w:rPr>
      </w:pPr>
      <w:bookmarkStart w:id="12" w:name="_Toc111"/>
      <w:bookmarkStart w:id="13" w:name="_Toc2199"/>
      <w:r>
        <w:rPr>
          <w:rFonts w:hint="default" w:ascii="Times New Roman Regular" w:hAnsi="Times New Roman Regular" w:eastAsia="楷体" w:cs="Times New Roman Regular"/>
          <w:b/>
          <w:bCs/>
          <w:sz w:val="32"/>
          <w:szCs w:val="32"/>
          <w:lang w:val="en-US" w:eastAsia="zh-CN"/>
        </w:rPr>
        <w:t>（二）资金</w:t>
      </w:r>
      <w:r>
        <w:rPr>
          <w:rFonts w:hint="eastAsia" w:ascii="Times New Roman Regular" w:hAnsi="Times New Roman Regular" w:eastAsia="楷体" w:cs="Times New Roman Regular"/>
          <w:b/>
          <w:bCs/>
          <w:sz w:val="32"/>
          <w:szCs w:val="32"/>
          <w:lang w:val="en-US" w:eastAsia="zh-CN"/>
        </w:rPr>
        <w:t>支出</w:t>
      </w:r>
      <w:r>
        <w:rPr>
          <w:rFonts w:hint="default" w:ascii="Times New Roman Regular" w:hAnsi="Times New Roman Regular" w:eastAsia="楷体" w:cs="Times New Roman Regular"/>
          <w:b/>
          <w:bCs/>
          <w:sz w:val="32"/>
          <w:szCs w:val="32"/>
          <w:lang w:val="en-US" w:eastAsia="zh-CN"/>
        </w:rPr>
        <w:t>情况</w:t>
      </w:r>
      <w:bookmarkEnd w:id="12"/>
      <w:bookmarkEnd w:id="13"/>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根据</w:t>
      </w:r>
      <w:r>
        <w:rPr>
          <w:rFonts w:hint="eastAsia" w:ascii="Times New Roman Regular" w:hAnsi="Times New Roman Regular" w:eastAsia="仿宋" w:cs="Times New Roman Regular"/>
          <w:b w:val="0"/>
          <w:bCs w:val="0"/>
          <w:sz w:val="32"/>
          <w:szCs w:val="32"/>
          <w:lang w:val="en-US" w:eastAsia="zh-CN"/>
        </w:rPr>
        <w:t>医疗保障局</w:t>
      </w:r>
      <w:r>
        <w:rPr>
          <w:rFonts w:hint="default" w:ascii="Times New Roman Regular" w:hAnsi="Times New Roman Regular" w:eastAsia="仿宋" w:cs="Times New Roman Regular"/>
          <w:b w:val="0"/>
          <w:bCs w:val="0"/>
          <w:sz w:val="32"/>
          <w:szCs w:val="32"/>
          <w:lang w:val="en-US" w:eastAsia="zh-CN"/>
        </w:rPr>
        <w:t>2022年度部门决算报表，2022年度共计支出401.17万元，其中：基本支出337.97万元，项目支出63.2万元；年末结转和结余0.00万元。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Regular" w:hAnsi="Times New Roman Regular" w:eastAsia="仿宋" w:cs="Times New Roman Regular"/>
          <w:b/>
          <w:bCs/>
          <w:sz w:val="32"/>
          <w:szCs w:val="32"/>
          <w:lang w:val="en-US" w:eastAsia="zh-CN"/>
        </w:rPr>
      </w:pPr>
      <w:r>
        <w:rPr>
          <w:rFonts w:hint="default" w:ascii="Times New Roman Regular" w:hAnsi="Times New Roman Regular" w:eastAsia="仿宋" w:cs="Times New Roman Regular"/>
          <w:b/>
          <w:bCs/>
          <w:sz w:val="32"/>
          <w:szCs w:val="32"/>
          <w:lang w:val="en-US" w:eastAsia="zh-CN"/>
        </w:rPr>
        <w:t>1、基本经费支出情况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color w:val="FF0000"/>
          <w:sz w:val="32"/>
          <w:szCs w:val="32"/>
          <w:lang w:val="en-US" w:eastAsia="zh-CN"/>
        </w:rPr>
      </w:pPr>
      <w:r>
        <w:rPr>
          <w:rFonts w:hint="default" w:ascii="Times New Roman Regular" w:hAnsi="Times New Roman Regular" w:eastAsia="仿宋" w:cs="Times New Roman Regular"/>
          <w:b w:val="0"/>
          <w:bCs w:val="0"/>
          <w:sz w:val="32"/>
          <w:szCs w:val="32"/>
          <w:lang w:val="en-US" w:eastAsia="zh-CN"/>
        </w:rPr>
        <w:t>根据</w:t>
      </w:r>
      <w:r>
        <w:rPr>
          <w:rFonts w:hint="eastAsia" w:ascii="Times New Roman Regular" w:hAnsi="Times New Roman Regular" w:eastAsia="仿宋" w:cs="Times New Roman Regular"/>
          <w:b w:val="0"/>
          <w:bCs w:val="0"/>
          <w:sz w:val="32"/>
          <w:szCs w:val="32"/>
          <w:lang w:val="en-US" w:eastAsia="zh-CN"/>
        </w:rPr>
        <w:t>医疗保障局</w:t>
      </w:r>
      <w:r>
        <w:rPr>
          <w:rFonts w:hint="default" w:ascii="Times New Roman Regular" w:hAnsi="Times New Roman Regular" w:eastAsia="仿宋" w:cs="Times New Roman Regular"/>
          <w:b w:val="0"/>
          <w:bCs w:val="0"/>
          <w:sz w:val="32"/>
          <w:szCs w:val="32"/>
          <w:lang w:val="en-US" w:eastAsia="zh-CN"/>
        </w:rPr>
        <w:t>2022年度部门决算报表，2022年度</w:t>
      </w:r>
      <w:r>
        <w:rPr>
          <w:rFonts w:hint="eastAsia" w:ascii="Times New Roman Regular" w:hAnsi="Times New Roman Regular" w:eastAsia="仿宋" w:cs="Times New Roman Regular"/>
          <w:b w:val="0"/>
          <w:bCs w:val="0"/>
          <w:sz w:val="32"/>
          <w:szCs w:val="32"/>
          <w:lang w:val="en-US" w:eastAsia="zh-CN"/>
        </w:rPr>
        <w:t>医疗保障局</w:t>
      </w:r>
      <w:r>
        <w:rPr>
          <w:rFonts w:hint="default" w:ascii="Times New Roman Regular" w:hAnsi="Times New Roman Regular" w:eastAsia="仿宋" w:cs="Times New Roman Regular"/>
          <w:b w:val="0"/>
          <w:bCs w:val="0"/>
          <w:sz w:val="32"/>
          <w:szCs w:val="32"/>
          <w:lang w:val="en-US" w:eastAsia="zh-CN"/>
        </w:rPr>
        <w:t>基本支出共计337.97万元，</w:t>
      </w:r>
      <w:r>
        <w:rPr>
          <w:rFonts w:hint="default" w:ascii="Times New Roman Regular" w:hAnsi="Times New Roman Regular" w:eastAsia="仿宋" w:cs="Times New Roman Regular"/>
          <w:b w:val="0"/>
          <w:bCs w:val="0"/>
          <w:color w:val="auto"/>
          <w:sz w:val="32"/>
          <w:szCs w:val="32"/>
          <w:lang w:val="en-US" w:eastAsia="zh-CN"/>
        </w:rPr>
        <w:t>其中</w:t>
      </w:r>
      <w:r>
        <w:rPr>
          <w:rFonts w:hint="eastAsia" w:ascii="Times New Roman Regular" w:hAnsi="Times New Roman Regular" w:eastAsia="仿宋" w:cs="Times New Roman Regular"/>
          <w:b w:val="0"/>
          <w:bCs w:val="0"/>
          <w:color w:val="auto"/>
          <w:sz w:val="32"/>
          <w:szCs w:val="32"/>
          <w:lang w:val="en-US" w:eastAsia="zh-CN"/>
        </w:rPr>
        <w:t>一般公共预算财政拨款支出321.52万元（人员经费183.36万元，公用经费138.16万元）。一般公共预算财政拨款支出中人员经费和公用经费</w:t>
      </w:r>
      <w:r>
        <w:rPr>
          <w:rFonts w:hint="default" w:ascii="Times New Roman Regular" w:hAnsi="Times New Roman Regular" w:eastAsia="仿宋" w:cs="Times New Roman Regular"/>
          <w:b w:val="0"/>
          <w:bCs w:val="0"/>
          <w:color w:val="auto"/>
          <w:sz w:val="32"/>
          <w:szCs w:val="32"/>
          <w:lang w:val="en-US" w:eastAsia="zh-CN"/>
        </w:rPr>
        <w:t>具体明细如下：</w:t>
      </w:r>
    </w:p>
    <w:tbl>
      <w:tblPr>
        <w:tblStyle w:val="21"/>
        <w:tblW w:w="5016"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356"/>
        <w:gridCol w:w="4990"/>
        <w:gridCol w:w="20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blHeader/>
        </w:trPr>
        <w:tc>
          <w:tcPr>
            <w:tcW w:w="804" w:type="pct"/>
            <w:vAlign w:val="top"/>
          </w:tcPr>
          <w:p>
            <w:pPr>
              <w:spacing w:before="61" w:line="221" w:lineRule="auto"/>
              <w:ind w:left="448"/>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b/>
                <w:bCs/>
                <w:spacing w:val="-5"/>
                <w:sz w:val="24"/>
                <w:szCs w:val="24"/>
              </w:rPr>
              <w:t>序号</w:t>
            </w:r>
          </w:p>
        </w:tc>
        <w:tc>
          <w:tcPr>
            <w:tcW w:w="2959" w:type="pct"/>
            <w:vAlign w:val="top"/>
          </w:tcPr>
          <w:p>
            <w:pPr>
              <w:spacing w:before="61" w:line="220" w:lineRule="auto"/>
              <w:ind w:left="2025"/>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b/>
                <w:bCs/>
                <w:spacing w:val="6"/>
                <w:sz w:val="24"/>
                <w:szCs w:val="24"/>
              </w:rPr>
              <w:t>支出项目</w:t>
            </w:r>
          </w:p>
        </w:tc>
        <w:tc>
          <w:tcPr>
            <w:tcW w:w="1235" w:type="pct"/>
            <w:vAlign w:val="top"/>
          </w:tcPr>
          <w:p>
            <w:pPr>
              <w:spacing w:before="60" w:line="219" w:lineRule="auto"/>
              <w:ind w:left="491"/>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b/>
                <w:bCs/>
                <w:spacing w:val="4"/>
                <w:sz w:val="24"/>
                <w:szCs w:val="24"/>
              </w:rPr>
              <w:t>金额</w:t>
            </w:r>
            <w:r>
              <w:rPr>
                <w:rFonts w:hint="eastAsia" w:ascii="Times New Roman Regular" w:hAnsi="Times New Roman Regular" w:eastAsia="仿宋" w:cs="Times New Roman Regular"/>
                <w:b/>
                <w:bCs/>
                <w:spacing w:val="4"/>
                <w:sz w:val="24"/>
                <w:szCs w:val="24"/>
                <w:lang w:eastAsia="zh-CN"/>
              </w:rPr>
              <w:t>（</w:t>
            </w:r>
            <w:r>
              <w:rPr>
                <w:rFonts w:hint="default" w:ascii="Times New Roman Regular" w:hAnsi="Times New Roman Regular" w:eastAsia="仿宋" w:cs="Times New Roman Regular"/>
                <w:b/>
                <w:bCs/>
                <w:spacing w:val="4"/>
                <w:sz w:val="24"/>
                <w:szCs w:val="24"/>
              </w:rPr>
              <w:t>万元</w:t>
            </w:r>
            <w:r>
              <w:rPr>
                <w:rFonts w:hint="eastAsia" w:ascii="Times New Roman Regular" w:hAnsi="Times New Roman Regular" w:eastAsia="仿宋" w:cs="Times New Roman Regular"/>
                <w:b/>
                <w:bCs/>
                <w:spacing w:val="4"/>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804" w:type="pct"/>
            <w:vAlign w:val="top"/>
          </w:tcPr>
          <w:p>
            <w:pPr>
              <w:jc w:val="center"/>
              <w:rPr>
                <w:rFonts w:hint="default" w:ascii="Times New Roman Regular" w:hAnsi="Times New Roman Regular" w:eastAsia="仿宋" w:cs="Times New Roman Regular"/>
                <w:sz w:val="24"/>
                <w:szCs w:val="24"/>
                <w:lang w:val="en-US" w:eastAsia="zh-CN"/>
              </w:rPr>
            </w:pPr>
            <w:r>
              <w:rPr>
                <w:rFonts w:hint="default" w:ascii="Times New Roman Regular" w:hAnsi="Times New Roman Regular" w:eastAsia="仿宋" w:cs="Times New Roman Regular"/>
                <w:b/>
                <w:bCs/>
                <w:sz w:val="24"/>
                <w:szCs w:val="24"/>
                <w:lang w:val="en-US" w:eastAsia="zh-CN"/>
              </w:rPr>
              <w:t>一</w:t>
            </w:r>
          </w:p>
        </w:tc>
        <w:tc>
          <w:tcPr>
            <w:tcW w:w="2959" w:type="pct"/>
            <w:vAlign w:val="top"/>
          </w:tcPr>
          <w:p>
            <w:pPr>
              <w:spacing w:before="57" w:line="220" w:lineRule="auto"/>
              <w:ind w:left="2025"/>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b/>
                <w:bCs/>
                <w:spacing w:val="-5"/>
                <w:sz w:val="24"/>
                <w:szCs w:val="24"/>
              </w:rPr>
              <w:t>人员经费</w:t>
            </w:r>
          </w:p>
        </w:tc>
        <w:tc>
          <w:tcPr>
            <w:tcW w:w="1235" w:type="pct"/>
            <w:vAlign w:val="top"/>
          </w:tcPr>
          <w:p>
            <w:pPr>
              <w:spacing w:before="86" w:line="183" w:lineRule="auto"/>
              <w:jc w:val="center"/>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sz w:val="24"/>
                <w:szCs w:val="24"/>
              </w:rPr>
              <w:t>183.36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804" w:type="pct"/>
            <w:vAlign w:val="top"/>
          </w:tcPr>
          <w:p>
            <w:pPr>
              <w:spacing w:before="124" w:line="184" w:lineRule="auto"/>
              <w:jc w:val="center"/>
              <w:rPr>
                <w:rFonts w:hint="default" w:ascii="Times New Roman Regular" w:hAnsi="Times New Roman Regular" w:eastAsia="仿宋" w:cs="Times New Roman Regular"/>
                <w:sz w:val="24"/>
                <w:szCs w:val="24"/>
                <w:lang w:val="en-US" w:eastAsia="zh-CN"/>
              </w:rPr>
            </w:pPr>
            <w:bookmarkStart w:id="14" w:name="OLE_LINK1" w:colFirst="2" w:colLast="2"/>
            <w:r>
              <w:rPr>
                <w:rFonts w:hint="default" w:ascii="Times New Roman Regular" w:hAnsi="Times New Roman Regular" w:eastAsia="仿宋" w:cs="Times New Roman Regular"/>
                <w:sz w:val="24"/>
                <w:szCs w:val="24"/>
                <w:lang w:val="en-US" w:eastAsia="zh-CN"/>
              </w:rPr>
              <w:t>1</w:t>
            </w:r>
          </w:p>
        </w:tc>
        <w:tc>
          <w:tcPr>
            <w:tcW w:w="2959" w:type="pct"/>
            <w:vAlign w:val="top"/>
          </w:tcPr>
          <w:p>
            <w:pPr>
              <w:spacing w:before="70" w:line="219" w:lineRule="auto"/>
              <w:ind w:left="2022"/>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spacing w:val="3"/>
                <w:sz w:val="24"/>
                <w:szCs w:val="24"/>
              </w:rPr>
              <w:t>基本工资</w:t>
            </w:r>
          </w:p>
        </w:tc>
        <w:tc>
          <w:tcPr>
            <w:tcW w:w="1235" w:type="pct"/>
            <w:vAlign w:val="top"/>
          </w:tcPr>
          <w:p>
            <w:pPr>
              <w:spacing w:before="100" w:line="184" w:lineRule="auto"/>
              <w:jc w:val="center"/>
              <w:rPr>
                <w:rFonts w:hint="default" w:ascii="Times New Roman Regular" w:hAnsi="Times New Roman Regular" w:eastAsia="仿宋" w:cs="Times New Roman Regular"/>
                <w:sz w:val="24"/>
                <w:szCs w:val="24"/>
                <w:lang w:eastAsia="zh-CN"/>
              </w:rPr>
            </w:pPr>
            <w:r>
              <w:rPr>
                <w:rFonts w:hint="default" w:ascii="Times New Roman Regular" w:hAnsi="Times New Roman Regular" w:eastAsia="仿宋" w:cs="Times New Roman Regular"/>
                <w:sz w:val="24"/>
                <w:szCs w:val="24"/>
                <w:lang w:eastAsia="zh-CN"/>
              </w:rPr>
              <w:t>64.36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804" w:type="pct"/>
            <w:vAlign w:val="top"/>
          </w:tcPr>
          <w:p>
            <w:pPr>
              <w:spacing w:before="116" w:line="183" w:lineRule="auto"/>
              <w:jc w:val="center"/>
              <w:rPr>
                <w:rFonts w:hint="default" w:ascii="Times New Roman Regular" w:hAnsi="Times New Roman Regular" w:eastAsia="仿宋" w:cs="Times New Roman Regular"/>
                <w:sz w:val="24"/>
                <w:szCs w:val="24"/>
                <w:lang w:val="en-US" w:eastAsia="zh-CN"/>
              </w:rPr>
            </w:pPr>
            <w:r>
              <w:rPr>
                <w:rFonts w:hint="default" w:ascii="Times New Roman Regular" w:hAnsi="Times New Roman Regular" w:eastAsia="仿宋" w:cs="Times New Roman Regular"/>
                <w:sz w:val="24"/>
                <w:szCs w:val="24"/>
                <w:lang w:val="en-US" w:eastAsia="zh-CN"/>
              </w:rPr>
              <w:t>2</w:t>
            </w:r>
          </w:p>
        </w:tc>
        <w:tc>
          <w:tcPr>
            <w:tcW w:w="2959" w:type="pct"/>
            <w:vAlign w:val="top"/>
          </w:tcPr>
          <w:p>
            <w:pPr>
              <w:spacing w:before="62" w:line="219" w:lineRule="auto"/>
              <w:ind w:left="2022"/>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spacing w:val="-2"/>
                <w:sz w:val="24"/>
                <w:szCs w:val="24"/>
              </w:rPr>
              <w:t>津贴补贴</w:t>
            </w:r>
          </w:p>
        </w:tc>
        <w:tc>
          <w:tcPr>
            <w:tcW w:w="1235" w:type="pct"/>
            <w:vAlign w:val="top"/>
          </w:tcPr>
          <w:p>
            <w:pPr>
              <w:spacing w:before="116" w:line="183" w:lineRule="auto"/>
              <w:jc w:val="center"/>
              <w:rPr>
                <w:rFonts w:hint="default" w:ascii="Times New Roman Regular" w:hAnsi="Times New Roman Regular" w:eastAsia="仿宋" w:cs="Times New Roman Regular"/>
                <w:sz w:val="24"/>
                <w:szCs w:val="24"/>
                <w:lang w:val="en-US" w:eastAsia="zh-CN"/>
              </w:rPr>
            </w:pPr>
            <w:r>
              <w:rPr>
                <w:rFonts w:hint="eastAsia" w:ascii="Times New Roman Regular" w:hAnsi="Times New Roman Regular" w:eastAsia="仿宋" w:cs="Times New Roman Regular"/>
                <w:spacing w:val="-2"/>
                <w:sz w:val="24"/>
                <w:szCs w:val="24"/>
                <w:lang w:val="en-US" w:eastAsia="zh-CN"/>
              </w:rPr>
              <w:t>34.35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804" w:type="pct"/>
            <w:vAlign w:val="top"/>
          </w:tcPr>
          <w:p>
            <w:pPr>
              <w:spacing w:before="116" w:line="183" w:lineRule="auto"/>
              <w:jc w:val="center"/>
              <w:rPr>
                <w:rFonts w:hint="default" w:ascii="Times New Roman Regular" w:hAnsi="Times New Roman Regular" w:eastAsia="仿宋" w:cs="Times New Roman Regular"/>
                <w:sz w:val="24"/>
                <w:szCs w:val="24"/>
                <w:lang w:val="en-US" w:eastAsia="zh-CN"/>
              </w:rPr>
            </w:pPr>
            <w:r>
              <w:rPr>
                <w:rFonts w:hint="default" w:ascii="Times New Roman Regular" w:hAnsi="Times New Roman Regular" w:eastAsia="仿宋" w:cs="Times New Roman Regular"/>
                <w:sz w:val="24"/>
                <w:szCs w:val="24"/>
                <w:lang w:val="en-US" w:eastAsia="zh-CN"/>
              </w:rPr>
              <w:t>3</w:t>
            </w:r>
          </w:p>
        </w:tc>
        <w:tc>
          <w:tcPr>
            <w:tcW w:w="2959" w:type="pct"/>
            <w:vAlign w:val="top"/>
          </w:tcPr>
          <w:p>
            <w:pPr>
              <w:spacing w:before="62" w:line="219" w:lineRule="auto"/>
              <w:jc w:val="center"/>
              <w:rPr>
                <w:rFonts w:hint="default" w:ascii="Times New Roman Regular" w:hAnsi="Times New Roman Regular" w:eastAsia="仿宋" w:cs="Times New Roman Regular"/>
                <w:snapToGrid w:val="0"/>
                <w:color w:val="000000"/>
                <w:spacing w:val="-2"/>
                <w:kern w:val="0"/>
                <w:sz w:val="24"/>
                <w:szCs w:val="24"/>
                <w:lang w:val="en-US" w:eastAsia="zh-CN"/>
              </w:rPr>
            </w:pPr>
            <w:r>
              <w:rPr>
                <w:rFonts w:hint="default" w:ascii="Times New Roman Regular" w:hAnsi="Times New Roman Regular" w:eastAsia="仿宋" w:cs="Times New Roman Regular"/>
                <w:spacing w:val="-2"/>
                <w:sz w:val="24"/>
                <w:szCs w:val="24"/>
                <w:lang w:val="en-US" w:eastAsia="zh-CN"/>
              </w:rPr>
              <w:t>奖金</w:t>
            </w:r>
          </w:p>
        </w:tc>
        <w:tc>
          <w:tcPr>
            <w:tcW w:w="1235" w:type="pct"/>
            <w:vAlign w:val="top"/>
          </w:tcPr>
          <w:p>
            <w:pPr>
              <w:spacing w:before="116" w:line="183" w:lineRule="auto"/>
              <w:jc w:val="center"/>
              <w:rPr>
                <w:rFonts w:hint="default" w:ascii="Times New Roman Regular" w:hAnsi="Times New Roman Regular" w:eastAsia="仿宋" w:cs="Times New Roman Regular"/>
                <w:snapToGrid w:val="0"/>
                <w:color w:val="000000"/>
                <w:spacing w:val="-2"/>
                <w:kern w:val="0"/>
                <w:sz w:val="24"/>
                <w:szCs w:val="24"/>
                <w:lang w:val="en-US" w:eastAsia="zh-CN"/>
              </w:rPr>
            </w:pPr>
            <w:r>
              <w:rPr>
                <w:rFonts w:hint="eastAsia" w:ascii="Times New Roman Regular" w:hAnsi="Times New Roman Regular" w:eastAsia="仿宋" w:cs="Times New Roman Regular"/>
                <w:spacing w:val="-2"/>
                <w:sz w:val="24"/>
                <w:szCs w:val="24"/>
                <w:lang w:val="en-US" w:eastAsia="zh-CN"/>
              </w:rPr>
              <w:t>35.8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04" w:type="pct"/>
            <w:vAlign w:val="top"/>
          </w:tcPr>
          <w:p>
            <w:pPr>
              <w:spacing w:before="118" w:line="183" w:lineRule="auto"/>
              <w:jc w:val="center"/>
              <w:rPr>
                <w:rFonts w:hint="default" w:ascii="Times New Roman Regular" w:hAnsi="Times New Roman Regular" w:eastAsia="仿宋" w:cs="Times New Roman Regular"/>
                <w:sz w:val="24"/>
                <w:szCs w:val="24"/>
                <w:lang w:val="en-US" w:eastAsia="zh-CN"/>
              </w:rPr>
            </w:pPr>
            <w:r>
              <w:rPr>
                <w:rFonts w:hint="default" w:ascii="Times New Roman Regular" w:hAnsi="Times New Roman Regular" w:eastAsia="仿宋" w:cs="Times New Roman Regular"/>
                <w:sz w:val="24"/>
                <w:szCs w:val="24"/>
                <w:lang w:val="en-US" w:eastAsia="zh-CN"/>
              </w:rPr>
              <w:t>4</w:t>
            </w:r>
          </w:p>
        </w:tc>
        <w:tc>
          <w:tcPr>
            <w:tcW w:w="2959" w:type="pct"/>
            <w:vAlign w:val="top"/>
          </w:tcPr>
          <w:p>
            <w:pPr>
              <w:spacing w:before="64" w:line="219" w:lineRule="auto"/>
              <w:ind w:left="1911"/>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spacing w:val="2"/>
                <w:sz w:val="24"/>
                <w:szCs w:val="24"/>
              </w:rPr>
              <w:t>伙食补助费</w:t>
            </w:r>
          </w:p>
        </w:tc>
        <w:tc>
          <w:tcPr>
            <w:tcW w:w="1235" w:type="pct"/>
            <w:vAlign w:val="top"/>
          </w:tcPr>
          <w:p>
            <w:pPr>
              <w:spacing w:before="118" w:line="183" w:lineRule="auto"/>
              <w:jc w:val="center"/>
              <w:rPr>
                <w:rFonts w:hint="default" w:ascii="Times New Roman Regular" w:hAnsi="Times New Roman Regular" w:eastAsia="仿宋" w:cs="Times New Roman Regular"/>
                <w:sz w:val="24"/>
                <w:szCs w:val="24"/>
                <w:lang w:val="en-US" w:eastAsia="zh-CN"/>
              </w:rPr>
            </w:pPr>
            <w:r>
              <w:rPr>
                <w:rFonts w:hint="eastAsia" w:ascii="Times New Roman Regular" w:hAnsi="Times New Roman Regular" w:eastAsia="仿宋" w:cs="Times New Roman Regular"/>
                <w:spacing w:val="-2"/>
                <w:sz w:val="24"/>
                <w:szCs w:val="24"/>
                <w:lang w:val="en-US" w:eastAsia="zh-CN"/>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804" w:type="pct"/>
            <w:vAlign w:val="top"/>
          </w:tcPr>
          <w:p>
            <w:pPr>
              <w:spacing w:before="119" w:line="175" w:lineRule="auto"/>
              <w:jc w:val="center"/>
              <w:rPr>
                <w:rFonts w:hint="default" w:ascii="Times New Roman Regular" w:hAnsi="Times New Roman Regular" w:eastAsia="仿宋" w:cs="Times New Roman Regular"/>
                <w:sz w:val="24"/>
                <w:szCs w:val="24"/>
                <w:lang w:val="en-US" w:eastAsia="zh-CN"/>
              </w:rPr>
            </w:pPr>
            <w:r>
              <w:rPr>
                <w:rFonts w:hint="default" w:ascii="Times New Roman Regular" w:hAnsi="Times New Roman Regular" w:eastAsia="仿宋" w:cs="Times New Roman Regular"/>
                <w:sz w:val="24"/>
                <w:szCs w:val="24"/>
                <w:lang w:val="en-US" w:eastAsia="zh-CN"/>
              </w:rPr>
              <w:t>5</w:t>
            </w:r>
          </w:p>
        </w:tc>
        <w:tc>
          <w:tcPr>
            <w:tcW w:w="2959" w:type="pct"/>
            <w:vAlign w:val="top"/>
          </w:tcPr>
          <w:p>
            <w:pPr>
              <w:spacing w:before="64" w:line="219" w:lineRule="auto"/>
              <w:ind w:left="972"/>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sz w:val="24"/>
                <w:szCs w:val="24"/>
              </w:rPr>
              <w:t>机关事业单位基本养老保险缴费</w:t>
            </w:r>
          </w:p>
        </w:tc>
        <w:tc>
          <w:tcPr>
            <w:tcW w:w="1235" w:type="pct"/>
            <w:vAlign w:val="top"/>
          </w:tcPr>
          <w:p>
            <w:pPr>
              <w:spacing w:before="118" w:line="176" w:lineRule="auto"/>
              <w:jc w:val="center"/>
              <w:rPr>
                <w:rFonts w:hint="default" w:ascii="Times New Roman Regular" w:hAnsi="Times New Roman Regular" w:eastAsia="仿宋" w:cs="Times New Roman Regular"/>
                <w:sz w:val="24"/>
                <w:szCs w:val="24"/>
                <w:lang w:val="en-US" w:eastAsia="zh-CN"/>
              </w:rPr>
            </w:pPr>
            <w:r>
              <w:rPr>
                <w:rFonts w:hint="eastAsia" w:ascii="Times New Roman Regular" w:hAnsi="Times New Roman Regular" w:eastAsia="仿宋" w:cs="Times New Roman Regular"/>
                <w:spacing w:val="-4"/>
                <w:sz w:val="24"/>
                <w:szCs w:val="24"/>
                <w:lang w:val="en-US" w:eastAsia="zh-CN"/>
              </w:rPr>
              <w:t>12.88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804" w:type="pct"/>
            <w:vAlign w:val="top"/>
          </w:tcPr>
          <w:p>
            <w:pPr>
              <w:spacing w:before="131" w:line="182" w:lineRule="auto"/>
              <w:jc w:val="center"/>
              <w:rPr>
                <w:rFonts w:hint="default" w:ascii="Times New Roman Regular" w:hAnsi="Times New Roman Regular" w:eastAsia="仿宋" w:cs="Times New Roman Regular"/>
                <w:kern w:val="2"/>
                <w:sz w:val="24"/>
                <w:szCs w:val="24"/>
                <w:lang w:val="en-US" w:eastAsia="zh-CN" w:bidi="ar-SA"/>
              </w:rPr>
            </w:pPr>
            <w:r>
              <w:rPr>
                <w:rFonts w:hint="default" w:ascii="Times New Roman Regular" w:hAnsi="Times New Roman Regular" w:eastAsia="仿宋" w:cs="Times New Roman Regular"/>
                <w:sz w:val="24"/>
                <w:szCs w:val="24"/>
                <w:lang w:val="en-US" w:eastAsia="zh-CN"/>
              </w:rPr>
              <w:t>6</w:t>
            </w:r>
          </w:p>
        </w:tc>
        <w:tc>
          <w:tcPr>
            <w:tcW w:w="2959" w:type="pct"/>
            <w:vAlign w:val="top"/>
          </w:tcPr>
          <w:p>
            <w:pPr>
              <w:spacing w:before="64" w:line="219" w:lineRule="auto"/>
              <w:ind w:left="972" w:firstLine="708" w:firstLineChars="300"/>
              <w:rPr>
                <w:rFonts w:hint="default" w:ascii="Times New Roman Regular" w:hAnsi="Times New Roman Regular" w:eastAsia="仿宋" w:cs="Times New Roman Regular"/>
                <w:sz w:val="24"/>
                <w:szCs w:val="24"/>
                <w:lang w:val="en-US" w:eastAsia="zh-CN"/>
              </w:rPr>
            </w:pPr>
            <w:r>
              <w:rPr>
                <w:rFonts w:hint="default" w:ascii="Times New Roman Regular" w:hAnsi="Times New Roman Regular" w:eastAsia="仿宋" w:cs="Times New Roman Regular"/>
                <w:spacing w:val="-2"/>
                <w:sz w:val="24"/>
                <w:szCs w:val="24"/>
                <w:lang w:val="en-US" w:eastAsia="zh-CN"/>
              </w:rPr>
              <w:t>职业年金缴费</w:t>
            </w:r>
          </w:p>
        </w:tc>
        <w:tc>
          <w:tcPr>
            <w:tcW w:w="1235" w:type="pct"/>
            <w:vAlign w:val="top"/>
          </w:tcPr>
          <w:p>
            <w:pPr>
              <w:spacing w:before="118" w:line="176" w:lineRule="auto"/>
              <w:jc w:val="center"/>
              <w:rPr>
                <w:rFonts w:hint="default" w:ascii="Times New Roman Regular" w:hAnsi="Times New Roman Regular" w:eastAsia="仿宋" w:cs="Times New Roman Regular"/>
                <w:spacing w:val="-4"/>
                <w:sz w:val="24"/>
                <w:szCs w:val="24"/>
                <w:lang w:val="en-US" w:eastAsia="zh-CN"/>
              </w:rPr>
            </w:pPr>
            <w:r>
              <w:rPr>
                <w:rFonts w:hint="eastAsia" w:ascii="Times New Roman Regular" w:hAnsi="Times New Roman Regular" w:eastAsia="仿宋" w:cs="Times New Roman Regular"/>
                <w:spacing w:val="-4"/>
                <w:sz w:val="24"/>
                <w:szCs w:val="24"/>
                <w:lang w:val="en-US" w:eastAsia="zh-CN"/>
              </w:rPr>
              <w:t>4.02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4" w:type="pct"/>
            <w:vAlign w:val="top"/>
          </w:tcPr>
          <w:p>
            <w:pPr>
              <w:spacing w:before="131" w:line="182" w:lineRule="auto"/>
              <w:jc w:val="center"/>
              <w:rPr>
                <w:rFonts w:hint="default" w:ascii="Times New Roman Regular" w:hAnsi="Times New Roman Regular" w:eastAsia="仿宋" w:cs="Times New Roman Regular"/>
                <w:kern w:val="2"/>
                <w:sz w:val="24"/>
                <w:szCs w:val="24"/>
                <w:lang w:val="en-US" w:eastAsia="zh-CN" w:bidi="ar-SA"/>
              </w:rPr>
            </w:pPr>
            <w:r>
              <w:rPr>
                <w:rFonts w:hint="default" w:ascii="Times New Roman Regular" w:hAnsi="Times New Roman Regular" w:eastAsia="仿宋" w:cs="Times New Roman Regular"/>
                <w:sz w:val="24"/>
                <w:szCs w:val="24"/>
                <w:lang w:val="en-US" w:eastAsia="zh-CN"/>
              </w:rPr>
              <w:t>7</w:t>
            </w:r>
          </w:p>
        </w:tc>
        <w:tc>
          <w:tcPr>
            <w:tcW w:w="2959" w:type="pct"/>
            <w:vAlign w:val="top"/>
          </w:tcPr>
          <w:p>
            <w:pPr>
              <w:spacing w:before="67" w:line="219" w:lineRule="auto"/>
              <w:ind w:left="1441" w:leftChars="0"/>
              <w:rPr>
                <w:rFonts w:hint="default" w:ascii="Times New Roman Regular" w:hAnsi="Times New Roman Regular" w:eastAsia="仿宋" w:cs="Times New Roman Regular"/>
                <w:snapToGrid w:val="0"/>
                <w:color w:val="000000"/>
                <w:kern w:val="0"/>
                <w:sz w:val="24"/>
                <w:szCs w:val="24"/>
              </w:rPr>
            </w:pPr>
            <w:r>
              <w:rPr>
                <w:rFonts w:hint="default" w:ascii="Times New Roman Regular" w:hAnsi="Times New Roman Regular" w:eastAsia="仿宋" w:cs="Times New Roman Regular"/>
                <w:spacing w:val="1"/>
                <w:sz w:val="24"/>
                <w:szCs w:val="24"/>
              </w:rPr>
              <w:t>职工基本医疗保险缴费</w:t>
            </w:r>
          </w:p>
        </w:tc>
        <w:tc>
          <w:tcPr>
            <w:tcW w:w="1235" w:type="pct"/>
            <w:vAlign w:val="top"/>
          </w:tcPr>
          <w:p>
            <w:pPr>
              <w:spacing w:before="130" w:line="183" w:lineRule="auto"/>
              <w:jc w:val="center"/>
              <w:rPr>
                <w:rFonts w:hint="default" w:ascii="Times New Roman Regular" w:hAnsi="Times New Roman Regular" w:eastAsia="仿宋" w:cs="Times New Roman Regular"/>
                <w:spacing w:val="-3"/>
                <w:sz w:val="24"/>
                <w:szCs w:val="24"/>
                <w:lang w:val="en-US" w:eastAsia="zh-CN"/>
              </w:rPr>
            </w:pPr>
            <w:r>
              <w:rPr>
                <w:rFonts w:hint="eastAsia" w:ascii="Times New Roman Regular" w:hAnsi="Times New Roman Regular" w:eastAsia="仿宋" w:cs="Times New Roman Regular"/>
                <w:spacing w:val="-3"/>
                <w:sz w:val="24"/>
                <w:szCs w:val="24"/>
                <w:lang w:val="en-US" w:eastAsia="zh-CN"/>
              </w:rPr>
              <w:t>9.75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4" w:type="pct"/>
            <w:vAlign w:val="top"/>
          </w:tcPr>
          <w:p>
            <w:pPr>
              <w:spacing w:before="131" w:line="182" w:lineRule="auto"/>
              <w:jc w:val="center"/>
              <w:rPr>
                <w:rFonts w:hint="default" w:ascii="Times New Roman Regular" w:hAnsi="Times New Roman Regular" w:eastAsia="仿宋" w:cs="Times New Roman Regular"/>
                <w:kern w:val="2"/>
                <w:sz w:val="24"/>
                <w:szCs w:val="24"/>
                <w:lang w:val="en-US" w:eastAsia="zh-CN" w:bidi="ar-SA"/>
              </w:rPr>
            </w:pPr>
            <w:r>
              <w:rPr>
                <w:rFonts w:hint="default" w:ascii="Times New Roman Regular" w:hAnsi="Times New Roman Regular" w:eastAsia="仿宋" w:cs="Times New Roman Regular"/>
                <w:sz w:val="24"/>
                <w:szCs w:val="24"/>
                <w:lang w:val="en-US" w:eastAsia="zh-CN"/>
              </w:rPr>
              <w:t>8</w:t>
            </w:r>
          </w:p>
        </w:tc>
        <w:tc>
          <w:tcPr>
            <w:tcW w:w="2959" w:type="pct"/>
            <w:vAlign w:val="top"/>
          </w:tcPr>
          <w:p>
            <w:pPr>
              <w:spacing w:before="67" w:line="219" w:lineRule="auto"/>
              <w:jc w:val="center"/>
              <w:rPr>
                <w:rFonts w:hint="default" w:ascii="Times New Roman Regular" w:hAnsi="Times New Roman Regular" w:eastAsia="仿宋" w:cs="Times New Roman Regular"/>
                <w:spacing w:val="1"/>
                <w:sz w:val="24"/>
                <w:szCs w:val="24"/>
              </w:rPr>
            </w:pPr>
            <w:r>
              <w:rPr>
                <w:rFonts w:hint="default" w:ascii="Times New Roman Regular" w:hAnsi="Times New Roman Regular" w:eastAsia="仿宋" w:cs="Times New Roman Regular"/>
                <w:spacing w:val="1"/>
                <w:sz w:val="24"/>
                <w:szCs w:val="24"/>
              </w:rPr>
              <w:t>公务员医疗补助缴费</w:t>
            </w:r>
          </w:p>
        </w:tc>
        <w:tc>
          <w:tcPr>
            <w:tcW w:w="1235" w:type="pct"/>
            <w:vAlign w:val="top"/>
          </w:tcPr>
          <w:p>
            <w:pPr>
              <w:spacing w:before="130" w:line="183" w:lineRule="auto"/>
              <w:jc w:val="center"/>
              <w:rPr>
                <w:rFonts w:hint="default" w:ascii="Times New Roman Regular" w:hAnsi="Times New Roman Regular" w:eastAsia="仿宋" w:cs="Times New Roman Regular"/>
                <w:spacing w:val="-3"/>
                <w:sz w:val="24"/>
                <w:szCs w:val="24"/>
                <w:lang w:val="en-US" w:eastAsia="zh-CN"/>
              </w:rPr>
            </w:pPr>
            <w:r>
              <w:rPr>
                <w:rFonts w:hint="eastAsia" w:ascii="Times New Roman Regular" w:hAnsi="Times New Roman Regular" w:eastAsia="仿宋" w:cs="Times New Roman Regular"/>
                <w:spacing w:val="-3"/>
                <w:sz w:val="24"/>
                <w:szCs w:val="24"/>
                <w:lang w:val="en-US" w:eastAsia="zh-CN"/>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4" w:type="pct"/>
            <w:vAlign w:val="top"/>
          </w:tcPr>
          <w:p>
            <w:pPr>
              <w:spacing w:before="131" w:line="182" w:lineRule="auto"/>
              <w:jc w:val="center"/>
              <w:rPr>
                <w:rFonts w:hint="default" w:ascii="Times New Roman Regular" w:hAnsi="Times New Roman Regular" w:eastAsia="仿宋" w:cs="Times New Roman Regular"/>
                <w:kern w:val="2"/>
                <w:sz w:val="24"/>
                <w:szCs w:val="24"/>
                <w:lang w:val="en-US" w:eastAsia="zh-CN" w:bidi="ar-SA"/>
              </w:rPr>
            </w:pPr>
            <w:r>
              <w:rPr>
                <w:rFonts w:hint="default" w:ascii="Times New Roman Regular" w:hAnsi="Times New Roman Regular" w:eastAsia="仿宋" w:cs="Times New Roman Regular"/>
                <w:sz w:val="24"/>
                <w:szCs w:val="24"/>
                <w:lang w:val="en-US" w:eastAsia="zh-CN"/>
              </w:rPr>
              <w:t>9</w:t>
            </w:r>
          </w:p>
        </w:tc>
        <w:tc>
          <w:tcPr>
            <w:tcW w:w="2959" w:type="pct"/>
            <w:vAlign w:val="top"/>
          </w:tcPr>
          <w:p>
            <w:pPr>
              <w:spacing w:before="68" w:line="219" w:lineRule="auto"/>
              <w:ind w:left="1641" w:leftChars="0"/>
              <w:rPr>
                <w:rFonts w:hint="default" w:ascii="Times New Roman Regular" w:hAnsi="Times New Roman Regular" w:eastAsia="仿宋" w:cs="Times New Roman Regular"/>
                <w:snapToGrid w:val="0"/>
                <w:color w:val="000000"/>
                <w:kern w:val="0"/>
                <w:sz w:val="24"/>
                <w:szCs w:val="24"/>
              </w:rPr>
            </w:pPr>
            <w:r>
              <w:rPr>
                <w:rFonts w:hint="default" w:ascii="Times New Roman Regular" w:hAnsi="Times New Roman Regular" w:eastAsia="仿宋" w:cs="Times New Roman Regular"/>
                <w:spacing w:val="1"/>
                <w:sz w:val="24"/>
                <w:szCs w:val="24"/>
              </w:rPr>
              <w:t>其他社会保障缴费</w:t>
            </w:r>
          </w:p>
        </w:tc>
        <w:tc>
          <w:tcPr>
            <w:tcW w:w="1235" w:type="pct"/>
            <w:vAlign w:val="top"/>
          </w:tcPr>
          <w:p>
            <w:pPr>
              <w:spacing w:before="130" w:line="183" w:lineRule="auto"/>
              <w:jc w:val="center"/>
              <w:rPr>
                <w:rFonts w:hint="default" w:ascii="Times New Roman Regular" w:hAnsi="Times New Roman Regular" w:eastAsia="仿宋" w:cs="Times New Roman Regular"/>
                <w:spacing w:val="-3"/>
                <w:sz w:val="24"/>
                <w:szCs w:val="24"/>
                <w:lang w:val="en-US" w:eastAsia="zh-CN"/>
              </w:rPr>
            </w:pPr>
            <w:r>
              <w:rPr>
                <w:rFonts w:hint="eastAsia" w:ascii="Times New Roman Regular" w:hAnsi="Times New Roman Regular" w:eastAsia="仿宋" w:cs="Times New Roman Regular"/>
                <w:spacing w:val="-3"/>
                <w:sz w:val="24"/>
                <w:szCs w:val="24"/>
                <w:lang w:val="en-US" w:eastAsia="zh-CN"/>
              </w:rPr>
              <w:t>0.74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4" w:type="pct"/>
            <w:vAlign w:val="top"/>
          </w:tcPr>
          <w:p>
            <w:pPr>
              <w:spacing w:before="131" w:line="182" w:lineRule="auto"/>
              <w:jc w:val="center"/>
              <w:rPr>
                <w:rFonts w:hint="default" w:ascii="Times New Roman Regular" w:hAnsi="Times New Roman Regular" w:eastAsia="仿宋" w:cs="Times New Roman Regular"/>
                <w:kern w:val="2"/>
                <w:sz w:val="24"/>
                <w:szCs w:val="24"/>
                <w:lang w:val="en-US" w:eastAsia="zh-CN" w:bidi="ar-SA"/>
              </w:rPr>
            </w:pPr>
            <w:r>
              <w:rPr>
                <w:rFonts w:hint="default" w:ascii="Times New Roman Regular" w:hAnsi="Times New Roman Regular" w:eastAsia="仿宋" w:cs="Times New Roman Regular"/>
                <w:sz w:val="24"/>
                <w:szCs w:val="24"/>
                <w:lang w:val="en-US" w:eastAsia="zh-CN"/>
              </w:rPr>
              <w:t>10</w:t>
            </w:r>
          </w:p>
        </w:tc>
        <w:tc>
          <w:tcPr>
            <w:tcW w:w="2959" w:type="pct"/>
            <w:vAlign w:val="top"/>
          </w:tcPr>
          <w:p>
            <w:pPr>
              <w:spacing w:before="70" w:line="220" w:lineRule="auto"/>
              <w:ind w:left="1941" w:leftChars="0"/>
              <w:rPr>
                <w:rFonts w:hint="default" w:ascii="Times New Roman Regular" w:hAnsi="Times New Roman Regular" w:eastAsia="仿宋" w:cs="Times New Roman Regular"/>
                <w:snapToGrid w:val="0"/>
                <w:color w:val="000000"/>
                <w:kern w:val="0"/>
                <w:sz w:val="24"/>
                <w:szCs w:val="24"/>
              </w:rPr>
            </w:pPr>
            <w:r>
              <w:rPr>
                <w:rFonts w:hint="default" w:ascii="Times New Roman Regular" w:hAnsi="Times New Roman Regular" w:eastAsia="仿宋" w:cs="Times New Roman Regular"/>
                <w:spacing w:val="-2"/>
                <w:sz w:val="24"/>
                <w:szCs w:val="24"/>
              </w:rPr>
              <w:t>住房公积金</w:t>
            </w:r>
          </w:p>
        </w:tc>
        <w:tc>
          <w:tcPr>
            <w:tcW w:w="1235" w:type="pct"/>
            <w:vAlign w:val="top"/>
          </w:tcPr>
          <w:p>
            <w:pPr>
              <w:spacing w:before="130" w:line="183" w:lineRule="auto"/>
              <w:jc w:val="center"/>
              <w:rPr>
                <w:rFonts w:hint="default" w:ascii="Times New Roman Regular" w:hAnsi="Times New Roman Regular" w:eastAsia="仿宋" w:cs="Times New Roman Regular"/>
                <w:spacing w:val="-3"/>
                <w:sz w:val="24"/>
                <w:szCs w:val="24"/>
                <w:lang w:val="en-US" w:eastAsia="zh-CN"/>
              </w:rPr>
            </w:pPr>
            <w:r>
              <w:rPr>
                <w:rFonts w:hint="eastAsia" w:ascii="Times New Roman Regular" w:hAnsi="Times New Roman Regular" w:eastAsia="仿宋" w:cs="Times New Roman Regular"/>
                <w:spacing w:val="-3"/>
                <w:sz w:val="24"/>
                <w:szCs w:val="24"/>
                <w:lang w:val="en-US" w:eastAsia="zh-CN"/>
              </w:rPr>
              <w:t>16.70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4" w:type="pct"/>
            <w:vAlign w:val="top"/>
          </w:tcPr>
          <w:p>
            <w:pPr>
              <w:spacing w:before="131" w:line="182" w:lineRule="auto"/>
              <w:jc w:val="center"/>
              <w:rPr>
                <w:rFonts w:hint="default" w:ascii="Times New Roman Regular" w:hAnsi="Times New Roman Regular" w:eastAsia="仿宋" w:cs="Times New Roman Regular"/>
                <w:kern w:val="2"/>
                <w:sz w:val="24"/>
                <w:szCs w:val="24"/>
                <w:lang w:val="en-US" w:eastAsia="zh-CN" w:bidi="ar-SA"/>
              </w:rPr>
            </w:pPr>
            <w:r>
              <w:rPr>
                <w:rFonts w:hint="default" w:ascii="Times New Roman Regular" w:hAnsi="Times New Roman Regular" w:eastAsia="仿宋" w:cs="Times New Roman Regular"/>
                <w:sz w:val="24"/>
                <w:szCs w:val="24"/>
                <w:lang w:val="en-US" w:eastAsia="zh-CN"/>
              </w:rPr>
              <w:t>11</w:t>
            </w:r>
          </w:p>
        </w:tc>
        <w:tc>
          <w:tcPr>
            <w:tcW w:w="2959" w:type="pct"/>
            <w:vAlign w:val="top"/>
          </w:tcPr>
          <w:p>
            <w:pPr>
              <w:spacing w:before="71" w:line="219" w:lineRule="auto"/>
              <w:jc w:val="center"/>
              <w:rPr>
                <w:rFonts w:hint="default" w:ascii="Times New Roman Regular" w:hAnsi="Times New Roman Regular" w:eastAsia="仿宋" w:cs="Times New Roman Regular"/>
                <w:snapToGrid w:val="0"/>
                <w:color w:val="000000"/>
                <w:kern w:val="0"/>
                <w:sz w:val="24"/>
                <w:szCs w:val="24"/>
              </w:rPr>
            </w:pPr>
            <w:r>
              <w:rPr>
                <w:rFonts w:hint="default" w:ascii="Times New Roman Regular" w:hAnsi="Times New Roman Regular" w:eastAsia="仿宋" w:cs="Times New Roman Regular"/>
                <w:snapToGrid w:val="0"/>
                <w:color w:val="000000"/>
                <w:kern w:val="0"/>
                <w:sz w:val="24"/>
                <w:szCs w:val="24"/>
              </w:rPr>
              <w:t>其他工资福利支出</w:t>
            </w:r>
          </w:p>
        </w:tc>
        <w:tc>
          <w:tcPr>
            <w:tcW w:w="1235" w:type="pct"/>
            <w:vAlign w:val="top"/>
          </w:tcPr>
          <w:p>
            <w:pPr>
              <w:spacing w:before="130" w:line="183" w:lineRule="auto"/>
              <w:jc w:val="center"/>
              <w:rPr>
                <w:rFonts w:hint="default" w:ascii="Times New Roman Regular" w:hAnsi="Times New Roman Regular" w:eastAsia="仿宋" w:cs="Times New Roman Regular"/>
                <w:spacing w:val="-3"/>
                <w:sz w:val="24"/>
                <w:szCs w:val="24"/>
                <w:lang w:val="en-US" w:eastAsia="zh-CN"/>
              </w:rPr>
            </w:pPr>
            <w:r>
              <w:rPr>
                <w:rFonts w:hint="eastAsia" w:ascii="Times New Roman Regular" w:hAnsi="Times New Roman Regular" w:eastAsia="仿宋" w:cs="Times New Roman Regular"/>
                <w:spacing w:val="-3"/>
                <w:sz w:val="24"/>
                <w:szCs w:val="24"/>
                <w:lang w:val="en-US" w:eastAsia="zh-CN"/>
              </w:rPr>
              <w:t>3.93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4" w:type="pct"/>
            <w:vAlign w:val="top"/>
          </w:tcPr>
          <w:p>
            <w:pPr>
              <w:spacing w:before="131" w:line="182" w:lineRule="auto"/>
              <w:jc w:val="center"/>
              <w:rPr>
                <w:rFonts w:hint="default" w:ascii="Times New Roman Regular" w:hAnsi="Times New Roman Regular" w:eastAsia="仿宋" w:cs="Times New Roman Regular"/>
                <w:sz w:val="24"/>
                <w:szCs w:val="24"/>
                <w:lang w:val="en-US" w:eastAsia="zh-CN"/>
              </w:rPr>
            </w:pPr>
            <w:r>
              <w:rPr>
                <w:rFonts w:hint="eastAsia" w:ascii="Times New Roman Regular" w:hAnsi="Times New Roman Regular" w:eastAsia="仿宋" w:cs="Times New Roman Regular"/>
                <w:sz w:val="24"/>
                <w:szCs w:val="24"/>
                <w:lang w:val="en-US" w:eastAsia="zh-CN"/>
              </w:rPr>
              <w:t>12</w:t>
            </w:r>
          </w:p>
        </w:tc>
        <w:tc>
          <w:tcPr>
            <w:tcW w:w="2959" w:type="pct"/>
            <w:vAlign w:val="top"/>
          </w:tcPr>
          <w:p>
            <w:pPr>
              <w:spacing w:before="76" w:line="219" w:lineRule="auto"/>
              <w:jc w:val="center"/>
              <w:rPr>
                <w:rFonts w:hint="default" w:ascii="Times New Roman Regular" w:hAnsi="Times New Roman Regular" w:eastAsia="仿宋" w:cs="Times New Roman Regular"/>
                <w:spacing w:val="2"/>
                <w:sz w:val="24"/>
                <w:szCs w:val="24"/>
              </w:rPr>
            </w:pPr>
            <w:r>
              <w:rPr>
                <w:rFonts w:hint="default" w:ascii="Times New Roman Regular" w:hAnsi="Times New Roman Regular" w:eastAsia="仿宋" w:cs="Times New Roman Regular"/>
                <w:spacing w:val="2"/>
                <w:sz w:val="24"/>
                <w:szCs w:val="24"/>
              </w:rPr>
              <w:t>对个人和家庭的补助支出</w:t>
            </w:r>
          </w:p>
        </w:tc>
        <w:tc>
          <w:tcPr>
            <w:tcW w:w="1235" w:type="pct"/>
            <w:vAlign w:val="top"/>
          </w:tcPr>
          <w:p>
            <w:pPr>
              <w:spacing w:before="130" w:line="183" w:lineRule="auto"/>
              <w:jc w:val="center"/>
              <w:rPr>
                <w:rFonts w:hint="default" w:ascii="Times New Roman Regular" w:hAnsi="Times New Roman Regular" w:eastAsia="仿宋" w:cs="Times New Roman Regular"/>
                <w:spacing w:val="-3"/>
                <w:sz w:val="24"/>
                <w:szCs w:val="24"/>
                <w:lang w:val="en-US" w:eastAsia="zh-CN"/>
              </w:rPr>
            </w:pPr>
            <w:r>
              <w:rPr>
                <w:rFonts w:hint="eastAsia" w:ascii="Times New Roman Regular" w:hAnsi="Times New Roman Regular" w:eastAsia="仿宋" w:cs="Times New Roman Regular"/>
                <w:spacing w:val="-3"/>
                <w:sz w:val="24"/>
                <w:szCs w:val="24"/>
                <w:lang w:val="en-US" w:eastAsia="zh-CN"/>
              </w:rPr>
              <w:t>0.83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4" w:type="pct"/>
            <w:vAlign w:val="top"/>
          </w:tcPr>
          <w:p>
            <w:pPr>
              <w:spacing w:before="151" w:line="178" w:lineRule="exact"/>
              <w:ind w:left="524" w:leftChars="0"/>
              <w:jc w:val="both"/>
              <w:rPr>
                <w:rFonts w:hint="default" w:ascii="Times New Roman Regular" w:hAnsi="Times New Roman Regular" w:eastAsia="仿宋" w:cs="Times New Roman Regular"/>
                <w:snapToGrid w:val="0"/>
                <w:color w:val="000000"/>
                <w:kern w:val="0"/>
                <w:sz w:val="24"/>
                <w:szCs w:val="24"/>
                <w:lang w:val="en-US" w:eastAsia="zh-CN"/>
              </w:rPr>
            </w:pPr>
            <w:r>
              <w:rPr>
                <w:rFonts w:hint="default" w:ascii="Times New Roman Regular" w:hAnsi="Times New Roman Regular" w:eastAsia="仿宋" w:cs="Times New Roman Regular"/>
                <w:b/>
                <w:bCs/>
                <w:position w:val="-4"/>
                <w:sz w:val="24"/>
                <w:szCs w:val="24"/>
              </w:rPr>
              <w:t>二</w:t>
            </w:r>
          </w:p>
        </w:tc>
        <w:tc>
          <w:tcPr>
            <w:tcW w:w="2959" w:type="pct"/>
            <w:vAlign w:val="top"/>
          </w:tcPr>
          <w:p>
            <w:pPr>
              <w:spacing w:before="70" w:line="220" w:lineRule="auto"/>
              <w:ind w:left="2044" w:leftChars="0"/>
              <w:rPr>
                <w:rFonts w:hint="default" w:ascii="Times New Roman Regular" w:hAnsi="Times New Roman Regular" w:eastAsia="仿宋" w:cs="Times New Roman Regular"/>
                <w:snapToGrid w:val="0"/>
                <w:color w:val="000000"/>
                <w:kern w:val="0"/>
                <w:sz w:val="24"/>
                <w:szCs w:val="24"/>
              </w:rPr>
            </w:pPr>
            <w:r>
              <w:rPr>
                <w:rFonts w:hint="default" w:ascii="Times New Roman Regular" w:hAnsi="Times New Roman Regular" w:eastAsia="仿宋" w:cs="Times New Roman Regular"/>
                <w:b/>
                <w:bCs/>
                <w:spacing w:val="-1"/>
                <w:sz w:val="24"/>
                <w:szCs w:val="24"/>
              </w:rPr>
              <w:t>公用经费</w:t>
            </w:r>
          </w:p>
        </w:tc>
        <w:tc>
          <w:tcPr>
            <w:tcW w:w="1235" w:type="pct"/>
            <w:vAlign w:val="top"/>
          </w:tcPr>
          <w:p>
            <w:pPr>
              <w:spacing w:before="121" w:line="183" w:lineRule="auto"/>
              <w:jc w:val="center"/>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b/>
                <w:bCs/>
                <w:spacing w:val="-4"/>
                <w:sz w:val="24"/>
                <w:szCs w:val="24"/>
                <w:lang w:val="en-US" w:eastAsia="zh-CN"/>
              </w:rPr>
              <w:t>138.16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4" w:type="pct"/>
            <w:vAlign w:val="top"/>
          </w:tcPr>
          <w:p>
            <w:pPr>
              <w:spacing w:before="122" w:line="184" w:lineRule="auto"/>
              <w:ind w:left="604" w:leftChars="0"/>
              <w:jc w:val="both"/>
              <w:rPr>
                <w:rFonts w:hint="default" w:ascii="Times New Roman Regular" w:hAnsi="Times New Roman Regular" w:eastAsia="仿宋" w:cs="Times New Roman Regular"/>
                <w:snapToGrid w:val="0"/>
                <w:color w:val="000000"/>
                <w:kern w:val="0"/>
                <w:sz w:val="24"/>
                <w:szCs w:val="24"/>
                <w:lang w:val="en-US" w:eastAsia="zh-CN"/>
              </w:rPr>
            </w:pPr>
            <w:r>
              <w:rPr>
                <w:rFonts w:hint="default" w:ascii="Times New Roman Regular" w:hAnsi="Times New Roman Regular" w:eastAsia="仿宋" w:cs="Times New Roman Regular"/>
                <w:sz w:val="24"/>
                <w:szCs w:val="24"/>
              </w:rPr>
              <w:t>1</w:t>
            </w:r>
          </w:p>
        </w:tc>
        <w:tc>
          <w:tcPr>
            <w:tcW w:w="2959" w:type="pct"/>
            <w:vAlign w:val="top"/>
          </w:tcPr>
          <w:p>
            <w:pPr>
              <w:spacing w:before="72" w:line="219" w:lineRule="auto"/>
              <w:ind w:left="2141" w:leftChars="0"/>
              <w:rPr>
                <w:rFonts w:hint="default" w:ascii="Times New Roman Regular" w:hAnsi="Times New Roman Regular" w:eastAsia="仿宋" w:cs="Times New Roman Regular"/>
                <w:snapToGrid w:val="0"/>
                <w:color w:val="000000"/>
                <w:kern w:val="0"/>
                <w:sz w:val="24"/>
                <w:szCs w:val="24"/>
              </w:rPr>
            </w:pPr>
            <w:r>
              <w:rPr>
                <w:rFonts w:hint="default" w:ascii="Times New Roman Regular" w:hAnsi="Times New Roman Regular" w:eastAsia="仿宋" w:cs="Times New Roman Regular"/>
                <w:spacing w:val="4"/>
                <w:sz w:val="24"/>
                <w:szCs w:val="24"/>
              </w:rPr>
              <w:t>办公费</w:t>
            </w:r>
          </w:p>
        </w:tc>
        <w:tc>
          <w:tcPr>
            <w:tcW w:w="1235" w:type="pct"/>
            <w:vAlign w:val="top"/>
          </w:tcPr>
          <w:p>
            <w:pPr>
              <w:spacing w:before="122" w:line="184" w:lineRule="auto"/>
              <w:jc w:val="center"/>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z w:val="24"/>
                <w:szCs w:val="24"/>
                <w:lang w:val="en-US" w:eastAsia="zh-CN"/>
              </w:rPr>
              <w:t>34.54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804" w:type="pct"/>
            <w:vAlign w:val="top"/>
          </w:tcPr>
          <w:p>
            <w:pPr>
              <w:spacing w:before="124" w:line="183" w:lineRule="auto"/>
              <w:ind w:left="604" w:leftChars="0"/>
              <w:jc w:val="both"/>
              <w:rPr>
                <w:rFonts w:hint="default" w:ascii="Times New Roman Regular" w:hAnsi="Times New Roman Regular" w:eastAsia="仿宋" w:cs="Times New Roman Regular"/>
                <w:snapToGrid w:val="0"/>
                <w:color w:val="000000"/>
                <w:kern w:val="0"/>
                <w:sz w:val="24"/>
                <w:szCs w:val="24"/>
                <w:lang w:val="en-US" w:eastAsia="zh-CN"/>
              </w:rPr>
            </w:pPr>
            <w:r>
              <w:rPr>
                <w:rFonts w:hint="default" w:ascii="Times New Roman Regular" w:hAnsi="Times New Roman Regular" w:eastAsia="仿宋" w:cs="Times New Roman Regular"/>
                <w:sz w:val="24"/>
                <w:szCs w:val="24"/>
              </w:rPr>
              <w:t>2</w:t>
            </w:r>
          </w:p>
        </w:tc>
        <w:tc>
          <w:tcPr>
            <w:tcW w:w="2959" w:type="pct"/>
            <w:vAlign w:val="top"/>
          </w:tcPr>
          <w:p>
            <w:pPr>
              <w:spacing w:before="73" w:line="219" w:lineRule="auto"/>
              <w:ind w:left="2141" w:leftChars="0"/>
              <w:rPr>
                <w:rFonts w:hint="default" w:ascii="Times New Roman Regular" w:hAnsi="Times New Roman Regular" w:eastAsia="仿宋" w:cs="Times New Roman Regular"/>
                <w:snapToGrid w:val="0"/>
                <w:color w:val="000000"/>
                <w:kern w:val="0"/>
                <w:sz w:val="24"/>
                <w:szCs w:val="24"/>
              </w:rPr>
            </w:pPr>
            <w:r>
              <w:rPr>
                <w:rFonts w:hint="default" w:ascii="Times New Roman Regular" w:hAnsi="Times New Roman Regular" w:eastAsia="仿宋" w:cs="Times New Roman Regular"/>
                <w:spacing w:val="4"/>
                <w:sz w:val="24"/>
                <w:szCs w:val="24"/>
              </w:rPr>
              <w:t>印刷费</w:t>
            </w:r>
          </w:p>
        </w:tc>
        <w:tc>
          <w:tcPr>
            <w:tcW w:w="1235" w:type="pct"/>
            <w:vAlign w:val="top"/>
          </w:tcPr>
          <w:p>
            <w:pPr>
              <w:spacing w:before="124" w:line="183" w:lineRule="auto"/>
              <w:jc w:val="center"/>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z w:val="24"/>
                <w:szCs w:val="24"/>
                <w:lang w:val="en-US" w:eastAsia="zh-CN"/>
              </w:rPr>
              <w:t>16.77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4" w:type="pct"/>
            <w:vAlign w:val="top"/>
          </w:tcPr>
          <w:p>
            <w:pPr>
              <w:spacing w:before="115" w:line="183" w:lineRule="auto"/>
              <w:ind w:left="604" w:leftChars="0"/>
              <w:jc w:val="both"/>
              <w:rPr>
                <w:rFonts w:hint="default" w:ascii="Times New Roman Regular" w:hAnsi="Times New Roman Regular" w:eastAsia="仿宋" w:cs="Times New Roman Regular"/>
                <w:snapToGrid w:val="0"/>
                <w:color w:val="000000"/>
                <w:kern w:val="0"/>
                <w:sz w:val="24"/>
                <w:szCs w:val="24"/>
                <w:lang w:val="en-US" w:eastAsia="zh-CN"/>
              </w:rPr>
            </w:pPr>
            <w:r>
              <w:rPr>
                <w:rFonts w:hint="default" w:ascii="Times New Roman Regular" w:hAnsi="Times New Roman Regular" w:eastAsia="仿宋" w:cs="Times New Roman Regular"/>
                <w:sz w:val="24"/>
                <w:szCs w:val="24"/>
              </w:rPr>
              <w:t>3</w:t>
            </w:r>
          </w:p>
        </w:tc>
        <w:tc>
          <w:tcPr>
            <w:tcW w:w="2959" w:type="pct"/>
            <w:vAlign w:val="top"/>
          </w:tcPr>
          <w:p>
            <w:pPr>
              <w:spacing w:before="74" w:line="219" w:lineRule="auto"/>
              <w:ind w:left="2141" w:leftChars="0"/>
              <w:rPr>
                <w:rFonts w:hint="default" w:ascii="Times New Roman Regular" w:hAnsi="Times New Roman Regular" w:eastAsia="仿宋" w:cs="Times New Roman Regular"/>
                <w:snapToGrid w:val="0"/>
                <w:color w:val="000000"/>
                <w:kern w:val="0"/>
                <w:sz w:val="24"/>
                <w:szCs w:val="24"/>
              </w:rPr>
            </w:pPr>
            <w:r>
              <w:rPr>
                <w:rFonts w:hint="default" w:ascii="Times New Roman Regular" w:hAnsi="Times New Roman Regular" w:eastAsia="仿宋" w:cs="Times New Roman Regular"/>
                <w:spacing w:val="4"/>
                <w:sz w:val="24"/>
                <w:szCs w:val="24"/>
              </w:rPr>
              <w:t>水电费</w:t>
            </w:r>
          </w:p>
        </w:tc>
        <w:tc>
          <w:tcPr>
            <w:tcW w:w="1235" w:type="pct"/>
            <w:vAlign w:val="top"/>
          </w:tcPr>
          <w:p>
            <w:pPr>
              <w:spacing w:before="124" w:line="184" w:lineRule="auto"/>
              <w:jc w:val="center"/>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z w:val="24"/>
                <w:szCs w:val="24"/>
                <w:lang w:val="en-US" w:eastAsia="zh-CN"/>
              </w:rPr>
              <w:t>0.54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4" w:type="pct"/>
            <w:vAlign w:val="top"/>
          </w:tcPr>
          <w:p>
            <w:pPr>
              <w:spacing w:before="155" w:line="169" w:lineRule="auto"/>
              <w:ind w:left="604" w:leftChars="0"/>
              <w:jc w:val="both"/>
              <w:rPr>
                <w:rFonts w:hint="default" w:ascii="Times New Roman Regular" w:hAnsi="Times New Roman Regular" w:eastAsia="仿宋" w:cs="Times New Roman Regular"/>
                <w:snapToGrid w:val="0"/>
                <w:color w:val="000000"/>
                <w:kern w:val="0"/>
                <w:sz w:val="24"/>
                <w:szCs w:val="24"/>
                <w:lang w:val="en-US" w:eastAsia="zh-CN"/>
              </w:rPr>
            </w:pPr>
            <w:r>
              <w:rPr>
                <w:rFonts w:hint="default" w:ascii="Times New Roman Regular" w:hAnsi="Times New Roman Regular" w:eastAsia="仿宋" w:cs="Times New Roman Regular"/>
                <w:sz w:val="24"/>
                <w:szCs w:val="24"/>
              </w:rPr>
              <w:t>4</w:t>
            </w:r>
          </w:p>
        </w:tc>
        <w:tc>
          <w:tcPr>
            <w:tcW w:w="2959" w:type="pct"/>
            <w:vAlign w:val="top"/>
          </w:tcPr>
          <w:p>
            <w:pPr>
              <w:spacing w:before="74" w:line="219" w:lineRule="auto"/>
              <w:ind w:left="2141" w:leftChars="0"/>
              <w:rPr>
                <w:rFonts w:hint="default" w:ascii="Times New Roman Regular" w:hAnsi="Times New Roman Regular" w:eastAsia="仿宋" w:cs="Times New Roman Regular"/>
                <w:snapToGrid w:val="0"/>
                <w:color w:val="000000"/>
                <w:kern w:val="0"/>
                <w:sz w:val="24"/>
                <w:szCs w:val="24"/>
                <w:lang w:val="en-US" w:eastAsia="zh-CN"/>
              </w:rPr>
            </w:pPr>
            <w:r>
              <w:rPr>
                <w:rFonts w:hint="default" w:ascii="Times New Roman Regular" w:hAnsi="Times New Roman Regular" w:eastAsia="仿宋" w:cs="Times New Roman Regular"/>
                <w:sz w:val="24"/>
                <w:szCs w:val="24"/>
                <w:lang w:val="en-US" w:eastAsia="zh-CN"/>
              </w:rPr>
              <w:t>邮电费</w:t>
            </w:r>
          </w:p>
        </w:tc>
        <w:tc>
          <w:tcPr>
            <w:tcW w:w="1235" w:type="pct"/>
            <w:vAlign w:val="top"/>
          </w:tcPr>
          <w:p>
            <w:pPr>
              <w:spacing w:before="124" w:line="184" w:lineRule="auto"/>
              <w:jc w:val="center"/>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z w:val="24"/>
                <w:szCs w:val="24"/>
                <w:lang w:val="en-US" w:eastAsia="zh-CN"/>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4" w:type="pct"/>
            <w:vAlign w:val="top"/>
          </w:tcPr>
          <w:p>
            <w:pPr>
              <w:spacing w:before="127" w:line="182" w:lineRule="auto"/>
              <w:ind w:left="604" w:leftChars="0"/>
              <w:jc w:val="both"/>
              <w:rPr>
                <w:rFonts w:hint="default" w:ascii="Times New Roman Regular" w:hAnsi="Times New Roman Regular" w:eastAsia="仿宋" w:cs="Times New Roman Regular"/>
                <w:snapToGrid w:val="0"/>
                <w:color w:val="000000"/>
                <w:kern w:val="0"/>
                <w:sz w:val="24"/>
                <w:szCs w:val="24"/>
                <w:lang w:val="en-US" w:eastAsia="zh-CN"/>
              </w:rPr>
            </w:pPr>
            <w:r>
              <w:rPr>
                <w:rFonts w:hint="default" w:ascii="Times New Roman Regular" w:hAnsi="Times New Roman Regular" w:eastAsia="仿宋" w:cs="Times New Roman Regular"/>
                <w:sz w:val="24"/>
                <w:szCs w:val="24"/>
              </w:rPr>
              <w:t>5</w:t>
            </w:r>
          </w:p>
        </w:tc>
        <w:tc>
          <w:tcPr>
            <w:tcW w:w="2959" w:type="pct"/>
            <w:vAlign w:val="top"/>
          </w:tcPr>
          <w:p>
            <w:pPr>
              <w:spacing w:before="75" w:line="220" w:lineRule="auto"/>
              <w:ind w:left="2141" w:leftChars="0"/>
              <w:rPr>
                <w:rFonts w:hint="default" w:ascii="Times New Roman Regular" w:hAnsi="Times New Roman Regular" w:eastAsia="仿宋" w:cs="Times New Roman Regular"/>
                <w:snapToGrid w:val="0"/>
                <w:color w:val="000000"/>
                <w:kern w:val="0"/>
                <w:sz w:val="24"/>
                <w:szCs w:val="24"/>
              </w:rPr>
            </w:pPr>
            <w:r>
              <w:rPr>
                <w:rFonts w:hint="default" w:ascii="Times New Roman Regular" w:hAnsi="Times New Roman Regular" w:eastAsia="仿宋" w:cs="Times New Roman Regular"/>
                <w:spacing w:val="4"/>
                <w:sz w:val="24"/>
                <w:szCs w:val="24"/>
              </w:rPr>
              <w:t>差旅费</w:t>
            </w:r>
          </w:p>
        </w:tc>
        <w:tc>
          <w:tcPr>
            <w:tcW w:w="1235" w:type="pct"/>
            <w:vAlign w:val="top"/>
          </w:tcPr>
          <w:p>
            <w:pPr>
              <w:spacing w:before="126" w:line="183" w:lineRule="auto"/>
              <w:jc w:val="center"/>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z w:val="24"/>
                <w:szCs w:val="24"/>
                <w:lang w:val="en-US" w:eastAsia="zh-CN"/>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4" w:type="pct"/>
            <w:vAlign w:val="top"/>
          </w:tcPr>
          <w:p>
            <w:pPr>
              <w:spacing w:before="127" w:line="182" w:lineRule="auto"/>
              <w:ind w:left="604" w:leftChars="0"/>
              <w:jc w:val="both"/>
              <w:rPr>
                <w:rFonts w:hint="eastAsia" w:ascii="Times New Roman Regular" w:hAnsi="Times New Roman Regular" w:eastAsia="仿宋" w:cs="Times New Roman Regular"/>
                <w:sz w:val="24"/>
                <w:szCs w:val="24"/>
                <w:lang w:val="en-US" w:eastAsia="zh-CN"/>
              </w:rPr>
            </w:pPr>
            <w:r>
              <w:rPr>
                <w:rFonts w:hint="eastAsia" w:ascii="Times New Roman Regular" w:hAnsi="Times New Roman Regular" w:eastAsia="仿宋" w:cs="Times New Roman Regular"/>
                <w:sz w:val="24"/>
                <w:szCs w:val="24"/>
                <w:lang w:val="en-US" w:eastAsia="zh-CN"/>
              </w:rPr>
              <w:t>6</w:t>
            </w:r>
          </w:p>
        </w:tc>
        <w:tc>
          <w:tcPr>
            <w:tcW w:w="2959" w:type="pct"/>
            <w:vAlign w:val="top"/>
          </w:tcPr>
          <w:p>
            <w:pPr>
              <w:spacing w:before="75" w:line="220" w:lineRule="auto"/>
              <w:ind w:left="2141" w:leftChars="0"/>
              <w:rPr>
                <w:rFonts w:hint="default" w:ascii="Times New Roman Regular" w:hAnsi="Times New Roman Regular" w:eastAsia="仿宋" w:cs="Times New Roman Regular"/>
                <w:spacing w:val="4"/>
                <w:sz w:val="24"/>
                <w:szCs w:val="24"/>
                <w:lang w:val="en-US" w:eastAsia="zh-CN"/>
              </w:rPr>
            </w:pPr>
            <w:r>
              <w:rPr>
                <w:rFonts w:hint="eastAsia" w:ascii="Times New Roman Regular" w:hAnsi="Times New Roman Regular" w:eastAsia="仿宋" w:cs="Times New Roman Regular"/>
                <w:spacing w:val="4"/>
                <w:sz w:val="24"/>
                <w:szCs w:val="24"/>
                <w:lang w:val="en-US" w:eastAsia="zh-CN"/>
              </w:rPr>
              <w:t>维修（护）费</w:t>
            </w:r>
          </w:p>
        </w:tc>
        <w:tc>
          <w:tcPr>
            <w:tcW w:w="1235" w:type="pct"/>
            <w:vAlign w:val="top"/>
          </w:tcPr>
          <w:p>
            <w:pPr>
              <w:spacing w:before="126" w:line="183" w:lineRule="auto"/>
              <w:jc w:val="center"/>
              <w:rPr>
                <w:rFonts w:hint="default" w:ascii="Times New Roman Regular" w:hAnsi="Times New Roman Regular" w:eastAsia="仿宋" w:cs="Times New Roman Regular"/>
                <w:sz w:val="24"/>
                <w:szCs w:val="24"/>
                <w:lang w:val="en-US" w:eastAsia="zh-CN"/>
              </w:rPr>
            </w:pPr>
            <w:r>
              <w:rPr>
                <w:rFonts w:hint="eastAsia" w:ascii="Times New Roman Regular" w:hAnsi="Times New Roman Regular" w:eastAsia="仿宋" w:cs="Times New Roman Regular"/>
                <w:sz w:val="24"/>
                <w:szCs w:val="24"/>
                <w:lang w:val="en-US" w:eastAsia="zh-CN"/>
              </w:rPr>
              <w:t>1.64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4" w:type="pct"/>
            <w:vAlign w:val="top"/>
          </w:tcPr>
          <w:p>
            <w:pPr>
              <w:spacing w:before="118" w:line="182" w:lineRule="auto"/>
              <w:ind w:left="604" w:leftChars="0"/>
              <w:jc w:val="both"/>
              <w:rPr>
                <w:rFonts w:hint="default" w:ascii="Times New Roman Regular" w:hAnsi="Times New Roman Regular" w:eastAsia="仿宋" w:cs="Times New Roman Regular"/>
                <w:snapToGrid w:val="0"/>
                <w:color w:val="000000"/>
                <w:kern w:val="0"/>
                <w:sz w:val="24"/>
                <w:szCs w:val="24"/>
                <w:lang w:val="en-US" w:eastAsia="zh-CN" w:bidi="ar-SA"/>
              </w:rPr>
            </w:pPr>
            <w:r>
              <w:rPr>
                <w:rFonts w:hint="default" w:ascii="Times New Roman Regular" w:hAnsi="Times New Roman Regular" w:eastAsia="仿宋" w:cs="Times New Roman Regular"/>
                <w:sz w:val="24"/>
                <w:szCs w:val="24"/>
              </w:rPr>
              <w:t>7</w:t>
            </w:r>
          </w:p>
        </w:tc>
        <w:tc>
          <w:tcPr>
            <w:tcW w:w="2959" w:type="pct"/>
            <w:vAlign w:val="top"/>
          </w:tcPr>
          <w:p>
            <w:pPr>
              <w:spacing w:before="77" w:line="219" w:lineRule="auto"/>
              <w:ind w:left="2141" w:leftChars="0"/>
              <w:rPr>
                <w:rFonts w:hint="eastAsia" w:ascii="Times New Roman Regular" w:hAnsi="Times New Roman Regular" w:eastAsia="仿宋" w:cs="Times New Roman Regular"/>
                <w:spacing w:val="4"/>
                <w:sz w:val="24"/>
                <w:szCs w:val="24"/>
                <w:lang w:val="en-US" w:eastAsia="zh-CN"/>
              </w:rPr>
            </w:pPr>
            <w:r>
              <w:rPr>
                <w:rFonts w:hint="eastAsia" w:ascii="Times New Roman Regular" w:hAnsi="Times New Roman Regular" w:eastAsia="仿宋" w:cs="Times New Roman Regular"/>
                <w:spacing w:val="4"/>
                <w:sz w:val="24"/>
                <w:szCs w:val="24"/>
                <w:lang w:val="en-US" w:eastAsia="zh-CN"/>
              </w:rPr>
              <w:t>培训费</w:t>
            </w:r>
          </w:p>
        </w:tc>
        <w:tc>
          <w:tcPr>
            <w:tcW w:w="1235" w:type="pct"/>
            <w:vAlign w:val="top"/>
          </w:tcPr>
          <w:p>
            <w:pPr>
              <w:spacing w:before="127" w:line="184" w:lineRule="auto"/>
              <w:jc w:val="center"/>
              <w:rPr>
                <w:rFonts w:hint="default" w:ascii="Times New Roman Regular" w:hAnsi="Times New Roman Regular" w:eastAsia="仿宋" w:cs="Times New Roman Regular"/>
                <w:sz w:val="24"/>
                <w:szCs w:val="24"/>
                <w:lang w:val="en-US" w:eastAsia="zh-CN"/>
              </w:rPr>
            </w:pPr>
            <w:r>
              <w:rPr>
                <w:rFonts w:hint="eastAsia" w:ascii="Times New Roman Regular" w:hAnsi="Times New Roman Regular" w:eastAsia="仿宋" w:cs="Times New Roman Regular"/>
                <w:sz w:val="24"/>
                <w:szCs w:val="24"/>
                <w:lang w:val="en-US" w:eastAsia="zh-CN"/>
              </w:rPr>
              <w:t>0.44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4" w:type="pct"/>
            <w:vAlign w:val="top"/>
          </w:tcPr>
          <w:p>
            <w:pPr>
              <w:spacing w:before="127" w:line="183" w:lineRule="auto"/>
              <w:ind w:left="604" w:leftChars="0"/>
              <w:jc w:val="both"/>
              <w:rPr>
                <w:rFonts w:hint="default" w:ascii="Times New Roman Regular" w:hAnsi="Times New Roman Regular" w:eastAsia="仿宋" w:cs="Times New Roman Regular"/>
                <w:snapToGrid w:val="0"/>
                <w:color w:val="000000"/>
                <w:kern w:val="0"/>
                <w:sz w:val="24"/>
                <w:szCs w:val="24"/>
                <w:lang w:val="en-US" w:eastAsia="zh-CN" w:bidi="ar-SA"/>
              </w:rPr>
            </w:pPr>
            <w:r>
              <w:rPr>
                <w:rFonts w:hint="default" w:ascii="Times New Roman Regular" w:hAnsi="Times New Roman Regular" w:eastAsia="仿宋" w:cs="Times New Roman Regular"/>
                <w:sz w:val="24"/>
                <w:szCs w:val="24"/>
              </w:rPr>
              <w:t>8</w:t>
            </w:r>
          </w:p>
        </w:tc>
        <w:tc>
          <w:tcPr>
            <w:tcW w:w="2959" w:type="pct"/>
            <w:vAlign w:val="top"/>
          </w:tcPr>
          <w:p>
            <w:pPr>
              <w:spacing w:before="77" w:line="219" w:lineRule="auto"/>
              <w:ind w:left="2141" w:leftChars="0"/>
              <w:rPr>
                <w:rFonts w:hint="default" w:ascii="Times New Roman Regular" w:hAnsi="Times New Roman Regular" w:eastAsia="仿宋" w:cs="Times New Roman Regular"/>
                <w:snapToGrid w:val="0"/>
                <w:color w:val="000000"/>
                <w:kern w:val="0"/>
                <w:sz w:val="24"/>
                <w:szCs w:val="24"/>
              </w:rPr>
            </w:pPr>
            <w:r>
              <w:rPr>
                <w:rFonts w:hint="default" w:ascii="Times New Roman Regular" w:hAnsi="Times New Roman Regular" w:eastAsia="仿宋" w:cs="Times New Roman Regular"/>
                <w:spacing w:val="4"/>
                <w:sz w:val="24"/>
                <w:szCs w:val="24"/>
              </w:rPr>
              <w:t>劳务费</w:t>
            </w:r>
          </w:p>
        </w:tc>
        <w:tc>
          <w:tcPr>
            <w:tcW w:w="1235" w:type="pct"/>
            <w:vAlign w:val="top"/>
          </w:tcPr>
          <w:p>
            <w:pPr>
              <w:spacing w:before="127" w:line="184" w:lineRule="auto"/>
              <w:jc w:val="center"/>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z w:val="24"/>
                <w:szCs w:val="24"/>
                <w:lang w:val="en-US" w:eastAsia="zh-CN"/>
              </w:rPr>
              <w:t>42.08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4" w:type="pct"/>
            <w:vAlign w:val="top"/>
          </w:tcPr>
          <w:p>
            <w:pPr>
              <w:spacing w:before="128" w:line="183" w:lineRule="auto"/>
              <w:ind w:left="604" w:leftChars="0"/>
              <w:jc w:val="both"/>
              <w:rPr>
                <w:rFonts w:hint="default" w:ascii="Times New Roman Regular" w:hAnsi="Times New Roman Regular" w:eastAsia="仿宋" w:cs="Times New Roman Regular"/>
                <w:snapToGrid w:val="0"/>
                <w:color w:val="000000"/>
                <w:kern w:val="0"/>
                <w:sz w:val="24"/>
                <w:szCs w:val="24"/>
                <w:lang w:val="en-US" w:eastAsia="zh-CN" w:bidi="ar-SA"/>
              </w:rPr>
            </w:pPr>
            <w:r>
              <w:rPr>
                <w:rFonts w:hint="default" w:ascii="Times New Roman Regular" w:hAnsi="Times New Roman Regular" w:eastAsia="仿宋" w:cs="Times New Roman Regular"/>
                <w:sz w:val="24"/>
                <w:szCs w:val="24"/>
              </w:rPr>
              <w:t>9</w:t>
            </w:r>
          </w:p>
        </w:tc>
        <w:tc>
          <w:tcPr>
            <w:tcW w:w="2959" w:type="pct"/>
            <w:vAlign w:val="top"/>
          </w:tcPr>
          <w:p>
            <w:pPr>
              <w:spacing w:before="77" w:line="219" w:lineRule="auto"/>
              <w:ind w:left="2141" w:leftChars="0"/>
              <w:rPr>
                <w:rFonts w:hint="eastAsia" w:ascii="Times New Roman Regular" w:hAnsi="Times New Roman Regular" w:eastAsia="仿宋" w:cs="Times New Roman Regular"/>
                <w:spacing w:val="4"/>
                <w:sz w:val="24"/>
                <w:szCs w:val="24"/>
                <w:lang w:val="en-US" w:eastAsia="zh-CN"/>
              </w:rPr>
            </w:pPr>
            <w:r>
              <w:rPr>
                <w:rFonts w:hint="eastAsia" w:ascii="Times New Roman Regular" w:hAnsi="Times New Roman Regular" w:eastAsia="仿宋" w:cs="Times New Roman Regular"/>
                <w:spacing w:val="4"/>
                <w:sz w:val="24"/>
                <w:szCs w:val="24"/>
                <w:lang w:val="en-US" w:eastAsia="zh-CN"/>
              </w:rPr>
              <w:t>委托业务费</w:t>
            </w:r>
          </w:p>
        </w:tc>
        <w:tc>
          <w:tcPr>
            <w:tcW w:w="1235" w:type="pct"/>
            <w:vAlign w:val="top"/>
          </w:tcPr>
          <w:p>
            <w:pPr>
              <w:spacing w:before="127" w:line="184" w:lineRule="auto"/>
              <w:jc w:val="center"/>
              <w:rPr>
                <w:rFonts w:hint="default" w:ascii="Times New Roman Regular" w:hAnsi="Times New Roman Regular" w:eastAsia="仿宋" w:cs="Times New Roman Regular"/>
                <w:sz w:val="24"/>
                <w:szCs w:val="24"/>
                <w:lang w:val="en-US" w:eastAsia="zh-CN"/>
              </w:rPr>
            </w:pPr>
            <w:r>
              <w:rPr>
                <w:rFonts w:hint="eastAsia" w:ascii="Times New Roman Regular" w:hAnsi="Times New Roman Regular" w:eastAsia="仿宋" w:cs="Times New Roman Regular"/>
                <w:sz w:val="24"/>
                <w:szCs w:val="24"/>
                <w:lang w:val="en-US" w:eastAsia="zh-CN"/>
              </w:rPr>
              <w:t>19.27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4" w:type="pct"/>
            <w:vAlign w:val="top"/>
          </w:tcPr>
          <w:p>
            <w:pPr>
              <w:spacing w:before="119" w:line="184" w:lineRule="auto"/>
              <w:ind w:left="555" w:leftChars="0"/>
              <w:jc w:val="both"/>
              <w:rPr>
                <w:rFonts w:hint="default" w:ascii="Times New Roman Regular" w:hAnsi="Times New Roman Regular" w:eastAsia="仿宋" w:cs="Times New Roman Regular"/>
                <w:snapToGrid w:val="0"/>
                <w:color w:val="000000"/>
                <w:kern w:val="0"/>
                <w:sz w:val="24"/>
                <w:szCs w:val="24"/>
                <w:lang w:val="en-US" w:eastAsia="zh-CN" w:bidi="ar-SA"/>
              </w:rPr>
            </w:pPr>
            <w:r>
              <w:rPr>
                <w:rFonts w:hint="default" w:ascii="Times New Roman Regular" w:hAnsi="Times New Roman Regular" w:eastAsia="仿宋" w:cs="Times New Roman Regular"/>
                <w:spacing w:val="-6"/>
                <w:sz w:val="24"/>
                <w:szCs w:val="24"/>
                <w:lang w:val="en-US" w:eastAsia="zh-CN"/>
              </w:rPr>
              <w:t>10</w:t>
            </w:r>
          </w:p>
        </w:tc>
        <w:tc>
          <w:tcPr>
            <w:tcW w:w="2959" w:type="pct"/>
            <w:vAlign w:val="top"/>
          </w:tcPr>
          <w:p>
            <w:pPr>
              <w:spacing w:before="64" w:line="219" w:lineRule="auto"/>
              <w:ind w:left="2041" w:leftChars="0"/>
              <w:rPr>
                <w:rFonts w:hint="default" w:ascii="Times New Roman Regular" w:hAnsi="Times New Roman Regular" w:eastAsia="仿宋" w:cs="Times New Roman Regular"/>
                <w:snapToGrid w:val="0"/>
                <w:color w:val="000000"/>
                <w:kern w:val="0"/>
                <w:sz w:val="24"/>
                <w:szCs w:val="24"/>
              </w:rPr>
            </w:pPr>
            <w:r>
              <w:rPr>
                <w:rFonts w:hint="default" w:ascii="Times New Roman Regular" w:hAnsi="Times New Roman Regular" w:eastAsia="仿宋" w:cs="Times New Roman Regular"/>
                <w:spacing w:val="3"/>
                <w:sz w:val="24"/>
                <w:szCs w:val="24"/>
              </w:rPr>
              <w:t>工会经费</w:t>
            </w:r>
          </w:p>
        </w:tc>
        <w:tc>
          <w:tcPr>
            <w:tcW w:w="1235" w:type="pct"/>
            <w:vAlign w:val="top"/>
          </w:tcPr>
          <w:p>
            <w:pPr>
              <w:spacing w:before="117" w:line="183" w:lineRule="auto"/>
              <w:jc w:val="center"/>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z w:val="24"/>
                <w:szCs w:val="24"/>
                <w:lang w:val="en-US" w:eastAsia="zh-CN"/>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4" w:type="pct"/>
            <w:vAlign w:val="top"/>
          </w:tcPr>
          <w:p>
            <w:pPr>
              <w:spacing w:before="119" w:line="184" w:lineRule="auto"/>
              <w:ind w:left="555" w:leftChars="0"/>
              <w:jc w:val="both"/>
              <w:rPr>
                <w:rFonts w:hint="default" w:ascii="Times New Roman Regular" w:hAnsi="Times New Roman Regular" w:eastAsia="仿宋" w:cs="Times New Roman Regular"/>
                <w:snapToGrid w:val="0"/>
                <w:color w:val="000000"/>
                <w:spacing w:val="-6"/>
                <w:kern w:val="0"/>
                <w:sz w:val="24"/>
                <w:szCs w:val="24"/>
                <w:lang w:val="en-US" w:eastAsia="zh-CN" w:bidi="ar-SA"/>
              </w:rPr>
            </w:pPr>
            <w:r>
              <w:rPr>
                <w:rFonts w:hint="default" w:ascii="Times New Roman Regular" w:hAnsi="Times New Roman Regular" w:eastAsia="仿宋" w:cs="Times New Roman Regular"/>
                <w:spacing w:val="-6"/>
                <w:sz w:val="24"/>
                <w:szCs w:val="24"/>
                <w:lang w:val="en-US" w:eastAsia="zh-CN"/>
              </w:rPr>
              <w:t>11</w:t>
            </w:r>
          </w:p>
        </w:tc>
        <w:tc>
          <w:tcPr>
            <w:tcW w:w="2959" w:type="pct"/>
            <w:vAlign w:val="top"/>
          </w:tcPr>
          <w:p>
            <w:pPr>
              <w:spacing w:before="76" w:line="220" w:lineRule="auto"/>
              <w:ind w:left="2141" w:leftChars="0"/>
              <w:rPr>
                <w:rFonts w:hint="default" w:ascii="Times New Roman Regular" w:hAnsi="Times New Roman Regular" w:eastAsia="仿宋" w:cs="Times New Roman Regular"/>
                <w:snapToGrid w:val="0"/>
                <w:color w:val="000000"/>
                <w:kern w:val="0"/>
                <w:sz w:val="24"/>
                <w:szCs w:val="24"/>
                <w:lang w:eastAsia="zh-CN"/>
              </w:rPr>
            </w:pPr>
            <w:r>
              <w:rPr>
                <w:rFonts w:hint="default" w:ascii="Times New Roman Regular" w:hAnsi="Times New Roman Regular" w:eastAsia="仿宋" w:cs="Times New Roman Regular"/>
                <w:spacing w:val="4"/>
                <w:sz w:val="24"/>
                <w:szCs w:val="24"/>
                <w:lang w:val="en-US" w:eastAsia="zh-CN"/>
              </w:rPr>
              <w:t>福利费</w:t>
            </w:r>
          </w:p>
        </w:tc>
        <w:tc>
          <w:tcPr>
            <w:tcW w:w="1235" w:type="pct"/>
            <w:vAlign w:val="top"/>
          </w:tcPr>
          <w:p>
            <w:pPr>
              <w:spacing w:before="127" w:line="183" w:lineRule="auto"/>
              <w:jc w:val="center"/>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z w:val="24"/>
                <w:szCs w:val="24"/>
                <w:lang w:val="en-US" w:eastAsia="zh-CN"/>
              </w:rPr>
              <w:t>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4" w:type="pct"/>
            <w:vAlign w:val="top"/>
          </w:tcPr>
          <w:p>
            <w:pPr>
              <w:spacing w:before="128" w:line="183" w:lineRule="auto"/>
              <w:jc w:val="center"/>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z w:val="24"/>
                <w:szCs w:val="24"/>
                <w:lang w:val="en-US" w:eastAsia="zh-CN"/>
              </w:rPr>
              <w:t>12</w:t>
            </w:r>
          </w:p>
        </w:tc>
        <w:tc>
          <w:tcPr>
            <w:tcW w:w="2959" w:type="pct"/>
            <w:vAlign w:val="top"/>
          </w:tcPr>
          <w:p>
            <w:pPr>
              <w:spacing w:before="77" w:line="219" w:lineRule="auto"/>
              <w:jc w:val="center"/>
              <w:rPr>
                <w:rFonts w:hint="default" w:ascii="Times New Roman Regular" w:hAnsi="Times New Roman Regular" w:eastAsia="仿宋" w:cs="Times New Roman Regular"/>
                <w:snapToGrid w:val="0"/>
                <w:color w:val="000000"/>
                <w:kern w:val="0"/>
                <w:sz w:val="24"/>
                <w:szCs w:val="24"/>
                <w:lang w:val="en-US" w:eastAsia="zh-CN"/>
              </w:rPr>
            </w:pPr>
            <w:r>
              <w:rPr>
                <w:rFonts w:hint="default" w:ascii="Times New Roman Regular" w:hAnsi="Times New Roman Regular" w:eastAsia="仿宋" w:cs="Times New Roman Regular"/>
                <w:sz w:val="24"/>
                <w:szCs w:val="24"/>
                <w:lang w:val="en-US" w:eastAsia="zh-CN"/>
              </w:rPr>
              <w:t>其他交通费用</w:t>
            </w:r>
          </w:p>
        </w:tc>
        <w:tc>
          <w:tcPr>
            <w:tcW w:w="1235" w:type="pct"/>
            <w:vAlign w:val="top"/>
          </w:tcPr>
          <w:p>
            <w:pPr>
              <w:spacing w:before="127" w:line="184" w:lineRule="auto"/>
              <w:jc w:val="center"/>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z w:val="24"/>
                <w:szCs w:val="24"/>
                <w:lang w:val="en-US" w:eastAsia="zh-CN"/>
              </w:rPr>
              <w:t>10.93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4" w:type="pct"/>
            <w:vAlign w:val="top"/>
          </w:tcPr>
          <w:p>
            <w:pPr>
              <w:spacing w:before="119" w:line="184" w:lineRule="auto"/>
              <w:ind w:left="555" w:leftChars="0"/>
              <w:jc w:val="both"/>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pacing w:val="-6"/>
                <w:sz w:val="24"/>
                <w:szCs w:val="24"/>
                <w:lang w:val="en-US" w:eastAsia="zh-CN"/>
              </w:rPr>
              <w:t>13</w:t>
            </w:r>
          </w:p>
        </w:tc>
        <w:tc>
          <w:tcPr>
            <w:tcW w:w="2959" w:type="pct"/>
            <w:vAlign w:val="top"/>
          </w:tcPr>
          <w:p>
            <w:pPr>
              <w:spacing w:before="69" w:line="219" w:lineRule="auto"/>
              <w:ind w:left="1541" w:leftChars="0"/>
              <w:rPr>
                <w:rFonts w:hint="default" w:ascii="Times New Roman Regular" w:hAnsi="Times New Roman Regular" w:eastAsia="仿宋" w:cs="Times New Roman Regular"/>
                <w:snapToGrid w:val="0"/>
                <w:color w:val="000000"/>
                <w:kern w:val="0"/>
                <w:sz w:val="24"/>
                <w:szCs w:val="24"/>
              </w:rPr>
            </w:pPr>
            <w:r>
              <w:rPr>
                <w:rFonts w:hint="default" w:ascii="Times New Roman Regular" w:hAnsi="Times New Roman Regular" w:eastAsia="仿宋" w:cs="Times New Roman Regular"/>
                <w:spacing w:val="2"/>
                <w:sz w:val="24"/>
                <w:szCs w:val="24"/>
              </w:rPr>
              <w:t>其他商品和服务支出</w:t>
            </w:r>
          </w:p>
        </w:tc>
        <w:tc>
          <w:tcPr>
            <w:tcW w:w="1235" w:type="pct"/>
            <w:vAlign w:val="top"/>
          </w:tcPr>
          <w:p>
            <w:pPr>
              <w:spacing w:before="120" w:line="183" w:lineRule="auto"/>
              <w:jc w:val="center"/>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z w:val="24"/>
                <w:szCs w:val="24"/>
                <w:lang w:val="en-US" w:eastAsia="zh-CN"/>
              </w:rPr>
              <w:t>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4" w:type="pct"/>
            <w:vAlign w:val="top"/>
          </w:tcPr>
          <w:p>
            <w:pPr>
              <w:spacing w:before="119" w:line="184" w:lineRule="auto"/>
              <w:ind w:left="555" w:leftChars="0"/>
              <w:jc w:val="both"/>
              <w:rPr>
                <w:rFonts w:hint="default" w:ascii="Times New Roman Regular" w:hAnsi="Times New Roman Regular" w:eastAsia="仿宋" w:cs="Times New Roman Regular"/>
                <w:snapToGrid w:val="0"/>
                <w:color w:val="000000"/>
                <w:spacing w:val="-6"/>
                <w:kern w:val="0"/>
                <w:sz w:val="24"/>
                <w:szCs w:val="24"/>
                <w:lang w:val="en-US" w:eastAsia="zh-CN"/>
              </w:rPr>
            </w:pPr>
            <w:r>
              <w:rPr>
                <w:rFonts w:hint="eastAsia" w:ascii="Times New Roman Regular" w:hAnsi="Times New Roman Regular" w:eastAsia="仿宋" w:cs="Times New Roman Regular"/>
                <w:spacing w:val="-6"/>
                <w:sz w:val="24"/>
                <w:szCs w:val="24"/>
                <w:lang w:val="en-US" w:eastAsia="zh-CN"/>
              </w:rPr>
              <w:t>14</w:t>
            </w:r>
          </w:p>
        </w:tc>
        <w:tc>
          <w:tcPr>
            <w:tcW w:w="2959" w:type="pct"/>
            <w:vAlign w:val="top"/>
          </w:tcPr>
          <w:p>
            <w:pPr>
              <w:spacing w:before="69" w:line="219" w:lineRule="auto"/>
              <w:jc w:val="center"/>
              <w:rPr>
                <w:rFonts w:hint="default" w:ascii="Times New Roman Regular" w:hAnsi="Times New Roman Regular" w:eastAsia="仿宋" w:cs="Times New Roman Regular"/>
                <w:snapToGrid w:val="0"/>
                <w:color w:val="000000"/>
                <w:spacing w:val="2"/>
                <w:kern w:val="0"/>
                <w:sz w:val="24"/>
                <w:szCs w:val="24"/>
                <w:lang w:val="en-US" w:eastAsia="zh-CN"/>
              </w:rPr>
            </w:pPr>
            <w:r>
              <w:rPr>
                <w:rFonts w:hint="default" w:ascii="Times New Roman Regular" w:hAnsi="Times New Roman Regular" w:eastAsia="仿宋" w:cs="Times New Roman Regular"/>
                <w:spacing w:val="2"/>
                <w:sz w:val="24"/>
                <w:szCs w:val="24"/>
                <w:lang w:val="en-US" w:eastAsia="zh-CN"/>
              </w:rPr>
              <w:t>办公设备购置</w:t>
            </w:r>
          </w:p>
        </w:tc>
        <w:tc>
          <w:tcPr>
            <w:tcW w:w="1235" w:type="pct"/>
            <w:vAlign w:val="top"/>
          </w:tcPr>
          <w:p>
            <w:pPr>
              <w:spacing w:before="120" w:line="183" w:lineRule="auto"/>
              <w:jc w:val="center"/>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z w:val="24"/>
                <w:szCs w:val="24"/>
                <w:lang w:val="en-US" w:eastAsia="zh-CN"/>
              </w:rPr>
              <w:t>6.74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4" w:type="pct"/>
            <w:vAlign w:val="top"/>
          </w:tcPr>
          <w:p>
            <w:pPr>
              <w:spacing w:before="70" w:line="221" w:lineRule="auto"/>
              <w:ind w:left="454" w:leftChars="0"/>
              <w:rPr>
                <w:rFonts w:hint="default" w:ascii="Times New Roman Regular" w:hAnsi="Times New Roman Regular" w:eastAsia="仿宋" w:cs="Times New Roman Regular"/>
                <w:snapToGrid w:val="0"/>
                <w:color w:val="000000"/>
                <w:kern w:val="0"/>
                <w:sz w:val="24"/>
                <w:szCs w:val="24"/>
                <w:lang w:val="en-US" w:eastAsia="zh-CN"/>
              </w:rPr>
            </w:pPr>
            <w:r>
              <w:rPr>
                <w:rFonts w:hint="default" w:ascii="Times New Roman Regular" w:hAnsi="Times New Roman Regular" w:eastAsia="仿宋" w:cs="Times New Roman Regular"/>
                <w:b/>
                <w:bCs/>
                <w:spacing w:val="-3"/>
                <w:sz w:val="24"/>
                <w:szCs w:val="24"/>
              </w:rPr>
              <w:t>合计</w:t>
            </w:r>
          </w:p>
        </w:tc>
        <w:tc>
          <w:tcPr>
            <w:tcW w:w="2959" w:type="pct"/>
            <w:vAlign w:val="top"/>
          </w:tcPr>
          <w:p>
            <w:pPr>
              <w:rPr>
                <w:rFonts w:hint="default" w:ascii="Times New Roman Regular" w:hAnsi="Times New Roman Regular" w:eastAsia="仿宋" w:cs="Times New Roman Regular"/>
                <w:snapToGrid w:val="0"/>
                <w:color w:val="000000"/>
                <w:kern w:val="0"/>
                <w:sz w:val="24"/>
                <w:szCs w:val="24"/>
              </w:rPr>
            </w:pPr>
          </w:p>
        </w:tc>
        <w:tc>
          <w:tcPr>
            <w:tcW w:w="1235" w:type="pct"/>
            <w:vAlign w:val="top"/>
          </w:tcPr>
          <w:p>
            <w:pPr>
              <w:spacing w:before="93" w:line="184" w:lineRule="auto"/>
              <w:jc w:val="center"/>
              <w:rPr>
                <w:rFonts w:hint="default" w:ascii="Times New Roman Regular" w:hAnsi="Times New Roman Regular" w:eastAsia="仿宋" w:cs="Times New Roman Regular"/>
                <w:snapToGrid w:val="0"/>
                <w:color w:val="000000"/>
                <w:kern w:val="0"/>
                <w:sz w:val="24"/>
                <w:szCs w:val="24"/>
                <w:lang w:val="en-US" w:eastAsia="zh-CN"/>
              </w:rPr>
            </w:pPr>
            <w:r>
              <w:rPr>
                <w:rFonts w:hint="default" w:ascii="Times New Roman Regular" w:hAnsi="Times New Roman Regular" w:eastAsia="仿宋" w:cs="Times New Roman Regular"/>
                <w:snapToGrid w:val="0"/>
                <w:color w:val="000000"/>
                <w:kern w:val="0"/>
                <w:sz w:val="24"/>
                <w:szCs w:val="24"/>
                <w:lang w:val="en-US" w:eastAsia="zh-CN"/>
              </w:rPr>
              <w:t>321.52</w:t>
            </w:r>
          </w:p>
        </w:tc>
      </w:tr>
      <w:bookmarkEnd w:id="14"/>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bCs/>
          <w:sz w:val="32"/>
          <w:szCs w:val="32"/>
          <w:lang w:val="en-US" w:eastAsia="zh-CN"/>
        </w:rPr>
        <w:t>2、</w:t>
      </w:r>
      <w:r>
        <w:rPr>
          <w:rFonts w:hint="eastAsia" w:ascii="仿宋" w:hAnsi="仿宋" w:eastAsia="仿宋" w:cs="仿宋"/>
          <w:b/>
          <w:bCs/>
          <w:sz w:val="32"/>
          <w:szCs w:val="32"/>
          <w:lang w:val="en-US" w:eastAsia="zh-CN"/>
        </w:rPr>
        <w:t>“三公经费”</w:t>
      </w:r>
      <w:r>
        <w:rPr>
          <w:rFonts w:hint="default" w:ascii="Times New Roman Regular" w:hAnsi="Times New Roman Regular" w:eastAsia="仿宋" w:cs="Times New Roman Regular"/>
          <w:b/>
          <w:bCs/>
          <w:sz w:val="32"/>
          <w:szCs w:val="32"/>
          <w:lang w:val="en-US" w:eastAsia="zh-CN"/>
        </w:rPr>
        <w:t>支出情况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 w:val="0"/>
          <w:bCs w:val="0"/>
          <w:color w:val="FF0000"/>
          <w:sz w:val="32"/>
          <w:szCs w:val="32"/>
          <w:lang w:val="en-US" w:eastAsia="zh-CN"/>
        </w:rPr>
      </w:pPr>
      <w:r>
        <w:rPr>
          <w:rFonts w:hint="default" w:ascii="Times New Roman Regular" w:hAnsi="Times New Roman Regular" w:eastAsia="仿宋" w:cs="Times New Roman Regular"/>
          <w:b w:val="0"/>
          <w:bCs w:val="0"/>
          <w:sz w:val="32"/>
          <w:szCs w:val="32"/>
          <w:lang w:val="en-US" w:eastAsia="zh-CN"/>
        </w:rPr>
        <w:t>根据</w:t>
      </w:r>
      <w:r>
        <w:rPr>
          <w:rFonts w:hint="eastAsia" w:ascii="Times New Roman Regular" w:hAnsi="Times New Roman Regular" w:eastAsia="仿宋" w:cs="Times New Roman Regular"/>
          <w:b w:val="0"/>
          <w:bCs w:val="0"/>
          <w:sz w:val="32"/>
          <w:szCs w:val="32"/>
          <w:lang w:val="en-US" w:eastAsia="zh-CN"/>
        </w:rPr>
        <w:t>医疗保障局</w:t>
      </w:r>
      <w:r>
        <w:rPr>
          <w:rFonts w:hint="default" w:ascii="Times New Roman Regular" w:hAnsi="Times New Roman Regular" w:eastAsia="仿宋" w:cs="Times New Roman Regular"/>
          <w:b w:val="0"/>
          <w:bCs w:val="0"/>
          <w:sz w:val="32"/>
          <w:szCs w:val="32"/>
          <w:lang w:val="en-US" w:eastAsia="zh-CN"/>
        </w:rPr>
        <w:t>2022年度部门决算报表，2022年</w:t>
      </w:r>
      <w:r>
        <w:rPr>
          <w:rFonts w:hint="eastAsia" w:ascii="仿宋" w:hAnsi="仿宋" w:eastAsia="仿宋" w:cs="仿宋"/>
          <w:b w:val="0"/>
          <w:bCs w:val="0"/>
          <w:sz w:val="32"/>
          <w:szCs w:val="32"/>
          <w:lang w:val="en-US" w:eastAsia="zh-CN"/>
        </w:rPr>
        <w:t>“三公经费”</w:t>
      </w:r>
      <w:r>
        <w:rPr>
          <w:rFonts w:hint="default" w:ascii="Times New Roman" w:hAnsi="Times New Roman" w:eastAsia="仿宋" w:cs="Times New Roman"/>
          <w:b w:val="0"/>
          <w:bCs w:val="0"/>
          <w:sz w:val="32"/>
          <w:szCs w:val="32"/>
          <w:lang w:val="en-US" w:eastAsia="zh-CN"/>
        </w:rPr>
        <w:t>年初预算数为</w:t>
      </w:r>
      <w:r>
        <w:rPr>
          <w:rFonts w:hint="eastAsia" w:ascii="Times New Roman" w:hAnsi="Times New Roman" w:eastAsia="仿宋" w:cs="Times New Roman"/>
          <w:b w:val="0"/>
          <w:bCs w:val="0"/>
          <w:sz w:val="32"/>
          <w:szCs w:val="32"/>
          <w:lang w:val="en-US" w:eastAsia="zh-CN"/>
        </w:rPr>
        <w:t>0.00</w:t>
      </w:r>
      <w:r>
        <w:rPr>
          <w:rFonts w:hint="default" w:ascii="Times New Roman" w:hAnsi="Times New Roman" w:eastAsia="仿宋" w:cs="Times New Roman"/>
          <w:b w:val="0"/>
          <w:bCs w:val="0"/>
          <w:sz w:val="32"/>
          <w:szCs w:val="32"/>
          <w:lang w:val="en-US" w:eastAsia="zh-CN"/>
        </w:rPr>
        <w:t>万元</w:t>
      </w:r>
      <w:r>
        <w:rPr>
          <w:rFonts w:hint="default" w:ascii="Times New Roman" w:hAnsi="Times New Roman" w:eastAsia="仿宋" w:cs="Times New Roman"/>
          <w:b w:val="0"/>
          <w:bCs w:val="0"/>
          <w:color w:val="auto"/>
          <w:sz w:val="32"/>
          <w:szCs w:val="32"/>
          <w:lang w:val="en-US" w:eastAsia="zh-CN"/>
        </w:rPr>
        <w:t>，2022年共计支出</w:t>
      </w:r>
      <w:r>
        <w:rPr>
          <w:rFonts w:hint="eastAsia" w:ascii="Times New Roman" w:hAnsi="Times New Roman" w:eastAsia="仿宋" w:cs="Times New Roman"/>
          <w:b w:val="0"/>
          <w:bCs w:val="0"/>
          <w:sz w:val="32"/>
          <w:szCs w:val="32"/>
          <w:lang w:val="en-US" w:eastAsia="zh-CN"/>
        </w:rPr>
        <w:t>0.00</w:t>
      </w:r>
      <w:r>
        <w:rPr>
          <w:rFonts w:hint="default" w:ascii="Times New Roman" w:hAnsi="Times New Roman" w:eastAsia="仿宋" w:cs="Times New Roman"/>
          <w:b w:val="0"/>
          <w:bCs w:val="0"/>
          <w:color w:val="auto"/>
          <w:sz w:val="32"/>
          <w:szCs w:val="32"/>
          <w:lang w:val="en-US" w:eastAsia="zh-CN"/>
        </w:rPr>
        <w:t>万元，无“三公经费”支出。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Regular" w:hAnsi="Times New Roman Regular" w:eastAsia="仿宋" w:cs="Times New Roman Regular"/>
          <w:b/>
          <w:bCs/>
          <w:sz w:val="32"/>
          <w:szCs w:val="32"/>
          <w:lang w:val="en-US" w:eastAsia="zh-CN"/>
        </w:rPr>
      </w:pPr>
      <w:r>
        <w:rPr>
          <w:rFonts w:hint="default" w:ascii="Times New Roman Regular" w:hAnsi="Times New Roman Regular" w:eastAsia="仿宋" w:cs="Times New Roman Regular"/>
          <w:b/>
          <w:bCs/>
          <w:sz w:val="32"/>
          <w:szCs w:val="32"/>
          <w:lang w:val="en-US" w:eastAsia="zh-CN"/>
        </w:rPr>
        <w:t>3、项目支出情况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cs="Times New Roman Regular" w:eastAsiaTheme="minorEastAsia"/>
          <w:color w:val="auto"/>
          <w:kern w:val="2"/>
          <w:sz w:val="32"/>
          <w:szCs w:val="32"/>
          <w:lang w:val="en-US" w:eastAsia="zh-CN" w:bidi="ar-SA"/>
        </w:rPr>
      </w:pPr>
      <w:r>
        <w:rPr>
          <w:rFonts w:hint="default" w:ascii="Times New Roman Regular" w:hAnsi="Times New Roman Regular" w:eastAsia="仿宋" w:cs="Times New Roman Regular"/>
          <w:b w:val="0"/>
          <w:bCs w:val="0"/>
          <w:color w:val="auto"/>
          <w:sz w:val="32"/>
          <w:szCs w:val="32"/>
          <w:lang w:val="en-US" w:eastAsia="zh-CN"/>
        </w:rPr>
        <w:t>根据</w:t>
      </w:r>
      <w:r>
        <w:rPr>
          <w:rFonts w:hint="eastAsia" w:ascii="Times New Roman Regular" w:hAnsi="Times New Roman Regular" w:eastAsia="仿宋" w:cs="Times New Roman Regular"/>
          <w:b w:val="0"/>
          <w:bCs w:val="0"/>
          <w:color w:val="auto"/>
          <w:sz w:val="32"/>
          <w:szCs w:val="32"/>
          <w:lang w:val="en-US" w:eastAsia="zh-CN"/>
        </w:rPr>
        <w:t>医疗保障局</w:t>
      </w:r>
      <w:r>
        <w:rPr>
          <w:rFonts w:hint="default" w:ascii="Times New Roman Regular" w:hAnsi="Times New Roman Regular" w:eastAsia="仿宋" w:cs="Times New Roman Regular"/>
          <w:b w:val="0"/>
          <w:bCs w:val="0"/>
          <w:color w:val="auto"/>
          <w:sz w:val="32"/>
          <w:szCs w:val="32"/>
          <w:lang w:val="en-US" w:eastAsia="zh-CN"/>
        </w:rPr>
        <w:t>2022年度部门决算报表，2022年度</w:t>
      </w:r>
      <w:r>
        <w:rPr>
          <w:rFonts w:hint="eastAsia" w:ascii="Times New Roman Regular" w:hAnsi="Times New Roman Regular" w:eastAsia="仿宋" w:cs="Times New Roman Regular"/>
          <w:b w:val="0"/>
          <w:bCs w:val="0"/>
          <w:color w:val="auto"/>
          <w:sz w:val="32"/>
          <w:szCs w:val="32"/>
          <w:lang w:val="en-US" w:eastAsia="zh-CN"/>
        </w:rPr>
        <w:t>医疗保障局</w:t>
      </w:r>
      <w:r>
        <w:rPr>
          <w:rFonts w:hint="default" w:ascii="Times New Roman Regular" w:hAnsi="Times New Roman Regular" w:eastAsia="仿宋" w:cs="Times New Roman Regular"/>
          <w:b w:val="0"/>
          <w:bCs w:val="0"/>
          <w:color w:val="auto"/>
          <w:sz w:val="32"/>
          <w:szCs w:val="32"/>
          <w:lang w:val="en-US" w:eastAsia="zh-CN"/>
        </w:rPr>
        <w:t>项目支出共计</w:t>
      </w:r>
      <w:r>
        <w:rPr>
          <w:rFonts w:hint="eastAsia" w:ascii="Times New Roman Regular" w:hAnsi="Times New Roman Regular" w:eastAsia="仿宋" w:cs="Times New Roman Regular"/>
          <w:b w:val="0"/>
          <w:bCs w:val="0"/>
          <w:sz w:val="31"/>
          <w:szCs w:val="31"/>
          <w:lang w:val="en-US" w:eastAsia="zh-CN"/>
        </w:rPr>
        <w:t>63.2</w:t>
      </w:r>
      <w:r>
        <w:rPr>
          <w:rFonts w:hint="default" w:ascii="Times New Roman Regular" w:hAnsi="Times New Roman Regular" w:eastAsia="仿宋" w:cs="Times New Roman Regular"/>
          <w:b w:val="0"/>
          <w:bCs w:val="0"/>
          <w:sz w:val="31"/>
          <w:szCs w:val="31"/>
          <w:lang w:val="en-US" w:eastAsia="zh-CN"/>
        </w:rPr>
        <w:t>万元，</w:t>
      </w:r>
      <w:r>
        <w:rPr>
          <w:rFonts w:hint="eastAsia" w:ascii="Times New Roman Regular" w:hAnsi="Times New Roman Regular" w:eastAsia="仿宋" w:cs="Times New Roman Regular"/>
          <w:b w:val="0"/>
          <w:bCs w:val="0"/>
          <w:sz w:val="31"/>
          <w:szCs w:val="31"/>
          <w:lang w:val="en-US" w:eastAsia="zh-CN"/>
        </w:rPr>
        <w:t>均为其他支出。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15" w:name="_Toc7212"/>
      <w:bookmarkStart w:id="16" w:name="_Toc4432"/>
      <w:r>
        <w:rPr>
          <w:rFonts w:hint="default" w:ascii="Times New Roman Regular" w:hAnsi="Times New Roman Regular" w:eastAsia="楷体" w:cs="Times New Roman Regular"/>
          <w:b/>
          <w:bCs/>
          <w:sz w:val="32"/>
          <w:szCs w:val="32"/>
          <w:lang w:val="en-US" w:eastAsia="zh-CN"/>
        </w:rPr>
        <w:t>（三）资金管理情况</w:t>
      </w:r>
      <w:bookmarkEnd w:id="15"/>
      <w:bookmarkEnd w:id="16"/>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医疗保障局</w:t>
      </w:r>
      <w:r>
        <w:rPr>
          <w:rFonts w:hint="default" w:ascii="Times New Roman Regular" w:hAnsi="Times New Roman Regular" w:eastAsia="仿宋" w:cs="Times New Roman Regular"/>
          <w:b w:val="0"/>
          <w:bCs w:val="0"/>
          <w:sz w:val="32"/>
          <w:szCs w:val="32"/>
          <w:lang w:val="en-US" w:eastAsia="zh-CN"/>
        </w:rPr>
        <w:t>制定了《北塔区医疗保障局财务管理制度</w:t>
      </w:r>
      <w:r>
        <w:rPr>
          <w:rFonts w:hint="eastAsia" w:ascii="Times New Roman Regular" w:hAnsi="Times New Roman Regular" w:eastAsia="仿宋" w:cs="Times New Roman Regular"/>
          <w:b w:val="0"/>
          <w:bCs w:val="0"/>
          <w:sz w:val="32"/>
          <w:szCs w:val="32"/>
          <w:lang w:val="en-US" w:eastAsia="zh-CN"/>
        </w:rPr>
        <w:t>》《北塔区医疗保障局资金管理制度》等制度</w:t>
      </w:r>
      <w:r>
        <w:rPr>
          <w:rFonts w:hint="default" w:ascii="Times New Roman Regular" w:hAnsi="Times New Roman Regular" w:eastAsia="仿宋" w:cs="Times New Roman Regular"/>
          <w:b w:val="0"/>
          <w:bCs w:val="0"/>
          <w:sz w:val="32"/>
          <w:szCs w:val="32"/>
          <w:lang w:val="en-US" w:eastAsia="zh-CN"/>
        </w:rPr>
        <w:t>，</w:t>
      </w:r>
      <w:r>
        <w:rPr>
          <w:rFonts w:hint="eastAsia" w:ascii="Times New Roman Regular" w:hAnsi="Times New Roman Regular" w:eastAsia="仿宋" w:cs="Times New Roman Regular"/>
          <w:b w:val="0"/>
          <w:bCs w:val="0"/>
          <w:sz w:val="32"/>
          <w:szCs w:val="32"/>
          <w:lang w:val="en-US" w:eastAsia="zh-CN"/>
        </w:rPr>
        <w:t>从预算管理、收支管理、资产负债管理、财务监督、资金的筹集使用结算监督等方面进行了有关规定，</w:t>
      </w:r>
      <w:r>
        <w:rPr>
          <w:rFonts w:hint="default" w:ascii="Times New Roman Regular" w:hAnsi="Times New Roman Regular" w:eastAsia="仿宋" w:cs="Times New Roman Regular"/>
          <w:b w:val="0"/>
          <w:bCs w:val="0"/>
          <w:sz w:val="32"/>
          <w:szCs w:val="32"/>
          <w:lang w:val="en-US" w:eastAsia="zh-CN"/>
        </w:rPr>
        <w:t>严格按照有关财务制度，加强机关财务管理，节约使用资金，降低行政成本。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黑体" w:cs="Times New Roman Regular"/>
          <w:b/>
          <w:bCs/>
          <w:kern w:val="2"/>
          <w:sz w:val="32"/>
          <w:szCs w:val="32"/>
          <w:lang w:val="en-US" w:eastAsia="zh-CN" w:bidi="ar-SA"/>
        </w:rPr>
      </w:pPr>
      <w:bookmarkStart w:id="17" w:name="_Toc5547"/>
      <w:bookmarkStart w:id="18" w:name="_Toc6041"/>
      <w:r>
        <w:rPr>
          <w:rFonts w:hint="default" w:ascii="Times New Roman Regular" w:hAnsi="Times New Roman Regular" w:eastAsia="黑体" w:cs="Times New Roman Regular"/>
          <w:b/>
          <w:bCs/>
          <w:kern w:val="2"/>
          <w:sz w:val="32"/>
          <w:szCs w:val="32"/>
          <w:lang w:val="en-US" w:eastAsia="zh-CN" w:bidi="ar-SA"/>
        </w:rPr>
        <w:t>三、制度建设情况</w:t>
      </w:r>
      <w:bookmarkEnd w:id="17"/>
      <w:bookmarkEnd w:id="18"/>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19" w:name="_Toc22164"/>
      <w:bookmarkStart w:id="20" w:name="_Toc24314"/>
      <w:r>
        <w:rPr>
          <w:rFonts w:hint="default" w:ascii="Times New Roman Regular" w:hAnsi="Times New Roman Regular" w:eastAsia="楷体" w:cs="Times New Roman Regular"/>
          <w:b/>
          <w:bCs/>
          <w:sz w:val="32"/>
          <w:szCs w:val="32"/>
          <w:lang w:val="en-US" w:eastAsia="zh-CN"/>
        </w:rPr>
        <w:t>（</w:t>
      </w:r>
      <w:r>
        <w:rPr>
          <w:rFonts w:hint="eastAsia" w:ascii="Times New Roman Regular" w:hAnsi="Times New Roman Regular" w:eastAsia="楷体" w:cs="Times New Roman Regular"/>
          <w:b/>
          <w:bCs/>
          <w:sz w:val="32"/>
          <w:szCs w:val="32"/>
          <w:lang w:val="en-US" w:eastAsia="zh-CN"/>
        </w:rPr>
        <w:t>一</w:t>
      </w:r>
      <w:r>
        <w:rPr>
          <w:rFonts w:hint="default" w:ascii="Times New Roman Regular" w:hAnsi="Times New Roman Regular" w:eastAsia="楷体" w:cs="Times New Roman Regular"/>
          <w:b/>
          <w:bCs/>
          <w:sz w:val="32"/>
          <w:szCs w:val="32"/>
          <w:lang w:val="en-US" w:eastAsia="zh-CN"/>
        </w:rPr>
        <w:t>）</w:t>
      </w:r>
      <w:r>
        <w:rPr>
          <w:rFonts w:hint="eastAsia" w:ascii="Times New Roman Regular" w:hAnsi="Times New Roman Regular" w:eastAsia="楷体" w:cs="Times New Roman Regular"/>
          <w:b/>
          <w:bCs/>
          <w:sz w:val="32"/>
          <w:szCs w:val="32"/>
          <w:lang w:val="en-US" w:eastAsia="zh-CN"/>
        </w:rPr>
        <w:t>内控</w:t>
      </w:r>
      <w:r>
        <w:rPr>
          <w:rFonts w:hint="default" w:ascii="Times New Roman Regular" w:hAnsi="Times New Roman Regular" w:eastAsia="楷体" w:cs="Times New Roman Regular"/>
          <w:b/>
          <w:bCs/>
          <w:sz w:val="32"/>
          <w:szCs w:val="32"/>
          <w:lang w:val="en-US" w:eastAsia="zh-CN"/>
        </w:rPr>
        <w:t>制度建设情况</w:t>
      </w:r>
      <w:bookmarkEnd w:id="19"/>
      <w:bookmarkEnd w:id="2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医疗保障局</w:t>
      </w:r>
      <w:r>
        <w:rPr>
          <w:rFonts w:hint="default" w:ascii="Times New Roman Regular" w:hAnsi="Times New Roman Regular" w:eastAsia="仿宋" w:cs="Times New Roman Regular"/>
          <w:b w:val="0"/>
          <w:bCs w:val="0"/>
          <w:sz w:val="32"/>
          <w:szCs w:val="32"/>
          <w:lang w:val="en-US" w:eastAsia="zh-CN"/>
        </w:rPr>
        <w:t>制定了《北塔区医疗保障局部门管理制度</w:t>
      </w:r>
      <w:r>
        <w:rPr>
          <w:rFonts w:hint="eastAsia" w:ascii="Times New Roman Regular" w:hAnsi="Times New Roman Regular" w:eastAsia="仿宋" w:cs="Times New Roman Regular"/>
          <w:b w:val="0"/>
          <w:bCs w:val="0"/>
          <w:sz w:val="32"/>
          <w:szCs w:val="32"/>
          <w:lang w:val="en-US" w:eastAsia="zh-CN"/>
        </w:rPr>
        <w:t>》《</w:t>
      </w:r>
      <w:r>
        <w:rPr>
          <w:rFonts w:hint="default" w:ascii="Times New Roman Regular" w:hAnsi="Times New Roman Regular" w:eastAsia="仿宋" w:cs="Times New Roman Regular"/>
          <w:b w:val="0"/>
          <w:bCs w:val="0"/>
          <w:sz w:val="32"/>
          <w:szCs w:val="32"/>
          <w:lang w:val="en-US" w:eastAsia="zh-CN"/>
        </w:rPr>
        <w:t>北塔区医疗保障局资产管理制度</w:t>
      </w:r>
      <w:r>
        <w:rPr>
          <w:rFonts w:hint="eastAsia" w:ascii="Times New Roman Regular" w:hAnsi="Times New Roman Regular" w:eastAsia="仿宋" w:cs="Times New Roman Regular"/>
          <w:b w:val="0"/>
          <w:bCs w:val="0"/>
          <w:sz w:val="32"/>
          <w:szCs w:val="32"/>
          <w:lang w:val="en-US" w:eastAsia="zh-CN"/>
        </w:rPr>
        <w:t>》《</w:t>
      </w:r>
      <w:r>
        <w:rPr>
          <w:rFonts w:hint="default" w:ascii="Times New Roman Regular" w:hAnsi="Times New Roman Regular" w:eastAsia="仿宋" w:cs="Times New Roman Regular"/>
          <w:b w:val="0"/>
          <w:bCs w:val="0"/>
          <w:sz w:val="32"/>
          <w:szCs w:val="32"/>
          <w:lang w:val="en-US" w:eastAsia="zh-CN"/>
        </w:rPr>
        <w:t>北塔区医疗保障局部门监督管理制度》</w:t>
      </w:r>
      <w:r>
        <w:rPr>
          <w:rFonts w:hint="eastAsia" w:ascii="Times New Roman Regular" w:hAnsi="Times New Roman Regular" w:eastAsia="仿宋" w:cs="Times New Roman Regular"/>
          <w:b w:val="0"/>
          <w:bCs w:val="0"/>
          <w:sz w:val="32"/>
          <w:szCs w:val="32"/>
          <w:lang w:val="en-US" w:eastAsia="zh-CN"/>
        </w:rPr>
        <w:t>等制度</w:t>
      </w:r>
      <w:r>
        <w:rPr>
          <w:rFonts w:hint="default" w:ascii="Times New Roman Regular" w:hAnsi="Times New Roman Regular" w:eastAsia="仿宋" w:cs="Times New Roman Regular"/>
          <w:b w:val="0"/>
          <w:bCs w:val="0"/>
          <w:sz w:val="32"/>
          <w:szCs w:val="32"/>
          <w:lang w:val="en-US" w:eastAsia="zh-CN"/>
        </w:rPr>
        <w:t>，</w:t>
      </w:r>
      <w:r>
        <w:rPr>
          <w:rFonts w:hint="eastAsia" w:ascii="Times New Roman Regular" w:hAnsi="Times New Roman Regular" w:eastAsia="仿宋" w:cs="Times New Roman Regular"/>
          <w:b w:val="0"/>
          <w:bCs w:val="0"/>
          <w:sz w:val="32"/>
          <w:szCs w:val="32"/>
          <w:lang w:val="en-US" w:eastAsia="zh-CN"/>
        </w:rPr>
        <w:t>主要对</w:t>
      </w:r>
      <w:r>
        <w:rPr>
          <w:rFonts w:hint="default" w:ascii="Times New Roman Regular" w:hAnsi="Times New Roman Regular" w:eastAsia="仿宋" w:cs="Times New Roman Regular"/>
          <w:b w:val="0"/>
          <w:bCs w:val="0"/>
          <w:sz w:val="32"/>
          <w:szCs w:val="32"/>
          <w:lang w:val="en-US" w:eastAsia="zh-CN"/>
        </w:rPr>
        <w:t>部门管理</w:t>
      </w:r>
      <w:r>
        <w:rPr>
          <w:rFonts w:hint="eastAsia" w:ascii="Times New Roman Regular" w:hAnsi="Times New Roman Regular" w:eastAsia="仿宋" w:cs="Times New Roman Regular"/>
          <w:b w:val="0"/>
          <w:bCs w:val="0"/>
          <w:sz w:val="32"/>
          <w:szCs w:val="32"/>
          <w:lang w:val="en-US" w:eastAsia="zh-CN"/>
        </w:rPr>
        <w:t>、</w:t>
      </w:r>
      <w:r>
        <w:rPr>
          <w:rFonts w:hint="default" w:ascii="Times New Roman Regular" w:hAnsi="Times New Roman Regular" w:eastAsia="仿宋" w:cs="Times New Roman Regular"/>
          <w:b w:val="0"/>
          <w:bCs w:val="0"/>
          <w:sz w:val="32"/>
          <w:szCs w:val="32"/>
          <w:lang w:val="en-US" w:eastAsia="zh-CN"/>
        </w:rPr>
        <w:t>资产管理</w:t>
      </w:r>
      <w:r>
        <w:rPr>
          <w:rFonts w:hint="eastAsia" w:ascii="Times New Roman Regular" w:hAnsi="Times New Roman Regular" w:eastAsia="仿宋" w:cs="Times New Roman Regular"/>
          <w:b w:val="0"/>
          <w:bCs w:val="0"/>
          <w:sz w:val="32"/>
          <w:szCs w:val="32"/>
          <w:lang w:val="en-US" w:eastAsia="zh-CN"/>
        </w:rPr>
        <w:t>、</w:t>
      </w:r>
      <w:r>
        <w:rPr>
          <w:rFonts w:hint="default" w:ascii="Times New Roman Regular" w:hAnsi="Times New Roman Regular" w:eastAsia="仿宋" w:cs="Times New Roman Regular"/>
          <w:b w:val="0"/>
          <w:bCs w:val="0"/>
          <w:sz w:val="32"/>
          <w:szCs w:val="32"/>
          <w:lang w:val="en-US" w:eastAsia="zh-CN"/>
        </w:rPr>
        <w:t>监督管理</w:t>
      </w:r>
      <w:r>
        <w:rPr>
          <w:rFonts w:hint="eastAsia" w:ascii="Times New Roman Regular" w:hAnsi="Times New Roman Regular" w:eastAsia="仿宋" w:cs="Times New Roman Regular"/>
          <w:b w:val="0"/>
          <w:bCs w:val="0"/>
          <w:sz w:val="32"/>
          <w:szCs w:val="32"/>
          <w:lang w:val="en-US" w:eastAsia="zh-CN"/>
        </w:rPr>
        <w:t>、财务管理等方面</w:t>
      </w:r>
      <w:r>
        <w:rPr>
          <w:rFonts w:hint="default" w:ascii="Times New Roman Regular" w:hAnsi="Times New Roman Regular" w:eastAsia="仿宋" w:cs="Times New Roman Regular"/>
          <w:b w:val="0"/>
          <w:bCs w:val="0"/>
          <w:sz w:val="32"/>
          <w:szCs w:val="32"/>
          <w:lang w:val="en-US" w:eastAsia="zh-CN"/>
        </w:rPr>
        <w:t>做出了具体规定</w:t>
      </w:r>
      <w:r>
        <w:rPr>
          <w:rFonts w:hint="eastAsia" w:ascii="Times New Roman Regular" w:hAnsi="Times New Roman Regular" w:eastAsia="仿宋" w:cs="Times New Roman Regular"/>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21" w:name="_Toc19087"/>
      <w:bookmarkStart w:id="22" w:name="_Toc19926"/>
      <w:r>
        <w:rPr>
          <w:rFonts w:hint="default" w:ascii="Times New Roman Regular" w:hAnsi="Times New Roman Regular" w:eastAsia="楷体" w:cs="Times New Roman Regular"/>
          <w:b/>
          <w:bCs/>
          <w:sz w:val="32"/>
          <w:szCs w:val="32"/>
          <w:lang w:val="en-US" w:eastAsia="zh-CN"/>
        </w:rPr>
        <w:t>（</w:t>
      </w:r>
      <w:r>
        <w:rPr>
          <w:rFonts w:hint="eastAsia" w:ascii="Times New Roman Regular" w:hAnsi="Times New Roman Regular" w:eastAsia="楷体" w:cs="Times New Roman Regular"/>
          <w:b/>
          <w:bCs/>
          <w:sz w:val="32"/>
          <w:szCs w:val="32"/>
          <w:lang w:val="en-US" w:eastAsia="zh-CN"/>
        </w:rPr>
        <w:t>二</w:t>
      </w:r>
      <w:r>
        <w:rPr>
          <w:rFonts w:hint="default" w:ascii="Times New Roman Regular" w:hAnsi="Times New Roman Regular" w:eastAsia="楷体" w:cs="Times New Roman Regular"/>
          <w:b/>
          <w:bCs/>
          <w:sz w:val="32"/>
          <w:szCs w:val="32"/>
          <w:lang w:val="en-US" w:eastAsia="zh-CN"/>
        </w:rPr>
        <w:t>）资产管理制度建设及使用情况</w:t>
      </w:r>
      <w:bookmarkEnd w:id="21"/>
      <w:bookmarkEnd w:id="22"/>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为</w:t>
      </w:r>
      <w:r>
        <w:rPr>
          <w:rFonts w:hint="default" w:ascii="Times New Roman Regular" w:hAnsi="Times New Roman Regular" w:eastAsia="仿宋" w:cs="Times New Roman Regular"/>
          <w:b w:val="0"/>
          <w:bCs w:val="0"/>
          <w:sz w:val="32"/>
          <w:szCs w:val="32"/>
          <w:lang w:val="en-US" w:eastAsia="zh-CN"/>
        </w:rPr>
        <w:t>加强和规范国有资产管理，保障国有资产的安全完整，推进节约型机关建设，根据财政部《行政事业单位国有资产管理暂行办法》和《行政事业单位内部控制规范（试行）》要求，</w:t>
      </w:r>
      <w:r>
        <w:rPr>
          <w:rFonts w:hint="eastAsia" w:ascii="Times New Roman Regular" w:hAnsi="Times New Roman Regular" w:eastAsia="仿宋" w:cs="Times New Roman Regular"/>
          <w:b w:val="0"/>
          <w:bCs w:val="0"/>
          <w:sz w:val="32"/>
          <w:szCs w:val="32"/>
          <w:lang w:val="en-US" w:eastAsia="zh-CN"/>
        </w:rPr>
        <w:t>依据《</w:t>
      </w:r>
      <w:r>
        <w:rPr>
          <w:rFonts w:hint="default" w:ascii="Times New Roman Regular" w:hAnsi="Times New Roman Regular" w:eastAsia="仿宋" w:cs="Times New Roman Regular"/>
          <w:b w:val="0"/>
          <w:bCs w:val="0"/>
          <w:sz w:val="32"/>
          <w:szCs w:val="32"/>
          <w:lang w:val="en-US" w:eastAsia="zh-CN"/>
        </w:rPr>
        <w:t>北塔区医疗保障局资产管理制度</w:t>
      </w:r>
      <w:r>
        <w:rPr>
          <w:rFonts w:hint="eastAsia" w:ascii="Times New Roman Regular" w:hAnsi="Times New Roman Regular" w:eastAsia="仿宋" w:cs="Times New Roman Regular"/>
          <w:b w:val="0"/>
          <w:bCs w:val="0"/>
          <w:sz w:val="32"/>
          <w:szCs w:val="32"/>
          <w:lang w:val="en-US" w:eastAsia="zh-CN"/>
        </w:rPr>
        <w:t>》对有关资产管理进行了规定。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color w:val="FF0000"/>
          <w:sz w:val="32"/>
          <w:szCs w:val="32"/>
          <w:lang w:val="en-US" w:eastAsia="zh-CN"/>
        </w:rPr>
      </w:pPr>
      <w:r>
        <w:rPr>
          <w:rFonts w:hint="default" w:ascii="Times New Roman Regular" w:hAnsi="Times New Roman Regular" w:eastAsia="仿宋" w:cs="Times New Roman Regular"/>
          <w:b w:val="0"/>
          <w:bCs w:val="0"/>
          <w:sz w:val="32"/>
          <w:szCs w:val="32"/>
          <w:lang w:val="en-US" w:eastAsia="zh-CN"/>
        </w:rPr>
        <w:t>截</w:t>
      </w:r>
      <w:r>
        <w:rPr>
          <w:rFonts w:hint="eastAsia" w:ascii="Times New Roman Regular" w:hAnsi="Times New Roman Regular" w:eastAsia="仿宋" w:cs="Times New Roman Regular"/>
          <w:b w:val="0"/>
          <w:bCs w:val="0"/>
          <w:sz w:val="32"/>
          <w:szCs w:val="32"/>
          <w:lang w:val="en-US" w:eastAsia="zh-CN"/>
        </w:rPr>
        <w:t>至</w:t>
      </w:r>
      <w:r>
        <w:rPr>
          <w:rFonts w:hint="default" w:ascii="Times New Roman Regular" w:hAnsi="Times New Roman Regular" w:eastAsia="仿宋" w:cs="Times New Roman Regular"/>
          <w:b w:val="0"/>
          <w:bCs w:val="0"/>
          <w:sz w:val="32"/>
          <w:szCs w:val="32"/>
          <w:lang w:val="en-US" w:eastAsia="zh-CN"/>
        </w:rPr>
        <w:t>2022年12月31日，</w:t>
      </w:r>
      <w:r>
        <w:rPr>
          <w:rFonts w:hint="eastAsia" w:ascii="Times New Roman Regular" w:hAnsi="Times New Roman Regular" w:eastAsia="仿宋" w:cs="Times New Roman Regular"/>
          <w:b w:val="0"/>
          <w:bCs w:val="0"/>
          <w:sz w:val="32"/>
          <w:szCs w:val="32"/>
          <w:lang w:val="en-US" w:eastAsia="zh-CN"/>
        </w:rPr>
        <w:t>医疗保障局</w:t>
      </w:r>
      <w:r>
        <w:rPr>
          <w:rFonts w:hint="default" w:ascii="Times New Roman Regular" w:hAnsi="Times New Roman Regular" w:eastAsia="仿宋" w:cs="Times New Roman Regular"/>
          <w:b w:val="0"/>
          <w:bCs w:val="0"/>
          <w:sz w:val="32"/>
          <w:szCs w:val="32"/>
          <w:lang w:val="en-US" w:eastAsia="zh-CN"/>
        </w:rPr>
        <w:t>固定资产账面原值</w:t>
      </w:r>
      <w:r>
        <w:rPr>
          <w:rFonts w:hint="eastAsia" w:ascii="Times New Roman Regular" w:hAnsi="Times New Roman Regular" w:eastAsia="仿宋" w:cs="Times New Roman Regular"/>
          <w:b w:val="0"/>
          <w:bCs w:val="0"/>
          <w:sz w:val="32"/>
          <w:szCs w:val="32"/>
          <w:lang w:val="en-US" w:eastAsia="zh-CN"/>
        </w:rPr>
        <w:t>23.11</w:t>
      </w:r>
      <w:r>
        <w:rPr>
          <w:rFonts w:hint="default" w:ascii="Times New Roman Regular" w:hAnsi="Times New Roman Regular" w:eastAsia="仿宋" w:cs="Times New Roman Regular"/>
          <w:b w:val="0"/>
          <w:bCs w:val="0"/>
          <w:sz w:val="32"/>
          <w:szCs w:val="32"/>
          <w:lang w:val="en-US" w:eastAsia="zh-CN"/>
        </w:rPr>
        <w:t>万元。其中：通用设备</w:t>
      </w:r>
      <w:r>
        <w:rPr>
          <w:rFonts w:hint="eastAsia" w:ascii="Times New Roman Regular" w:hAnsi="Times New Roman Regular" w:eastAsia="仿宋" w:cs="Times New Roman Regular"/>
          <w:b w:val="0"/>
          <w:bCs w:val="0"/>
          <w:sz w:val="32"/>
          <w:szCs w:val="32"/>
          <w:lang w:val="en-US" w:eastAsia="zh-CN"/>
        </w:rPr>
        <w:t>17.74</w:t>
      </w:r>
      <w:r>
        <w:rPr>
          <w:rFonts w:hint="default" w:ascii="Times New Roman Regular" w:hAnsi="Times New Roman Regular" w:eastAsia="仿宋" w:cs="Times New Roman Regular"/>
          <w:b w:val="0"/>
          <w:bCs w:val="0"/>
          <w:sz w:val="32"/>
          <w:szCs w:val="32"/>
          <w:lang w:val="en-US" w:eastAsia="zh-CN"/>
        </w:rPr>
        <w:t>万元；家具、用具、装具及动植物</w:t>
      </w:r>
      <w:r>
        <w:rPr>
          <w:rFonts w:hint="eastAsia" w:ascii="Times New Roman Regular" w:hAnsi="Times New Roman Regular" w:eastAsia="仿宋" w:cs="Times New Roman Regular"/>
          <w:b w:val="0"/>
          <w:bCs w:val="0"/>
          <w:sz w:val="32"/>
          <w:szCs w:val="32"/>
          <w:lang w:val="en-US" w:eastAsia="zh-CN"/>
        </w:rPr>
        <w:t>5.37</w:t>
      </w:r>
      <w:r>
        <w:rPr>
          <w:rFonts w:hint="default" w:ascii="Times New Roman Regular" w:hAnsi="Times New Roman Regular" w:eastAsia="仿宋" w:cs="Times New Roman Regular"/>
          <w:b w:val="0"/>
          <w:bCs w:val="0"/>
          <w:sz w:val="32"/>
          <w:szCs w:val="32"/>
          <w:lang w:val="en-US" w:eastAsia="zh-CN"/>
        </w:rPr>
        <w:t>万元。</w:t>
      </w:r>
      <w:r>
        <w:rPr>
          <w:rFonts w:hint="default" w:ascii="Times New Roman Regular" w:hAnsi="Times New Roman Regular" w:eastAsia="仿宋" w:cs="Times New Roman Regular"/>
          <w:b w:val="0"/>
          <w:bCs w:val="0"/>
          <w:color w:val="auto"/>
          <w:sz w:val="32"/>
          <w:szCs w:val="32"/>
          <w:lang w:val="en-US" w:eastAsia="zh-CN"/>
        </w:rPr>
        <w:t>资产在用23.11万元，资产使用率</w:t>
      </w:r>
      <w:r>
        <w:rPr>
          <w:rFonts w:hint="eastAsia" w:ascii="Times New Roman Regular" w:hAnsi="Times New Roman Regular" w:eastAsia="仿宋" w:cs="Times New Roman Regular"/>
          <w:b w:val="0"/>
          <w:bCs w:val="0"/>
          <w:color w:val="auto"/>
          <w:sz w:val="32"/>
          <w:szCs w:val="32"/>
          <w:lang w:val="en-US" w:eastAsia="zh-CN"/>
        </w:rPr>
        <w:t>100</w:t>
      </w:r>
      <w:r>
        <w:rPr>
          <w:rFonts w:hint="default" w:ascii="Times New Roman Regular" w:hAnsi="Times New Roman Regular" w:eastAsia="仿宋" w:cs="Times New Roman Regular"/>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highlight w:val="none"/>
          <w:lang w:val="en-US" w:eastAsia="zh-CN"/>
        </w:rPr>
      </w:pPr>
      <w:bookmarkStart w:id="23" w:name="_Toc10378"/>
      <w:bookmarkStart w:id="24" w:name="_Toc7256"/>
      <w:r>
        <w:rPr>
          <w:rFonts w:hint="default" w:ascii="Times New Roman Regular" w:hAnsi="Times New Roman Regular" w:eastAsia="楷体" w:cs="Times New Roman Regular"/>
          <w:b/>
          <w:bCs/>
          <w:sz w:val="32"/>
          <w:szCs w:val="32"/>
          <w:lang w:val="en-US" w:eastAsia="zh-CN"/>
        </w:rPr>
        <w:t>（</w:t>
      </w:r>
      <w:r>
        <w:rPr>
          <w:rFonts w:hint="eastAsia" w:ascii="Times New Roman Regular" w:hAnsi="Times New Roman Regular" w:eastAsia="楷体" w:cs="Times New Roman Regular"/>
          <w:b/>
          <w:bCs/>
          <w:sz w:val="32"/>
          <w:szCs w:val="32"/>
          <w:lang w:val="en-US" w:eastAsia="zh-CN"/>
        </w:rPr>
        <w:t>三</w:t>
      </w:r>
      <w:r>
        <w:rPr>
          <w:rFonts w:hint="default" w:ascii="Times New Roman Regular" w:hAnsi="Times New Roman Regular" w:eastAsia="楷体" w:cs="Times New Roman Regular"/>
          <w:b/>
          <w:bCs/>
          <w:sz w:val="32"/>
          <w:szCs w:val="32"/>
          <w:lang w:val="en-US" w:eastAsia="zh-CN"/>
        </w:rPr>
        <w:t>）政</w:t>
      </w:r>
      <w:r>
        <w:rPr>
          <w:rFonts w:hint="default" w:ascii="Times New Roman Regular" w:hAnsi="Times New Roman Regular" w:eastAsia="楷体" w:cs="Times New Roman Regular"/>
          <w:b/>
          <w:bCs/>
          <w:sz w:val="32"/>
          <w:szCs w:val="32"/>
          <w:highlight w:val="none"/>
          <w:lang w:val="en-US" w:eastAsia="zh-CN"/>
        </w:rPr>
        <w:t>府采购制度建设情况</w:t>
      </w:r>
      <w:bookmarkEnd w:id="23"/>
      <w:bookmarkEnd w:id="24"/>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医疗保障局在《北塔区医疗保障局政府采购制度》中明确了政府采购相关规定</w:t>
      </w:r>
      <w:r>
        <w:rPr>
          <w:rFonts w:hint="default" w:ascii="Times New Roman Regular" w:hAnsi="Times New Roman Regular" w:eastAsia="仿宋" w:cs="Times New Roman Regular"/>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仿宋" w:cs="Times New Roman Regular"/>
          <w:b w:val="0"/>
          <w:bCs w:val="0"/>
          <w:sz w:val="32"/>
          <w:szCs w:val="32"/>
          <w:lang w:val="en-US" w:eastAsia="zh-CN"/>
        </w:rPr>
      </w:pPr>
      <w:bookmarkStart w:id="25" w:name="_Toc11580"/>
      <w:bookmarkStart w:id="26" w:name="_Toc15041"/>
      <w:r>
        <w:rPr>
          <w:rFonts w:hint="default" w:ascii="Times New Roman Regular" w:hAnsi="Times New Roman Regular" w:eastAsia="黑体" w:cs="Times New Roman Regular"/>
          <w:b/>
          <w:bCs/>
          <w:kern w:val="2"/>
          <w:sz w:val="32"/>
          <w:szCs w:val="32"/>
          <w:lang w:val="en-US" w:eastAsia="zh-CN" w:bidi="ar-SA"/>
        </w:rPr>
        <w:t>四、第三方重点绩效评价工作情况</w:t>
      </w:r>
      <w:bookmarkEnd w:id="25"/>
      <w:bookmarkEnd w:id="26"/>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仿宋" w:cs="Times New Roman Regular"/>
          <w:b w:val="0"/>
          <w:bCs w:val="0"/>
          <w:sz w:val="32"/>
          <w:szCs w:val="32"/>
          <w:lang w:val="en-US" w:eastAsia="zh-CN"/>
        </w:rPr>
      </w:pPr>
      <w:bookmarkStart w:id="27" w:name="_Toc12758"/>
      <w:bookmarkStart w:id="28" w:name="_Toc23621"/>
      <w:r>
        <w:rPr>
          <w:rFonts w:hint="default" w:ascii="Times New Roman Regular" w:hAnsi="Times New Roman Regular" w:eastAsia="楷体" w:cs="Times New Roman Regular"/>
          <w:b/>
          <w:bCs/>
          <w:sz w:val="32"/>
          <w:szCs w:val="32"/>
          <w:lang w:val="en-US" w:eastAsia="zh-CN"/>
        </w:rPr>
        <w:t>（一）重点绩效评价目的</w:t>
      </w:r>
      <w:bookmarkEnd w:id="27"/>
      <w:bookmarkEnd w:id="28"/>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通过开展第三方重点绩效评价，全面了解、分析部门</w:t>
      </w:r>
      <w:r>
        <w:rPr>
          <w:rFonts w:hint="eastAsia" w:ascii="Times New Roman Regular" w:hAnsi="Times New Roman Regular" w:eastAsia="仿宋" w:cs="Times New Roman Regular"/>
          <w:b w:val="0"/>
          <w:bCs w:val="0"/>
          <w:sz w:val="32"/>
          <w:szCs w:val="32"/>
          <w:lang w:val="en-US" w:eastAsia="zh-CN"/>
        </w:rPr>
        <w:t>整体</w:t>
      </w:r>
      <w:r>
        <w:rPr>
          <w:rFonts w:hint="default" w:ascii="Times New Roman Regular" w:hAnsi="Times New Roman Regular" w:eastAsia="仿宋" w:cs="Times New Roman Regular"/>
          <w:b w:val="0"/>
          <w:bCs w:val="0"/>
          <w:sz w:val="32"/>
          <w:szCs w:val="32"/>
          <w:lang w:val="en-US" w:eastAsia="zh-CN"/>
        </w:rPr>
        <w:t>支出情况，包括部门基本支出和项目支出。主要是部门财政支出管理情况，具体从资金的投入、过程、产出和效果四个方面进行评价。重点评价关注贯彻落实厉行节约、严控</w:t>
      </w:r>
      <w:r>
        <w:rPr>
          <w:rFonts w:hint="eastAsia" w:ascii="仿宋" w:hAnsi="仿宋" w:eastAsia="仿宋" w:cs="仿宋"/>
          <w:b w:val="0"/>
          <w:bCs w:val="0"/>
          <w:sz w:val="32"/>
          <w:szCs w:val="32"/>
          <w:lang w:val="en-US" w:eastAsia="zh-CN"/>
        </w:rPr>
        <w:t>“三公”</w:t>
      </w:r>
      <w:r>
        <w:rPr>
          <w:rFonts w:hint="default" w:ascii="Times New Roman Regular" w:hAnsi="Times New Roman Regular" w:eastAsia="仿宋" w:cs="Times New Roman Regular"/>
          <w:b w:val="0"/>
          <w:bCs w:val="0"/>
          <w:sz w:val="32"/>
          <w:szCs w:val="32"/>
          <w:lang w:val="en-US" w:eastAsia="zh-CN"/>
        </w:rPr>
        <w:t>经费、降低一般运行经费、加强项目支出管理等方面取得的成绩、存在的问题及改进措施。增强职能设置科学合理性、</w:t>
      </w:r>
      <w:r>
        <w:rPr>
          <w:rFonts w:hint="default" w:ascii="Times New Roman Regular" w:hAnsi="Times New Roman Regular" w:eastAsia="仿宋" w:cs="Times New Roman Regular"/>
          <w:b w:val="0"/>
          <w:bCs w:val="0"/>
          <w:color w:val="auto"/>
          <w:sz w:val="32"/>
          <w:szCs w:val="32"/>
          <w:lang w:val="en-US" w:eastAsia="zh-CN"/>
        </w:rPr>
        <w:t>部门中长期财政规划适应性、</w:t>
      </w:r>
      <w:r>
        <w:rPr>
          <w:rFonts w:hint="default" w:ascii="Times New Roman Regular" w:hAnsi="Times New Roman Regular" w:eastAsia="仿宋" w:cs="Times New Roman Regular"/>
          <w:b w:val="0"/>
          <w:bCs w:val="0"/>
          <w:sz w:val="32"/>
          <w:szCs w:val="32"/>
          <w:lang w:val="en-US" w:eastAsia="zh-CN"/>
        </w:rPr>
        <w:t>年度工作计划科学完整性、年度绩效目标明确性、年度部门预算计划科学性，规划部门预算执行管理、内部制度管理，切实提高部门产出及效益。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29" w:name="_Toc27861"/>
      <w:bookmarkStart w:id="30" w:name="_Toc25915"/>
      <w:r>
        <w:rPr>
          <w:rFonts w:hint="default" w:ascii="Times New Roman Regular" w:hAnsi="Times New Roman Regular" w:eastAsia="楷体" w:cs="Times New Roman Regular"/>
          <w:b/>
          <w:bCs/>
          <w:sz w:val="32"/>
          <w:szCs w:val="32"/>
          <w:lang w:val="en-US" w:eastAsia="zh-CN"/>
        </w:rPr>
        <w:t>（二）重点绩效评价工作过程</w:t>
      </w:r>
      <w:bookmarkEnd w:id="29"/>
      <w:bookmarkEnd w:id="3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参考</w:t>
      </w:r>
      <w:r>
        <w:rPr>
          <w:rFonts w:hint="eastAsia" w:ascii="仿宋_GB2312" w:hAnsi="仿宋_GB2312" w:eastAsia="仿宋_GB2312" w:cs="仿宋_GB2312"/>
          <w:sz w:val="32"/>
          <w:szCs w:val="32"/>
          <w:lang w:val="en-US" w:eastAsia="zh-CN"/>
        </w:rPr>
        <w:t>《湖南省财政厅关于印发〈湖南省预算支出绩效评价管理办法〉的通知》（湘财绩〔</w:t>
      </w:r>
      <w:r>
        <w:rPr>
          <w:rFonts w:hint="eastAsia" w:ascii="Times New Roman" w:hAnsi="Times New Roman" w:eastAsia="仿宋_GB2312" w:cs="仿宋_GB2312"/>
          <w:sz w:val="32"/>
          <w:szCs w:val="32"/>
          <w:lang w:val="en-US" w:eastAsia="zh-CN"/>
        </w:rPr>
        <w:t>2020</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7</w:t>
      </w:r>
      <w:r>
        <w:rPr>
          <w:rFonts w:hint="eastAsia" w:ascii="仿宋_GB2312" w:hAnsi="仿宋_GB2312" w:eastAsia="仿宋_GB2312" w:cs="仿宋_GB2312"/>
          <w:sz w:val="32"/>
          <w:szCs w:val="32"/>
          <w:lang w:val="en-US" w:eastAsia="zh-CN"/>
        </w:rPr>
        <w:t>号）</w:t>
      </w:r>
      <w:r>
        <w:rPr>
          <w:rFonts w:hint="default" w:ascii="Times New Roman Regular" w:hAnsi="Times New Roman Regular" w:eastAsia="仿宋" w:cs="Times New Roman Regular"/>
          <w:b w:val="0"/>
          <w:bCs w:val="0"/>
          <w:sz w:val="32"/>
          <w:szCs w:val="32"/>
          <w:lang w:val="en-US" w:eastAsia="zh-CN"/>
        </w:rPr>
        <w:t>的要求和相关政策规定，我所按下列步骤开展了绩效评价工作：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1、前期准备。专人成立重点绩效评价工作小组，明确了工作职责，制定了现场评价方案，并设计了相关表格，通过联系相关单位，确定了绩效评价的实施时间。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2、具体实施。一是收集、检查单位资料。收集单位三定方案、制度建设、资金拨付明细、预决算报表、工作计划与总结等资料；核查相关制度是否完善，专项项目申报、审批、实施、验收等程序是否合规，资金拨付手续是否齐全，是否存在截留、挪用等情况；二是进入单位实地查看。</w:t>
      </w:r>
      <w:r>
        <w:rPr>
          <w:rFonts w:hint="eastAsia" w:ascii="Times New Roman Regular" w:hAnsi="Times New Roman Regular" w:eastAsia="仿宋" w:cs="Times New Roman Regular"/>
          <w:b w:val="0"/>
          <w:bCs w:val="0"/>
          <w:sz w:val="32"/>
          <w:szCs w:val="32"/>
          <w:lang w:val="en-US" w:eastAsia="zh-CN"/>
        </w:rPr>
        <w:t>通过</w:t>
      </w:r>
      <w:r>
        <w:rPr>
          <w:rFonts w:hint="default" w:ascii="Times New Roman Regular" w:hAnsi="Times New Roman Regular" w:eastAsia="仿宋" w:cs="Times New Roman Regular"/>
          <w:b w:val="0"/>
          <w:bCs w:val="0"/>
          <w:sz w:val="32"/>
          <w:szCs w:val="32"/>
          <w:lang w:val="en-US" w:eastAsia="zh-CN"/>
        </w:rPr>
        <w:t>与相关负责人员面对面交谈、现场查看</w:t>
      </w:r>
      <w:r>
        <w:rPr>
          <w:rFonts w:hint="eastAsia" w:ascii="Times New Roman Regular" w:hAnsi="Times New Roman Regular" w:eastAsia="仿宋" w:cs="Times New Roman Regular"/>
          <w:b w:val="0"/>
          <w:bCs w:val="0"/>
          <w:sz w:val="32"/>
          <w:szCs w:val="32"/>
          <w:lang w:val="en-US" w:eastAsia="zh-CN"/>
        </w:rPr>
        <w:t>医疗保障局</w:t>
      </w:r>
      <w:r>
        <w:rPr>
          <w:rFonts w:hint="default" w:ascii="Times New Roman Regular" w:hAnsi="Times New Roman Regular" w:eastAsia="仿宋" w:cs="Times New Roman Regular"/>
          <w:b w:val="0"/>
          <w:bCs w:val="0"/>
          <w:sz w:val="32"/>
          <w:szCs w:val="32"/>
          <w:lang w:val="en-US" w:eastAsia="zh-CN"/>
        </w:rPr>
        <w:t>专项项目实施等方式，采集了相关数据，核查了资金使用、相关制度落实等情况；三是形成评价报告。通过对相关资料进行综合分析，按照确定的评价指标和标准，结合现场评价情况，得出评价结论，形成绩效评价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仿宋" w:cs="Times New Roman Regular"/>
          <w:b w:val="0"/>
          <w:bCs w:val="0"/>
          <w:sz w:val="32"/>
          <w:szCs w:val="32"/>
          <w:lang w:val="en-US" w:eastAsia="zh-CN"/>
        </w:rPr>
      </w:pPr>
      <w:bookmarkStart w:id="31" w:name="_Toc5784"/>
      <w:bookmarkStart w:id="32" w:name="_Toc7889"/>
      <w:r>
        <w:rPr>
          <w:rFonts w:hint="default" w:ascii="Times New Roman Regular" w:hAnsi="Times New Roman Regular" w:eastAsia="黑体" w:cs="Times New Roman Regular"/>
          <w:b/>
          <w:bCs/>
          <w:kern w:val="2"/>
          <w:sz w:val="32"/>
          <w:szCs w:val="32"/>
          <w:lang w:val="en-US" w:eastAsia="zh-CN" w:bidi="ar-SA"/>
        </w:rPr>
        <w:t>五、部门整体支出绩效情况</w:t>
      </w:r>
      <w:bookmarkEnd w:id="31"/>
      <w:bookmarkEnd w:id="32"/>
    </w:p>
    <w:p>
      <w:pPr>
        <w:pStyle w:val="6"/>
        <w:bidi w:val="0"/>
        <w:rPr>
          <w:rFonts w:hint="eastAsia"/>
          <w:lang w:val="en-US" w:eastAsia="zh-CN"/>
        </w:rPr>
      </w:pPr>
      <w:bookmarkStart w:id="33" w:name="_Toc12919"/>
      <w:bookmarkStart w:id="34" w:name="_Toc21733"/>
      <w:r>
        <w:rPr>
          <w:rFonts w:hint="default" w:ascii="Times New Roman Regular" w:hAnsi="Times New Roman Regular" w:eastAsia="楷体" w:cs="Times New Roman Regular"/>
          <w:b/>
          <w:bCs/>
          <w:sz w:val="32"/>
          <w:szCs w:val="32"/>
          <w:lang w:val="en-US" w:eastAsia="zh-CN"/>
        </w:rPr>
        <w:t>（一）</w:t>
      </w:r>
      <w:r>
        <w:rPr>
          <w:rFonts w:hint="default" w:ascii="Times New Roman Regular" w:hAnsi="Times New Roman Regular" w:eastAsia="楷体" w:cs="Times New Roman Regular"/>
          <w:b/>
          <w:bCs/>
          <w:sz w:val="32"/>
          <w:szCs w:val="32"/>
          <w:highlight w:val="none"/>
          <w:lang w:val="en-US" w:eastAsia="zh-CN"/>
        </w:rPr>
        <w:t>部门整体实际产出情况</w:t>
      </w:r>
      <w:bookmarkEnd w:id="33"/>
      <w:bookmarkEnd w:id="34"/>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Times New Roman Regular" w:hAnsi="Times New Roman Regular" w:eastAsia="仿宋" w:cs="Times New Roman Regular"/>
          <w:b w:val="0"/>
          <w:bCs w:val="0"/>
          <w:color w:val="auto"/>
          <w:sz w:val="32"/>
          <w:szCs w:val="32"/>
          <w:lang w:val="en-US" w:eastAsia="zh-CN"/>
        </w:rPr>
      </w:pPr>
      <w:bookmarkStart w:id="35" w:name="_Toc20708"/>
      <w:r>
        <w:rPr>
          <w:rFonts w:hint="eastAsia" w:ascii="Times New Roman Regular" w:hAnsi="Times New Roman Regular" w:eastAsia="仿宋" w:cs="Times New Roman Regular"/>
          <w:b w:val="0"/>
          <w:bCs w:val="0"/>
          <w:color w:val="auto"/>
          <w:sz w:val="32"/>
          <w:szCs w:val="32"/>
          <w:lang w:val="en-US" w:eastAsia="zh-CN"/>
        </w:rPr>
        <w:t>1、数量指标。全区医保缴费人数达到75745人。</w:t>
      </w:r>
      <w:bookmarkEnd w:id="35"/>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Times New Roman Regular" w:hAnsi="Times New Roman Regular" w:eastAsia="仿宋" w:cs="Times New Roman Regular"/>
          <w:b w:val="0"/>
          <w:bCs w:val="0"/>
          <w:color w:val="auto"/>
          <w:sz w:val="32"/>
          <w:szCs w:val="32"/>
          <w:lang w:val="en-US" w:eastAsia="zh-CN"/>
        </w:rPr>
      </w:pPr>
      <w:bookmarkStart w:id="36" w:name="_Toc22961"/>
      <w:r>
        <w:rPr>
          <w:rFonts w:hint="eastAsia" w:ascii="Times New Roman Regular" w:hAnsi="Times New Roman Regular" w:eastAsia="仿宋" w:cs="Times New Roman Regular"/>
          <w:b w:val="0"/>
          <w:bCs w:val="0"/>
          <w:color w:val="auto"/>
          <w:sz w:val="32"/>
          <w:szCs w:val="32"/>
          <w:lang w:val="en-US" w:eastAsia="zh-CN"/>
        </w:rPr>
        <w:t>2、质量指标。特殊困难人群参保率达到100%；全区统筹参保率达到100%。</w:t>
      </w:r>
      <w:bookmarkEnd w:id="36"/>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Times New Roman Regular" w:hAnsi="Times New Roman Regular" w:eastAsia="仿宋" w:cs="Times New Roman Regular"/>
          <w:b w:val="0"/>
          <w:bCs w:val="0"/>
          <w:color w:val="auto"/>
          <w:sz w:val="32"/>
          <w:szCs w:val="32"/>
          <w:lang w:val="en-US" w:eastAsia="zh-CN"/>
        </w:rPr>
      </w:pPr>
      <w:bookmarkStart w:id="37" w:name="_Toc9337"/>
      <w:r>
        <w:rPr>
          <w:rFonts w:hint="eastAsia" w:ascii="Times New Roman Regular" w:hAnsi="Times New Roman Regular" w:eastAsia="仿宋" w:cs="Times New Roman Regular"/>
          <w:b w:val="0"/>
          <w:bCs w:val="0"/>
          <w:color w:val="auto"/>
          <w:sz w:val="32"/>
          <w:szCs w:val="32"/>
          <w:lang w:val="en-US" w:eastAsia="zh-CN"/>
        </w:rPr>
        <w:t>3、时效指标。重点工作办结率，按时办结 100%。</w:t>
      </w:r>
      <w:bookmarkEnd w:id="37"/>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Times New Roman Regular" w:hAnsi="Times New Roman Regular" w:eastAsia="仿宋" w:cs="Times New Roman Regular"/>
          <w:b w:val="0"/>
          <w:bCs w:val="0"/>
          <w:color w:val="auto"/>
          <w:sz w:val="32"/>
          <w:szCs w:val="32"/>
          <w:lang w:val="en-US" w:eastAsia="zh-CN"/>
        </w:rPr>
      </w:pPr>
      <w:bookmarkStart w:id="38" w:name="_Toc8261"/>
      <w:r>
        <w:rPr>
          <w:rFonts w:hint="eastAsia" w:ascii="Times New Roman Regular" w:hAnsi="Times New Roman Regular" w:eastAsia="仿宋" w:cs="Times New Roman Regular"/>
          <w:b w:val="0"/>
          <w:bCs w:val="0"/>
          <w:color w:val="auto"/>
          <w:sz w:val="32"/>
          <w:szCs w:val="32"/>
          <w:lang w:val="en-US" w:eastAsia="zh-CN"/>
        </w:rPr>
        <w:t>4、成本指标。各项业务经费均不超出预算、超支审批。</w:t>
      </w:r>
      <w:bookmarkEnd w:id="38"/>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highlight w:val="none"/>
          <w:lang w:val="en-US" w:eastAsia="zh-CN"/>
        </w:rPr>
      </w:pPr>
      <w:bookmarkStart w:id="39" w:name="_Toc15681"/>
      <w:bookmarkStart w:id="40" w:name="_Toc13672"/>
      <w:r>
        <w:rPr>
          <w:rFonts w:hint="default" w:ascii="Times New Roman Regular" w:hAnsi="Times New Roman Regular" w:eastAsia="楷体" w:cs="Times New Roman Regular"/>
          <w:b/>
          <w:bCs/>
          <w:sz w:val="32"/>
          <w:szCs w:val="32"/>
          <w:lang w:val="en-US" w:eastAsia="zh-CN"/>
        </w:rPr>
        <w:t>（二）</w:t>
      </w:r>
      <w:r>
        <w:rPr>
          <w:rFonts w:hint="default" w:ascii="Times New Roman Regular" w:hAnsi="Times New Roman Regular" w:eastAsia="楷体" w:cs="Times New Roman Regular"/>
          <w:b/>
          <w:bCs/>
          <w:sz w:val="32"/>
          <w:szCs w:val="32"/>
          <w:highlight w:val="none"/>
          <w:lang w:val="en-US" w:eastAsia="zh-CN"/>
        </w:rPr>
        <w:t>部门整体效益情况</w:t>
      </w:r>
      <w:bookmarkEnd w:id="39"/>
      <w:bookmarkEnd w:id="4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1"/>
        <w:rPr>
          <w:rFonts w:hint="default" w:ascii="Times New Roman Regular" w:hAnsi="Times New Roman Regular" w:eastAsia="仿宋" w:cs="Times New Roman Regular"/>
          <w:b w:val="0"/>
          <w:bCs w:val="0"/>
          <w:color w:val="auto"/>
          <w:sz w:val="32"/>
          <w:szCs w:val="32"/>
          <w:lang w:val="en-US" w:eastAsia="zh-CN"/>
        </w:rPr>
      </w:pPr>
      <w:bookmarkStart w:id="41" w:name="_Toc17814"/>
      <w:r>
        <w:rPr>
          <w:rFonts w:hint="default" w:ascii="Times New Roman Regular" w:hAnsi="Times New Roman Regular" w:eastAsia="仿宋" w:cs="Times New Roman Regular"/>
          <w:b w:val="0"/>
          <w:bCs w:val="0"/>
          <w:color w:val="auto"/>
          <w:kern w:val="2"/>
          <w:sz w:val="32"/>
          <w:szCs w:val="32"/>
          <w:highlight w:val="none"/>
          <w:lang w:val="en-US" w:eastAsia="zh-CN" w:bidi="ar-SA"/>
        </w:rPr>
        <w:t>1、</w:t>
      </w:r>
      <w:r>
        <w:rPr>
          <w:rFonts w:hint="default" w:ascii="Times New Roman Regular" w:hAnsi="Times New Roman Regular" w:eastAsia="仿宋" w:cs="Times New Roman Regular"/>
          <w:b w:val="0"/>
          <w:bCs w:val="0"/>
          <w:color w:val="auto"/>
          <w:sz w:val="32"/>
          <w:szCs w:val="32"/>
          <w:lang w:val="en-US" w:eastAsia="zh-CN"/>
        </w:rPr>
        <w:t>经济效益方面。通过医保报销</w:t>
      </w:r>
      <w:r>
        <w:rPr>
          <w:rFonts w:hint="eastAsia" w:ascii="Times New Roman Regular" w:hAnsi="Times New Roman Regular" w:eastAsia="仿宋" w:cs="Times New Roman Regular"/>
          <w:b w:val="0"/>
          <w:bCs w:val="0"/>
          <w:color w:val="auto"/>
          <w:sz w:val="32"/>
          <w:szCs w:val="32"/>
          <w:lang w:val="en-US" w:eastAsia="zh-CN"/>
        </w:rPr>
        <w:t>，</w:t>
      </w:r>
      <w:r>
        <w:rPr>
          <w:rFonts w:hint="default" w:ascii="Times New Roman Regular" w:hAnsi="Times New Roman Regular" w:eastAsia="仿宋" w:cs="Times New Roman Regular"/>
          <w:b w:val="0"/>
          <w:bCs w:val="0"/>
          <w:color w:val="auto"/>
          <w:sz w:val="32"/>
          <w:szCs w:val="32"/>
          <w:lang w:val="en-US" w:eastAsia="zh-CN"/>
        </w:rPr>
        <w:t>提高</w:t>
      </w:r>
      <w:r>
        <w:rPr>
          <w:rFonts w:hint="eastAsia" w:ascii="Times New Roman Regular" w:hAnsi="Times New Roman Regular" w:eastAsia="仿宋" w:cs="Times New Roman Regular"/>
          <w:b w:val="0"/>
          <w:bCs w:val="0"/>
          <w:color w:val="auto"/>
          <w:sz w:val="32"/>
          <w:szCs w:val="32"/>
          <w:lang w:val="en-US" w:eastAsia="zh-CN"/>
        </w:rPr>
        <w:t>了</w:t>
      </w:r>
      <w:r>
        <w:rPr>
          <w:rFonts w:hint="default" w:ascii="Times New Roman Regular" w:hAnsi="Times New Roman Regular" w:eastAsia="仿宋" w:cs="Times New Roman Regular"/>
          <w:b w:val="0"/>
          <w:bCs w:val="0"/>
          <w:color w:val="auto"/>
          <w:sz w:val="32"/>
          <w:szCs w:val="32"/>
          <w:lang w:val="en-US" w:eastAsia="zh-CN"/>
        </w:rPr>
        <w:t>居民可支配收入</w:t>
      </w:r>
      <w:r>
        <w:rPr>
          <w:rFonts w:hint="eastAsia" w:ascii="Times New Roman Regular" w:hAnsi="Times New Roman Regular" w:eastAsia="仿宋" w:cs="Times New Roman Regular"/>
          <w:b w:val="0"/>
          <w:bCs w:val="0"/>
          <w:color w:val="auto"/>
          <w:sz w:val="32"/>
          <w:szCs w:val="32"/>
          <w:lang w:val="en-US" w:eastAsia="zh-CN"/>
        </w:rPr>
        <w:t>。不断健全内控管理制度，建立岗位之间相互监督制约机制。定期对内部监控制度执行情况进行自查，对基金使用情况进行各类督查检查。医保事务中心和各定点医药机构按照《“回头看”自查指南》要求开展自查自纠，共查摆出问题7条，全部整改到位，主动退回违规使用医保基金7380.94元，涉及定点医药机构27家。强化督查，建立部门联合机制，医保、卫健、市场监管等部门联动开展医保基金专项治理工作。</w:t>
      </w:r>
      <w:bookmarkEnd w:id="41"/>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1"/>
        <w:rPr>
          <w:rFonts w:hint="default" w:ascii="Times New Roman Regular" w:hAnsi="Times New Roman Regular" w:eastAsia="仿宋" w:cs="Times New Roman Regular"/>
          <w:b w:val="0"/>
          <w:bCs w:val="0"/>
          <w:color w:val="auto"/>
          <w:sz w:val="32"/>
          <w:szCs w:val="32"/>
          <w:lang w:val="en-US" w:eastAsia="zh-CN"/>
        </w:rPr>
      </w:pPr>
      <w:bookmarkStart w:id="42" w:name="_Toc10938"/>
      <w:r>
        <w:rPr>
          <w:rFonts w:hint="default" w:ascii="Times New Roman Regular" w:hAnsi="Times New Roman Regular" w:eastAsia="仿宋" w:cs="Times New Roman Regular"/>
          <w:b w:val="0"/>
          <w:bCs w:val="0"/>
          <w:color w:val="auto"/>
          <w:sz w:val="32"/>
          <w:szCs w:val="32"/>
          <w:lang w:val="en-US" w:eastAsia="zh-CN"/>
        </w:rPr>
        <w:t>2、社会效益方面</w:t>
      </w:r>
      <w:r>
        <w:rPr>
          <w:rFonts w:hint="eastAsia" w:ascii="Times New Roman Regular" w:hAnsi="Times New Roman Regular" w:eastAsia="仿宋" w:cs="Times New Roman Regular"/>
          <w:b w:val="0"/>
          <w:bCs w:val="0"/>
          <w:color w:val="auto"/>
          <w:sz w:val="32"/>
          <w:szCs w:val="32"/>
          <w:lang w:val="en-US" w:eastAsia="zh-CN"/>
        </w:rPr>
        <w:t>，</w:t>
      </w:r>
      <w:r>
        <w:rPr>
          <w:rFonts w:hint="default" w:ascii="Times New Roman Regular" w:hAnsi="Times New Roman Regular" w:eastAsia="仿宋" w:cs="Times New Roman Regular"/>
          <w:b w:val="0"/>
          <w:bCs w:val="0"/>
          <w:color w:val="auto"/>
          <w:sz w:val="32"/>
          <w:szCs w:val="32"/>
          <w:lang w:val="en-US" w:eastAsia="zh-CN"/>
        </w:rPr>
        <w:t>保障全区医保居民住院报销，</w:t>
      </w:r>
      <w:r>
        <w:rPr>
          <w:rFonts w:hint="eastAsia" w:ascii="Times New Roman Regular" w:hAnsi="Times New Roman Regular" w:eastAsia="仿宋" w:cs="Times New Roman Regular"/>
          <w:b w:val="0"/>
          <w:bCs w:val="0"/>
          <w:color w:val="auto"/>
          <w:sz w:val="32"/>
          <w:szCs w:val="32"/>
          <w:lang w:val="en-US" w:eastAsia="zh-CN"/>
        </w:rPr>
        <w:t>为居民提供</w:t>
      </w:r>
      <w:r>
        <w:rPr>
          <w:rFonts w:hint="default" w:ascii="Times New Roman Regular" w:hAnsi="Times New Roman Regular" w:eastAsia="仿宋" w:cs="Times New Roman Regular"/>
          <w:b w:val="0"/>
          <w:bCs w:val="0"/>
          <w:color w:val="auto"/>
          <w:sz w:val="32"/>
          <w:szCs w:val="32"/>
          <w:lang w:val="en-US" w:eastAsia="zh-CN"/>
        </w:rPr>
        <w:t>保障</w:t>
      </w:r>
      <w:r>
        <w:rPr>
          <w:rFonts w:hint="eastAsia" w:ascii="Times New Roman Regular" w:hAnsi="Times New Roman Regular" w:eastAsia="仿宋" w:cs="Times New Roman Regular"/>
          <w:b w:val="0"/>
          <w:bCs w:val="0"/>
          <w:color w:val="auto"/>
          <w:sz w:val="32"/>
          <w:szCs w:val="32"/>
          <w:lang w:val="en-US" w:eastAsia="zh-CN"/>
        </w:rPr>
        <w:t>；进行大病保险补偿，降低大病家庭医疗负担；对家庭困难住院对象进行救助，保障家庭困难住院对象医疗。一是认真落实医保“三重保障”。患者在定点医疗机构住院均实现了基本医保、大病保险、医疗救助三重保障的费用审核、结算等业务“一站式”结算服务。今年城乡居民住院9618人次，住院总费用9728.66万元，可报费用7772.8万元，住院补偿总金额4522.49万元，可报费用报销比例58.18%。大病保险补偿760人次，总补偿金额386.9万元。医疗救助住院对象467人次，救助金额83.67万元。二是扎实开展乡村振兴医保帮扶。延续贫困人口应保尽保政策，对特困供养人员、重度残疾人、事实无人抚养儿童等给予全额参保资助，对低保人员、乡村振兴监测人员、低保边缘户人员给予50%的参保资助，全区共资助困难群众参保4517人，资助资金94.21万元。落实分类调整医保帮扶政策，全年低保对象、特困供养人员、重度残疾人、稳定脱贫人口、乡村振兴监测对象等困难群众住院889人次，住院医疗总费用948.96万元，可报费用772.68万元，住院补偿金额590.94万元，报销比例72.6%。夯实医疗救助托底保障，救助困难群众住院310人次56.28万元、门诊996人次15.6万元。三是有序开展“两病”和特慢病工作。简化“两病”认定程序，委托定点医疗机构办理门诊特殊慢患者办理待遇认定，积极开展家庭医生签约服务送药上门工作。截至目前，城乡居民“两病”审核2191人、城乡居民特殊慢性病门诊审核1123人、城镇职工特殊慢性病门诊审核177人。</w:t>
      </w:r>
      <w:bookmarkEnd w:id="42"/>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1"/>
        <w:rPr>
          <w:rFonts w:hint="default" w:ascii="Times New Roman Regular" w:hAnsi="Times New Roman Regular" w:eastAsia="仿宋" w:cs="Times New Roman Regular"/>
          <w:b w:val="0"/>
          <w:bCs w:val="0"/>
          <w:color w:val="auto"/>
          <w:sz w:val="32"/>
          <w:szCs w:val="32"/>
          <w:lang w:val="en-US" w:eastAsia="zh-CN"/>
        </w:rPr>
      </w:pPr>
      <w:bookmarkStart w:id="43" w:name="_Toc27896"/>
      <w:r>
        <w:rPr>
          <w:rFonts w:hint="default" w:ascii="Times New Roman Regular" w:hAnsi="Times New Roman Regular" w:eastAsia="仿宋" w:cs="Times New Roman Regular"/>
          <w:b w:val="0"/>
          <w:bCs w:val="0"/>
          <w:color w:val="auto"/>
          <w:sz w:val="32"/>
          <w:szCs w:val="32"/>
          <w:lang w:val="en-US" w:eastAsia="zh-CN"/>
        </w:rPr>
        <w:t>3、生态效益方面</w:t>
      </w:r>
      <w:r>
        <w:rPr>
          <w:rFonts w:hint="eastAsia" w:ascii="Times New Roman Regular" w:hAnsi="Times New Roman Regular" w:eastAsia="仿宋" w:cs="Times New Roman Regular"/>
          <w:b w:val="0"/>
          <w:bCs w:val="0"/>
          <w:color w:val="auto"/>
          <w:sz w:val="32"/>
          <w:szCs w:val="32"/>
          <w:lang w:val="en-US" w:eastAsia="zh-CN"/>
        </w:rPr>
        <w:t>，</w:t>
      </w:r>
      <w:r>
        <w:rPr>
          <w:rFonts w:hint="default" w:ascii="Times New Roman Regular" w:hAnsi="Times New Roman Regular" w:eastAsia="仿宋" w:cs="Times New Roman Regular"/>
          <w:b w:val="0"/>
          <w:bCs w:val="0"/>
          <w:color w:val="auto"/>
          <w:sz w:val="32"/>
          <w:szCs w:val="32"/>
          <w:lang w:val="en-US" w:eastAsia="zh-CN"/>
        </w:rPr>
        <w:t>城区环境卫生显著提高，生态环境有了显著提高。</w:t>
      </w:r>
      <w:bookmarkEnd w:id="43"/>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Times New Roman Regular" w:hAnsi="Times New Roman Regular" w:eastAsia="仿宋" w:cs="Times New Roman Regular"/>
          <w:b w:val="0"/>
          <w:bCs w:val="0"/>
          <w:color w:val="auto"/>
          <w:sz w:val="32"/>
          <w:szCs w:val="32"/>
          <w:lang w:val="en-US" w:eastAsia="zh-CN"/>
        </w:rPr>
      </w:pPr>
      <w:bookmarkStart w:id="44" w:name="_Toc31024"/>
      <w:r>
        <w:rPr>
          <w:rFonts w:hint="default" w:ascii="Times New Roman Regular" w:hAnsi="Times New Roman Regular" w:eastAsia="仿宋" w:cs="Times New Roman Regular"/>
          <w:b w:val="0"/>
          <w:bCs w:val="0"/>
          <w:color w:val="auto"/>
          <w:sz w:val="32"/>
          <w:szCs w:val="32"/>
          <w:lang w:val="en-US" w:eastAsia="zh-CN"/>
        </w:rPr>
        <w:t>4、可持续发展方面</w:t>
      </w:r>
      <w:r>
        <w:rPr>
          <w:rFonts w:hint="eastAsia" w:ascii="Times New Roman Regular" w:hAnsi="Times New Roman Regular" w:eastAsia="仿宋" w:cs="Times New Roman Regular"/>
          <w:b w:val="0"/>
          <w:bCs w:val="0"/>
          <w:color w:val="auto"/>
          <w:sz w:val="32"/>
          <w:szCs w:val="32"/>
          <w:lang w:val="en-US" w:eastAsia="zh-CN"/>
        </w:rPr>
        <w:t>，</w:t>
      </w:r>
      <w:r>
        <w:rPr>
          <w:rFonts w:hint="default" w:ascii="Times New Roman Regular" w:hAnsi="Times New Roman Regular" w:eastAsia="仿宋" w:cs="Times New Roman Regular"/>
          <w:b w:val="0"/>
          <w:bCs w:val="0"/>
          <w:color w:val="auto"/>
          <w:sz w:val="32"/>
          <w:szCs w:val="32"/>
          <w:lang w:val="en-US" w:eastAsia="zh-CN"/>
        </w:rPr>
        <w:t>加强文明建设</w:t>
      </w:r>
      <w:r>
        <w:rPr>
          <w:rFonts w:hint="eastAsia" w:ascii="Times New Roman Regular" w:hAnsi="Times New Roman Regular" w:eastAsia="仿宋" w:cs="Times New Roman Regular"/>
          <w:b w:val="0"/>
          <w:bCs w:val="0"/>
          <w:color w:val="auto"/>
          <w:sz w:val="32"/>
          <w:szCs w:val="32"/>
          <w:lang w:val="en-US" w:eastAsia="zh-CN"/>
        </w:rPr>
        <w:t>，</w:t>
      </w:r>
      <w:r>
        <w:rPr>
          <w:rFonts w:hint="default" w:ascii="Times New Roman Regular" w:hAnsi="Times New Roman Regular" w:eastAsia="仿宋" w:cs="Times New Roman Regular"/>
          <w:b w:val="0"/>
          <w:bCs w:val="0"/>
          <w:color w:val="auto"/>
          <w:sz w:val="32"/>
          <w:szCs w:val="32"/>
          <w:lang w:val="en-US" w:eastAsia="zh-CN"/>
        </w:rPr>
        <w:t>民众思想文化素养提高，文明环境持续加</w:t>
      </w:r>
      <w:r>
        <w:rPr>
          <w:rFonts w:hint="eastAsia" w:ascii="Times New Roman Regular" w:hAnsi="Times New Roman Regular" w:eastAsia="仿宋" w:cs="Times New Roman Regular"/>
          <w:b w:val="0"/>
          <w:bCs w:val="0"/>
          <w:color w:val="auto"/>
          <w:sz w:val="32"/>
          <w:szCs w:val="32"/>
          <w:lang w:val="en-US" w:eastAsia="zh-CN"/>
        </w:rPr>
        <w:t>强</w:t>
      </w:r>
      <w:r>
        <w:rPr>
          <w:rFonts w:hint="default" w:ascii="Times New Roman Regular" w:hAnsi="Times New Roman Regular" w:eastAsia="仿宋" w:cs="Times New Roman Regular"/>
          <w:b w:val="0"/>
          <w:bCs w:val="0"/>
          <w:color w:val="auto"/>
          <w:sz w:val="32"/>
          <w:szCs w:val="32"/>
          <w:lang w:val="en-US" w:eastAsia="zh-CN"/>
        </w:rPr>
        <w:t>。注重抓实党建引领</w:t>
      </w:r>
      <w:r>
        <w:rPr>
          <w:rFonts w:hint="eastAsia" w:ascii="Times New Roman Regular" w:hAnsi="Times New Roman Regular" w:eastAsia="仿宋" w:cs="Times New Roman Regular"/>
          <w:b w:val="0"/>
          <w:bCs w:val="0"/>
          <w:color w:val="auto"/>
          <w:sz w:val="32"/>
          <w:szCs w:val="32"/>
          <w:lang w:val="en-US" w:eastAsia="zh-CN"/>
        </w:rPr>
        <w:t>，通过组建学习中心组、充分利用学习强国平台、召开了党史学习教育专题会议等多种形式，深入学习习近平新时代中国特色社会主义思想、七一重要讲话精神、《习近平谈治国》第四卷、《让群众过上好日子》《闽山闽水物华新》以及关于医保工作的重要批示和指示精神等内容，贯彻党的二十大精神，落实党组全面从严治党主体责任、意识形态工作责任制，制定出台“三清单一措施”，推进单位“清廉单元”建设，着力打造清廉医保。</w:t>
      </w:r>
      <w:bookmarkEnd w:id="44"/>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仿宋" w:cs="Times New Roman Regular"/>
          <w:b w:val="0"/>
          <w:bCs w:val="0"/>
          <w:sz w:val="32"/>
          <w:szCs w:val="32"/>
          <w:lang w:val="en-US" w:eastAsia="zh-CN"/>
        </w:rPr>
      </w:pPr>
      <w:bookmarkStart w:id="45" w:name="_Toc9179"/>
      <w:bookmarkStart w:id="46" w:name="_Toc21374"/>
      <w:r>
        <w:rPr>
          <w:rFonts w:hint="default" w:ascii="Times New Roman Regular" w:hAnsi="Times New Roman Regular" w:eastAsia="楷体" w:cs="Times New Roman Regular"/>
          <w:b/>
          <w:bCs/>
          <w:sz w:val="32"/>
          <w:szCs w:val="32"/>
          <w:lang w:val="en-US" w:eastAsia="zh-CN"/>
        </w:rPr>
        <w:t>（三）部门整体满意度</w:t>
      </w:r>
      <w:bookmarkEnd w:id="45"/>
      <w:bookmarkEnd w:id="46"/>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color w:val="000000"/>
          <w:sz w:val="32"/>
          <w:szCs w:val="32"/>
          <w:lang w:val="en-US" w:eastAsia="zh-CN"/>
        </w:rPr>
      </w:pPr>
      <w:r>
        <w:rPr>
          <w:rFonts w:hint="default" w:ascii="Times New Roman Regular" w:hAnsi="Times New Roman Regular" w:eastAsia="仿宋" w:cs="Times New Roman Regular"/>
          <w:b w:val="0"/>
          <w:bCs w:val="0"/>
          <w:sz w:val="32"/>
          <w:szCs w:val="32"/>
          <w:lang w:val="en-US" w:eastAsia="zh-CN"/>
        </w:rPr>
        <w:t>绩效评价小组针对</w:t>
      </w:r>
      <w:r>
        <w:rPr>
          <w:rFonts w:hint="eastAsia" w:ascii="Times New Roman Regular" w:hAnsi="Times New Roman Regular" w:eastAsia="仿宋" w:cs="Times New Roman Regular"/>
          <w:b w:val="0"/>
          <w:bCs w:val="0"/>
          <w:sz w:val="32"/>
          <w:szCs w:val="32"/>
          <w:lang w:val="en-US" w:eastAsia="zh-CN"/>
        </w:rPr>
        <w:t>医疗保障局</w:t>
      </w:r>
      <w:r>
        <w:rPr>
          <w:rFonts w:hint="default" w:ascii="Times New Roman Regular" w:hAnsi="Times New Roman Regular" w:eastAsia="仿宋" w:cs="Times New Roman Regular"/>
          <w:b w:val="0"/>
          <w:bCs w:val="0"/>
          <w:sz w:val="32"/>
          <w:szCs w:val="32"/>
          <w:lang w:val="en-US" w:eastAsia="zh-CN"/>
        </w:rPr>
        <w:t>整体情况通过</w:t>
      </w:r>
      <w:r>
        <w:rPr>
          <w:rFonts w:hint="eastAsia" w:ascii="Times New Roman Regular" w:hAnsi="Times New Roman Regular" w:eastAsia="仿宋" w:cs="Times New Roman Regular"/>
          <w:b w:val="0"/>
          <w:bCs w:val="0"/>
          <w:sz w:val="32"/>
          <w:szCs w:val="32"/>
          <w:lang w:val="en-US" w:eastAsia="zh-CN"/>
        </w:rPr>
        <w:t>电子问卷向单位职工</w:t>
      </w:r>
      <w:r>
        <w:rPr>
          <w:rFonts w:hint="default" w:ascii="Times New Roman Regular" w:hAnsi="Times New Roman Regular" w:eastAsia="仿宋" w:cs="Times New Roman Regular"/>
          <w:b w:val="0"/>
          <w:bCs w:val="0"/>
          <w:sz w:val="32"/>
          <w:szCs w:val="32"/>
          <w:lang w:val="en-US" w:eastAsia="zh-CN"/>
        </w:rPr>
        <w:t>、</w:t>
      </w:r>
      <w:r>
        <w:rPr>
          <w:rFonts w:hint="eastAsia" w:ascii="Times New Roman Regular" w:hAnsi="Times New Roman Regular" w:eastAsia="仿宋" w:cs="Times New Roman Regular"/>
          <w:b w:val="0"/>
          <w:bCs w:val="0"/>
          <w:sz w:val="32"/>
          <w:szCs w:val="32"/>
          <w:lang w:val="en-US" w:eastAsia="zh-CN"/>
        </w:rPr>
        <w:t>相关受益群体</w:t>
      </w:r>
      <w:r>
        <w:rPr>
          <w:rFonts w:hint="default" w:ascii="Times New Roman Regular" w:hAnsi="Times New Roman Regular" w:eastAsia="仿宋" w:cs="Times New Roman Regular"/>
          <w:b w:val="0"/>
          <w:bCs w:val="0"/>
          <w:sz w:val="32"/>
          <w:szCs w:val="32"/>
          <w:lang w:val="en-US" w:eastAsia="zh-CN"/>
        </w:rPr>
        <w:t>发放问卷进行满意度调查，共收集有效问</w:t>
      </w:r>
      <w:r>
        <w:rPr>
          <w:rFonts w:hint="default" w:ascii="Times New Roman Regular" w:hAnsi="Times New Roman Regular" w:eastAsia="仿宋" w:cs="Times New Roman Regular"/>
          <w:b w:val="0"/>
          <w:bCs w:val="0"/>
          <w:color w:val="000000"/>
          <w:sz w:val="32"/>
          <w:szCs w:val="32"/>
          <w:lang w:val="en-US" w:eastAsia="zh-CN"/>
        </w:rPr>
        <w:t>卷</w:t>
      </w:r>
      <w:r>
        <w:rPr>
          <w:rFonts w:hint="default" w:ascii="Times New Roman Regular" w:hAnsi="Times New Roman Regular" w:eastAsia="仿宋" w:cs="Times New Roman Regular"/>
          <w:b w:val="0"/>
          <w:bCs w:val="0"/>
          <w:color w:val="000000"/>
          <w:sz w:val="32"/>
          <w:szCs w:val="32"/>
          <w:lang w:eastAsia="zh-CN"/>
        </w:rPr>
        <w:t>23</w:t>
      </w:r>
      <w:r>
        <w:rPr>
          <w:rFonts w:hint="default" w:ascii="Times New Roman Regular" w:hAnsi="Times New Roman Regular" w:eastAsia="仿宋" w:cs="Times New Roman Regular"/>
          <w:b w:val="0"/>
          <w:bCs w:val="0"/>
          <w:color w:val="000000"/>
          <w:sz w:val="32"/>
          <w:szCs w:val="32"/>
          <w:lang w:val="en-US" w:eastAsia="zh-CN"/>
        </w:rPr>
        <w:t>份。经统计，2022年</w:t>
      </w:r>
      <w:r>
        <w:rPr>
          <w:rFonts w:hint="eastAsia" w:ascii="Times New Roman Regular" w:hAnsi="Times New Roman Regular" w:eastAsia="仿宋" w:cs="Times New Roman Regular"/>
          <w:b w:val="0"/>
          <w:bCs w:val="0"/>
          <w:color w:val="000000"/>
          <w:sz w:val="32"/>
          <w:szCs w:val="32"/>
          <w:lang w:val="en-US" w:eastAsia="zh-CN"/>
        </w:rPr>
        <w:t>医疗保障局</w:t>
      </w:r>
      <w:r>
        <w:rPr>
          <w:rFonts w:hint="default" w:ascii="Times New Roman Regular" w:hAnsi="Times New Roman Regular" w:eastAsia="仿宋" w:cs="Times New Roman Regular"/>
          <w:b w:val="0"/>
          <w:bCs w:val="0"/>
          <w:color w:val="000000"/>
          <w:sz w:val="32"/>
          <w:szCs w:val="32"/>
          <w:lang w:val="en-US" w:eastAsia="zh-CN"/>
        </w:rPr>
        <w:t>整体满意度为</w:t>
      </w:r>
      <w:r>
        <w:rPr>
          <w:rFonts w:hint="eastAsia" w:ascii="Times New Roman Regular" w:hAnsi="Times New Roman Regular" w:eastAsia="仿宋" w:cs="Times New Roman Regular"/>
          <w:b w:val="0"/>
          <w:bCs w:val="0"/>
          <w:color w:val="000000"/>
          <w:sz w:val="32"/>
          <w:szCs w:val="32"/>
          <w:lang w:val="en-US" w:eastAsia="zh-CN"/>
        </w:rPr>
        <w:t>100</w:t>
      </w:r>
      <w:r>
        <w:rPr>
          <w:rFonts w:hint="default" w:ascii="Times New Roman Regular" w:hAnsi="Times New Roman Regular" w:eastAsia="仿宋" w:cs="Times New Roman Regular"/>
          <w:b w:val="0"/>
          <w:bCs w:val="0"/>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黑体" w:cs="Times New Roman Regular"/>
          <w:b/>
          <w:bCs/>
          <w:kern w:val="2"/>
          <w:sz w:val="32"/>
          <w:szCs w:val="32"/>
          <w:lang w:val="en-US" w:eastAsia="zh-CN" w:bidi="ar-SA"/>
        </w:rPr>
      </w:pPr>
      <w:bookmarkStart w:id="47" w:name="_Toc7506"/>
      <w:bookmarkStart w:id="48" w:name="_Toc12488"/>
      <w:r>
        <w:rPr>
          <w:rFonts w:hint="default" w:ascii="Times New Roman Regular" w:hAnsi="Times New Roman Regular" w:eastAsia="黑体" w:cs="Times New Roman Regular"/>
          <w:b/>
          <w:bCs/>
          <w:kern w:val="2"/>
          <w:sz w:val="32"/>
          <w:szCs w:val="32"/>
          <w:lang w:val="en-US" w:eastAsia="zh-CN" w:bidi="ar-SA"/>
        </w:rPr>
        <w:t>六、综合评价情况及评价结论</w:t>
      </w:r>
      <w:bookmarkEnd w:id="47"/>
      <w:bookmarkEnd w:id="48"/>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根据资金绩效评价指标体系和绩效检查情况，</w:t>
      </w:r>
      <w:r>
        <w:rPr>
          <w:rFonts w:hint="eastAsia" w:ascii="Times New Roman Regular" w:hAnsi="Times New Roman Regular" w:eastAsia="仿宋" w:cs="Times New Roman Regular"/>
          <w:b w:val="0"/>
          <w:bCs w:val="0"/>
          <w:sz w:val="32"/>
          <w:szCs w:val="32"/>
          <w:lang w:val="en-US" w:eastAsia="zh-CN"/>
        </w:rPr>
        <w:t>医疗保障局</w:t>
      </w:r>
      <w:r>
        <w:rPr>
          <w:rFonts w:hint="default" w:ascii="Times New Roman Regular" w:hAnsi="Times New Roman Regular" w:eastAsia="仿宋" w:cs="Times New Roman Regular"/>
          <w:b w:val="0"/>
          <w:bCs w:val="0"/>
          <w:sz w:val="32"/>
          <w:szCs w:val="32"/>
          <w:lang w:val="en-US" w:eastAsia="zh-CN"/>
        </w:rPr>
        <w:t>2022年度部门整体支出重点绩效评价分值100分，从部门决策、部门预算、内部制度管理、部门产出、部门效益等方面总体评价，实得</w:t>
      </w:r>
      <w:r>
        <w:rPr>
          <w:rFonts w:hint="default" w:ascii="Times New Roman Regular" w:hAnsi="Times New Roman Regular" w:eastAsia="仿宋" w:cs="Times New Roman Regular"/>
          <w:b w:val="0"/>
          <w:bCs w:val="0"/>
          <w:sz w:val="32"/>
          <w:szCs w:val="32"/>
          <w:lang w:eastAsia="zh-CN"/>
        </w:rPr>
        <w:t>9</w:t>
      </w:r>
      <w:r>
        <w:rPr>
          <w:rFonts w:hint="eastAsia" w:ascii="Times New Roman Regular" w:hAnsi="Times New Roman Regular" w:eastAsia="仿宋" w:cs="Times New Roman Regular"/>
          <w:b w:val="0"/>
          <w:bCs w:val="0"/>
          <w:sz w:val="32"/>
          <w:szCs w:val="32"/>
          <w:lang w:val="en-US" w:eastAsia="zh-CN"/>
        </w:rPr>
        <w:t>5.00</w:t>
      </w:r>
      <w:r>
        <w:rPr>
          <w:rFonts w:hint="default" w:ascii="Times New Roman Regular" w:hAnsi="Times New Roman Regular" w:eastAsia="仿宋" w:cs="Times New Roman Regular"/>
          <w:b w:val="0"/>
          <w:bCs w:val="0"/>
          <w:sz w:val="32"/>
          <w:szCs w:val="32"/>
          <w:lang w:val="en-US" w:eastAsia="zh-CN"/>
        </w:rPr>
        <w:t>分，被评为</w:t>
      </w:r>
      <w:r>
        <w:rPr>
          <w:rFonts w:hint="eastAsia" w:ascii="仿宋" w:hAnsi="仿宋" w:eastAsia="仿宋" w:cs="仿宋"/>
          <w:b w:val="0"/>
          <w:bCs w:val="0"/>
          <w:sz w:val="32"/>
          <w:szCs w:val="32"/>
          <w:lang w:val="en-US" w:eastAsia="zh-CN"/>
        </w:rPr>
        <w:t>“优”等级（详见附件）</w:t>
      </w:r>
      <w:r>
        <w:rPr>
          <w:rFonts w:hint="default" w:ascii="Times New Roman Regular" w:hAnsi="Times New Roman Regular" w:eastAsia="仿宋" w:cs="Times New Roman Regular"/>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仿宋" w:cs="Times New Roman Regular"/>
          <w:b w:val="0"/>
          <w:bCs w:val="0"/>
          <w:sz w:val="32"/>
          <w:szCs w:val="32"/>
          <w:highlight w:val="none"/>
          <w:lang w:val="en-US" w:eastAsia="zh-CN"/>
        </w:rPr>
      </w:pPr>
      <w:bookmarkStart w:id="49" w:name="_Toc20026"/>
      <w:bookmarkStart w:id="50" w:name="_Toc4731"/>
      <w:r>
        <w:rPr>
          <w:rFonts w:hint="default" w:ascii="Times New Roman Regular" w:hAnsi="Times New Roman Regular" w:eastAsia="黑体" w:cs="Times New Roman Regular"/>
          <w:b/>
          <w:bCs/>
          <w:kern w:val="2"/>
          <w:sz w:val="32"/>
          <w:szCs w:val="32"/>
          <w:highlight w:val="none"/>
          <w:lang w:val="en-US" w:eastAsia="zh-CN" w:bidi="ar-SA"/>
        </w:rPr>
        <w:t>七、存在的主要问题</w:t>
      </w:r>
      <w:bookmarkEnd w:id="49"/>
      <w:bookmarkEnd w:id="5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51" w:name="_Toc17587"/>
      <w:bookmarkStart w:id="52" w:name="_Toc23743"/>
      <w:r>
        <w:rPr>
          <w:rFonts w:hint="eastAsia" w:ascii="Times New Roman Regular" w:hAnsi="Times New Roman Regular" w:eastAsia="楷体" w:cs="Times New Roman Regular"/>
          <w:b/>
          <w:bCs/>
          <w:sz w:val="32"/>
          <w:szCs w:val="32"/>
          <w:lang w:val="en-US" w:eastAsia="zh-CN"/>
        </w:rPr>
        <w:t>（一）政府采购方面</w:t>
      </w:r>
      <w:bookmarkEnd w:id="51"/>
    </w:p>
    <w:bookmarkEnd w:id="52"/>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1"/>
        <w:rPr>
          <w:rFonts w:hint="default" w:ascii="Times New Roman Regular" w:hAnsi="Times New Roman Regular" w:eastAsia="仿宋" w:cs="Times New Roman Regular"/>
          <w:b w:val="0"/>
          <w:bCs w:val="0"/>
          <w:sz w:val="32"/>
          <w:szCs w:val="32"/>
          <w:lang w:val="en-US" w:eastAsia="zh-CN"/>
        </w:rPr>
      </w:pPr>
      <w:bookmarkStart w:id="53" w:name="_Toc31043"/>
      <w:r>
        <w:rPr>
          <w:rFonts w:hint="eastAsia" w:ascii="Times New Roman Regular" w:hAnsi="Times New Roman Regular" w:eastAsia="仿宋" w:cs="Times New Roman Regular"/>
          <w:b w:val="0"/>
          <w:bCs w:val="0"/>
          <w:sz w:val="32"/>
          <w:szCs w:val="32"/>
          <w:lang w:val="en-US" w:eastAsia="zh-CN"/>
        </w:rPr>
        <w:t>政府采购预算编制不合理。经查看医疗保障局2022年度预算公开说明和报表，单位2022年度政府采购预算总额1.0万元，采购品目为其他印刷品。经查看2022年度决算公开说明，政府采购支出总额6.74万元，其中：政府采购货物支出6.74万元。</w:t>
      </w:r>
      <w:bookmarkEnd w:id="53"/>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54" w:name="_Toc7224"/>
      <w:bookmarkStart w:id="55" w:name="_Toc21027"/>
      <w:r>
        <w:rPr>
          <w:rFonts w:hint="default" w:ascii="Times New Roman Regular" w:hAnsi="Times New Roman Regular" w:eastAsia="楷体" w:cs="Times New Roman Regular"/>
          <w:b/>
          <w:bCs/>
          <w:sz w:val="32"/>
          <w:szCs w:val="32"/>
          <w:lang w:val="en-US" w:eastAsia="zh-CN"/>
        </w:rPr>
        <w:t>（</w:t>
      </w:r>
      <w:r>
        <w:rPr>
          <w:rFonts w:hint="eastAsia" w:ascii="Times New Roman Regular" w:hAnsi="Times New Roman Regular" w:eastAsia="楷体" w:cs="Times New Roman Regular"/>
          <w:b/>
          <w:bCs/>
          <w:sz w:val="32"/>
          <w:szCs w:val="32"/>
          <w:lang w:val="en-US" w:eastAsia="zh-CN"/>
        </w:rPr>
        <w:t>二</w:t>
      </w:r>
      <w:r>
        <w:rPr>
          <w:rFonts w:hint="default" w:ascii="Times New Roman Regular" w:hAnsi="Times New Roman Regular" w:eastAsia="楷体" w:cs="Times New Roman Regular"/>
          <w:b/>
          <w:bCs/>
          <w:sz w:val="32"/>
          <w:szCs w:val="32"/>
          <w:lang w:val="en-US" w:eastAsia="zh-CN"/>
        </w:rPr>
        <w:t>）</w:t>
      </w:r>
      <w:bookmarkEnd w:id="54"/>
      <w:bookmarkStart w:id="56" w:name="_Toc19409"/>
      <w:bookmarkStart w:id="57" w:name="_Toc14824"/>
      <w:r>
        <w:rPr>
          <w:rFonts w:hint="eastAsia" w:ascii="Times New Roman Regular" w:hAnsi="Times New Roman Regular" w:eastAsia="楷体" w:cs="Times New Roman Regular"/>
          <w:b/>
          <w:bCs/>
          <w:sz w:val="32"/>
          <w:szCs w:val="32"/>
          <w:lang w:val="en-US" w:eastAsia="zh-CN"/>
        </w:rPr>
        <w:t>资产管理</w:t>
      </w:r>
      <w:bookmarkEnd w:id="56"/>
      <w:r>
        <w:rPr>
          <w:rFonts w:hint="eastAsia" w:ascii="Times New Roman Regular" w:hAnsi="Times New Roman Regular" w:eastAsia="楷体" w:cs="Times New Roman Regular"/>
          <w:b/>
          <w:bCs/>
          <w:sz w:val="32"/>
          <w:szCs w:val="32"/>
          <w:lang w:val="en-US" w:eastAsia="zh-CN"/>
        </w:rPr>
        <w:t>方面</w:t>
      </w:r>
      <w:bookmarkEnd w:id="55"/>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0"/>
        <w:rPr>
          <w:rFonts w:hint="eastAsia" w:ascii="Times New Roman Regular" w:hAnsi="Times New Roman Regular" w:eastAsia="仿宋" w:cs="Times New Roman Regular"/>
          <w:b w:val="0"/>
          <w:bCs w:val="0"/>
          <w:sz w:val="32"/>
          <w:szCs w:val="32"/>
          <w:lang w:val="en-US" w:eastAsia="zh-CN"/>
        </w:rPr>
      </w:pPr>
      <w:bookmarkStart w:id="58" w:name="_Toc31236"/>
      <w:r>
        <w:rPr>
          <w:rFonts w:hint="eastAsia" w:ascii="Times New Roman Regular" w:hAnsi="Times New Roman Regular" w:eastAsia="仿宋" w:cs="Times New Roman Regular"/>
          <w:b w:val="0"/>
          <w:bCs w:val="0"/>
          <w:sz w:val="32"/>
          <w:szCs w:val="32"/>
          <w:lang w:val="en-US" w:eastAsia="zh-CN"/>
        </w:rPr>
        <w:t>存在资产管理不规范的情况。经现场检查单位资产，一是资产均未贴标，且大部分资产在资产卡片列表中未写明资产存放位置，不利于单位资产管理。</w:t>
      </w:r>
      <w:bookmarkEnd w:id="58"/>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仿宋" w:cs="Times New Roman Regular"/>
          <w:b w:val="0"/>
          <w:bCs w:val="0"/>
          <w:sz w:val="32"/>
          <w:szCs w:val="32"/>
          <w:highlight w:val="yellow"/>
          <w:lang w:val="en-US" w:eastAsia="zh-CN"/>
        </w:rPr>
      </w:pPr>
      <w:bookmarkStart w:id="59" w:name="_Toc26705"/>
      <w:r>
        <w:rPr>
          <w:rFonts w:hint="default" w:ascii="Times New Roman Regular" w:hAnsi="Times New Roman Regular" w:eastAsia="黑体" w:cs="Times New Roman Regular"/>
          <w:b/>
          <w:bCs/>
          <w:kern w:val="2"/>
          <w:sz w:val="32"/>
          <w:szCs w:val="32"/>
          <w:lang w:val="en-US" w:eastAsia="zh-CN" w:bidi="ar-SA"/>
        </w:rPr>
        <w:t>八</w:t>
      </w:r>
      <w:r>
        <w:rPr>
          <w:rFonts w:hint="default" w:ascii="Times New Roman Regular" w:hAnsi="Times New Roman Regular" w:eastAsia="黑体" w:cs="Times New Roman Regular"/>
          <w:b/>
          <w:bCs/>
          <w:kern w:val="2"/>
          <w:sz w:val="32"/>
          <w:szCs w:val="32"/>
          <w:highlight w:val="none"/>
          <w:lang w:val="en-US" w:eastAsia="zh-CN" w:bidi="ar-SA"/>
        </w:rPr>
        <w:t>、相关建议</w:t>
      </w:r>
      <w:bookmarkEnd w:id="57"/>
      <w:bookmarkEnd w:id="59"/>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60" w:name="_Toc25649"/>
      <w:bookmarkStart w:id="61" w:name="_Toc13883"/>
      <w:r>
        <w:rPr>
          <w:rFonts w:hint="eastAsia" w:ascii="Times New Roman Regular" w:hAnsi="Times New Roman Regular" w:eastAsia="楷体" w:cs="Times New Roman Regular"/>
          <w:b/>
          <w:bCs/>
          <w:sz w:val="32"/>
          <w:szCs w:val="32"/>
          <w:lang w:val="en-US" w:eastAsia="zh-CN"/>
        </w:rPr>
        <w:t>（一）</w:t>
      </w:r>
      <w:bookmarkEnd w:id="60"/>
      <w:bookmarkStart w:id="62" w:name="_Toc1567"/>
      <w:r>
        <w:rPr>
          <w:rFonts w:hint="default" w:ascii="Times New Roman Regular" w:hAnsi="Times New Roman Regular" w:eastAsia="楷体" w:cs="Times New Roman Regular"/>
          <w:b/>
          <w:bCs/>
          <w:sz w:val="32"/>
          <w:szCs w:val="32"/>
          <w:lang w:val="en-US" w:eastAsia="zh-CN"/>
        </w:rPr>
        <w:t>加强政府采购管理</w:t>
      </w:r>
      <w:bookmarkEnd w:id="61"/>
      <w:bookmarkEnd w:id="62"/>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一是强化政府采购预算管理，从预算编制入手，细化采购项目预算的编制工作</w:t>
      </w:r>
      <w:r>
        <w:rPr>
          <w:rFonts w:hint="eastAsia" w:ascii="Times New Roman Regular" w:hAnsi="Times New Roman Regular" w:eastAsia="仿宋" w:cs="Times New Roman Regular"/>
          <w:b w:val="0"/>
          <w:bCs w:val="0"/>
          <w:sz w:val="32"/>
          <w:szCs w:val="32"/>
          <w:lang w:val="en-US" w:eastAsia="zh-CN"/>
        </w:rPr>
        <w:t>；</w:t>
      </w:r>
      <w:r>
        <w:rPr>
          <w:rFonts w:hint="default" w:ascii="Times New Roman Regular" w:hAnsi="Times New Roman Regular" w:eastAsia="仿宋" w:cs="Times New Roman Regular"/>
          <w:b w:val="0"/>
          <w:bCs w:val="0"/>
          <w:sz w:val="32"/>
          <w:szCs w:val="32"/>
          <w:lang w:val="en-US" w:eastAsia="zh-CN"/>
        </w:rPr>
        <w:t>二是</w:t>
      </w:r>
      <w:r>
        <w:rPr>
          <w:rFonts w:hint="eastAsia" w:ascii="Times New Roman Regular" w:hAnsi="Times New Roman Regular" w:eastAsia="仿宋" w:cs="Times New Roman Regular"/>
          <w:b w:val="0"/>
          <w:bCs w:val="0"/>
          <w:sz w:val="32"/>
          <w:szCs w:val="32"/>
          <w:lang w:val="en-US" w:eastAsia="zh-CN"/>
        </w:rPr>
        <w:t>加强政府采购的制度建设，</w:t>
      </w:r>
      <w:r>
        <w:rPr>
          <w:rFonts w:hint="default" w:ascii="Times New Roman Regular" w:hAnsi="Times New Roman Regular" w:eastAsia="仿宋" w:cs="Times New Roman Regular"/>
          <w:b w:val="0"/>
          <w:bCs w:val="0"/>
          <w:sz w:val="32"/>
          <w:szCs w:val="32"/>
          <w:lang w:val="en-US" w:eastAsia="zh-CN"/>
        </w:rPr>
        <w:t>增强政府采购预算的刚性约束，严格按预算执行政府采购支出。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63" w:name="_Toc679"/>
      <w:bookmarkStart w:id="64" w:name="_Toc606"/>
      <w:r>
        <w:rPr>
          <w:rFonts w:hint="default" w:ascii="Times New Roman Regular" w:hAnsi="Times New Roman Regular" w:eastAsia="楷体" w:cs="Times New Roman Regular"/>
          <w:b/>
          <w:bCs/>
          <w:sz w:val="32"/>
          <w:szCs w:val="32"/>
          <w:lang w:val="en-US" w:eastAsia="zh-CN"/>
        </w:rPr>
        <w:t>（</w:t>
      </w:r>
      <w:r>
        <w:rPr>
          <w:rFonts w:hint="eastAsia" w:ascii="Times New Roman Regular" w:hAnsi="Times New Roman Regular" w:eastAsia="楷体" w:cs="Times New Roman Regular"/>
          <w:b/>
          <w:bCs/>
          <w:sz w:val="32"/>
          <w:szCs w:val="32"/>
          <w:lang w:val="en-US" w:eastAsia="zh-CN"/>
        </w:rPr>
        <w:t>二</w:t>
      </w:r>
      <w:r>
        <w:rPr>
          <w:rFonts w:hint="default" w:ascii="Times New Roman Regular" w:hAnsi="Times New Roman Regular" w:eastAsia="楷体" w:cs="Times New Roman Regular"/>
          <w:b/>
          <w:bCs/>
          <w:sz w:val="32"/>
          <w:szCs w:val="32"/>
          <w:lang w:val="en-US" w:eastAsia="zh-CN"/>
        </w:rPr>
        <w:t>）</w:t>
      </w:r>
      <w:bookmarkEnd w:id="63"/>
      <w:r>
        <w:rPr>
          <w:rFonts w:hint="eastAsia" w:ascii="Times New Roman Regular" w:hAnsi="Times New Roman Regular" w:eastAsia="楷体" w:cs="Times New Roman Regular"/>
          <w:b/>
          <w:bCs/>
          <w:sz w:val="32"/>
          <w:szCs w:val="32"/>
          <w:lang w:val="en-US" w:eastAsia="zh-CN"/>
        </w:rPr>
        <w:t>规范资产管理</w:t>
      </w:r>
      <w:bookmarkEnd w:id="64"/>
    </w:p>
    <w:p>
      <w:pPr>
        <w:ind w:firstLine="640" w:firstLineChars="200"/>
        <w:rPr>
          <w:rFonts w:hint="default"/>
          <w:lang w:val="en-US" w:eastAsia="zh-CN"/>
        </w:rPr>
      </w:pPr>
      <w:r>
        <w:rPr>
          <w:rFonts w:hint="default" w:ascii="Times New Roman Regular" w:hAnsi="Times New Roman Regular" w:eastAsia="仿宋" w:cs="Times New Roman Regular"/>
          <w:b w:val="0"/>
          <w:bCs w:val="0"/>
          <w:kern w:val="2"/>
          <w:sz w:val="32"/>
          <w:szCs w:val="32"/>
          <w:lang w:val="en-US" w:eastAsia="zh-CN" w:bidi="ar-SA"/>
        </w:rPr>
        <w:t>建议</w:t>
      </w:r>
      <w:r>
        <w:rPr>
          <w:rFonts w:hint="eastAsia" w:ascii="Times New Roman Regular" w:hAnsi="Times New Roman Regular" w:eastAsia="仿宋" w:cs="Times New Roman Regular"/>
          <w:b w:val="0"/>
          <w:bCs w:val="0"/>
          <w:kern w:val="2"/>
          <w:sz w:val="32"/>
          <w:szCs w:val="32"/>
          <w:lang w:val="en-US" w:eastAsia="zh-CN" w:bidi="ar-SA"/>
        </w:rPr>
        <w:t>单位进一步</w:t>
      </w:r>
      <w:r>
        <w:rPr>
          <w:rFonts w:hint="default" w:ascii="Times New Roman Regular" w:hAnsi="Times New Roman Regular" w:eastAsia="仿宋" w:cs="Times New Roman Regular"/>
          <w:b w:val="0"/>
          <w:bCs w:val="0"/>
          <w:kern w:val="2"/>
          <w:sz w:val="32"/>
          <w:szCs w:val="32"/>
          <w:lang w:val="en-US" w:eastAsia="zh-CN" w:bidi="ar-SA"/>
        </w:rPr>
        <w:t>规范实物资产的管理，对</w:t>
      </w:r>
      <w:r>
        <w:rPr>
          <w:rFonts w:hint="eastAsia" w:ascii="Times New Roman Regular" w:hAnsi="Times New Roman Regular" w:eastAsia="仿宋" w:cs="Times New Roman Regular"/>
          <w:b w:val="0"/>
          <w:bCs w:val="0"/>
          <w:kern w:val="2"/>
          <w:sz w:val="32"/>
          <w:szCs w:val="32"/>
          <w:lang w:val="en-US" w:eastAsia="zh-CN" w:bidi="ar-SA"/>
        </w:rPr>
        <w:t>实物</w:t>
      </w:r>
      <w:r>
        <w:rPr>
          <w:rFonts w:hint="default" w:ascii="Times New Roman Regular" w:hAnsi="Times New Roman Regular" w:eastAsia="仿宋" w:cs="Times New Roman Regular"/>
          <w:b w:val="0"/>
          <w:bCs w:val="0"/>
          <w:kern w:val="2"/>
          <w:sz w:val="32"/>
          <w:szCs w:val="32"/>
          <w:lang w:val="en-US" w:eastAsia="zh-CN" w:bidi="ar-SA"/>
        </w:rPr>
        <w:t>资产进行定期或不定期的盘点，</w:t>
      </w:r>
      <w:r>
        <w:rPr>
          <w:rFonts w:hint="eastAsia" w:ascii="Times New Roman Regular" w:hAnsi="Times New Roman Regular" w:eastAsia="仿宋" w:cs="Times New Roman Regular"/>
          <w:b w:val="0"/>
          <w:bCs w:val="0"/>
          <w:kern w:val="2"/>
          <w:sz w:val="32"/>
          <w:szCs w:val="32"/>
          <w:lang w:val="en-US" w:eastAsia="zh-CN" w:bidi="ar-SA"/>
        </w:rPr>
        <w:t>对于资产分类、资产品牌、规格型号等资产信息录入错误的情况及时更正，</w:t>
      </w:r>
      <w:r>
        <w:rPr>
          <w:rFonts w:hint="default" w:ascii="Times New Roman Regular" w:hAnsi="Times New Roman Regular" w:eastAsia="仿宋" w:cs="Times New Roman Regular"/>
          <w:b w:val="0"/>
          <w:bCs w:val="0"/>
          <w:kern w:val="2"/>
          <w:sz w:val="32"/>
          <w:szCs w:val="32"/>
          <w:lang w:val="en-US" w:eastAsia="zh-CN" w:bidi="ar-SA"/>
        </w:rPr>
        <w:t>确保固定资产账实相符，对固定资产实行卡片管理，</w:t>
      </w:r>
      <w:r>
        <w:rPr>
          <w:rFonts w:hint="eastAsia" w:ascii="Times New Roman Regular" w:hAnsi="Times New Roman Regular" w:eastAsia="仿宋" w:cs="Times New Roman Regular"/>
          <w:b w:val="0"/>
          <w:bCs w:val="0"/>
          <w:kern w:val="2"/>
          <w:sz w:val="32"/>
          <w:szCs w:val="32"/>
          <w:lang w:val="en-US" w:eastAsia="zh-CN" w:bidi="ar-SA"/>
        </w:rPr>
        <w:t>每一个固定资产进行贴标，</w:t>
      </w:r>
      <w:r>
        <w:rPr>
          <w:rFonts w:hint="default" w:ascii="Times New Roman Regular" w:hAnsi="Times New Roman Regular" w:eastAsia="仿宋" w:cs="Times New Roman Regular"/>
          <w:b w:val="0"/>
          <w:bCs w:val="0"/>
          <w:kern w:val="2"/>
          <w:sz w:val="32"/>
          <w:szCs w:val="32"/>
          <w:lang w:val="en-US" w:eastAsia="zh-CN" w:bidi="ar-SA"/>
        </w:rPr>
        <w:t>明确使用部门及责任，确保国有资产的安全、完整。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仿宋" w:cs="Times New Roman Regular"/>
          <w:b w:val="0"/>
          <w:bCs w:val="0"/>
          <w:sz w:val="32"/>
          <w:szCs w:val="32"/>
          <w:lang w:val="en-US" w:eastAsia="zh-CN"/>
        </w:rPr>
      </w:pPr>
      <w:bookmarkStart w:id="65" w:name="_Toc18000"/>
      <w:bookmarkStart w:id="66" w:name="_Toc24893"/>
      <w:r>
        <w:rPr>
          <w:rFonts w:hint="default" w:ascii="Times New Roman Regular" w:hAnsi="Times New Roman Regular" w:eastAsia="黑体" w:cs="Times New Roman Regular"/>
          <w:b/>
          <w:bCs/>
          <w:kern w:val="2"/>
          <w:sz w:val="32"/>
          <w:szCs w:val="32"/>
          <w:lang w:val="en-US" w:eastAsia="zh-CN" w:bidi="ar-SA"/>
        </w:rPr>
        <w:t>九、报告使用情况说明</w:t>
      </w:r>
      <w:bookmarkEnd w:id="65"/>
      <w:bookmarkEnd w:id="66"/>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本报告仅供委托方了解部门整体支出绩效情况使用，亦可供</w:t>
      </w:r>
      <w:r>
        <w:rPr>
          <w:rFonts w:hint="eastAsia" w:ascii="Times New Roman Regular" w:hAnsi="Times New Roman Regular" w:eastAsia="仿宋" w:cs="Times New Roman Regular"/>
          <w:b w:val="0"/>
          <w:bCs w:val="0"/>
          <w:sz w:val="32"/>
          <w:szCs w:val="32"/>
          <w:lang w:val="en-US" w:eastAsia="zh-CN"/>
        </w:rPr>
        <w:t>邵阳市北塔区医疗保障局</w:t>
      </w:r>
      <w:r>
        <w:rPr>
          <w:rFonts w:hint="default" w:ascii="Times New Roman Regular" w:hAnsi="Times New Roman Regular" w:eastAsia="仿宋" w:cs="Times New Roman Regular"/>
          <w:b w:val="0"/>
          <w:bCs w:val="0"/>
          <w:sz w:val="32"/>
          <w:szCs w:val="32"/>
          <w:lang w:val="en-US" w:eastAsia="zh-CN"/>
        </w:rPr>
        <w:t>加强部门整体绩效管理参考使用，非经委托方和本所许可，不得用于其他目的。</w:t>
      </w:r>
    </w:p>
    <w:p>
      <w:pPr>
        <w:pStyle w:val="13"/>
        <w:rPr>
          <w:rFonts w:hint="default" w:ascii="Times New Roman Regular" w:hAnsi="Times New Roman Regular" w:eastAsia="仿宋" w:cs="Times New Roman Regular"/>
          <w:b w:val="0"/>
          <w:bCs w:val="0"/>
          <w:sz w:val="32"/>
          <w:szCs w:val="32"/>
          <w:lang w:val="en-US" w:eastAsia="zh-CN"/>
        </w:rPr>
      </w:pPr>
    </w:p>
    <w:p>
      <w:pPr>
        <w:pStyle w:val="13"/>
        <w:rPr>
          <w:rFonts w:hint="default" w:ascii="Times New Roman Regular" w:hAnsi="Times New Roman Regular" w:eastAsia="仿宋" w:cs="Times New Roman Regular"/>
          <w:b w:val="0"/>
          <w:bCs w:val="0"/>
          <w:sz w:val="32"/>
          <w:szCs w:val="32"/>
          <w:lang w:val="en-US" w:eastAsia="zh-CN"/>
        </w:rPr>
      </w:pPr>
    </w:p>
    <w:p>
      <w:pPr>
        <w:pStyle w:val="13"/>
        <w:rPr>
          <w:rFonts w:hint="default" w:ascii="Times New Roman Regular" w:hAnsi="Times New Roman Regular" w:eastAsia="仿宋" w:cs="Times New Roman Regular"/>
          <w:b w:val="0"/>
          <w:bCs w:val="0"/>
          <w:sz w:val="32"/>
          <w:szCs w:val="32"/>
          <w:lang w:val="en-US" w:eastAsia="zh-CN"/>
        </w:rPr>
      </w:pPr>
    </w:p>
    <w:p>
      <w:pPr>
        <w:pStyle w:val="13"/>
        <w:rPr>
          <w:rFonts w:hint="default"/>
          <w:lang w:val="en-US" w:eastAsia="zh-CN"/>
        </w:rPr>
      </w:pPr>
      <w:r>
        <w:rPr>
          <w:rFonts w:hint="default" w:ascii="Times New Roman Regular" w:hAnsi="Times New Roman Regular" w:eastAsia="仿宋" w:cs="Times New Roman Regular"/>
          <w:b w:val="0"/>
          <w:bCs w:val="0"/>
          <w:sz w:val="32"/>
          <w:szCs w:val="32"/>
          <w:lang w:val="en-US" w:eastAsia="zh-CN"/>
        </w:rPr>
        <w:t>附件</w:t>
      </w:r>
      <w:r>
        <w:rPr>
          <w:rFonts w:hint="eastAsia" w:ascii="Times New Roman Regular" w:hAnsi="Times New Roman Regular" w:eastAsia="仿宋" w:cs="Times New Roman Regular"/>
          <w:b w:val="0"/>
          <w:bCs w:val="0"/>
          <w:sz w:val="32"/>
          <w:szCs w:val="32"/>
          <w:lang w:val="en-US" w:eastAsia="zh-CN"/>
        </w:rPr>
        <w:t>1</w:t>
      </w:r>
      <w:r>
        <w:rPr>
          <w:rFonts w:hint="default" w:ascii="Times New Roman Regular" w:hAnsi="Times New Roman Regular" w:eastAsia="仿宋" w:cs="Times New Roman Regular"/>
          <w:b w:val="0"/>
          <w:bCs w:val="0"/>
          <w:sz w:val="32"/>
          <w:szCs w:val="32"/>
          <w:lang w:val="en-US" w:eastAsia="zh-CN"/>
        </w:rPr>
        <w:t>：</w:t>
      </w:r>
      <w:r>
        <w:rPr>
          <w:rFonts w:hint="eastAsia" w:ascii="Times New Roman Regular" w:hAnsi="Times New Roman Regular" w:eastAsia="仿宋" w:cs="Times New Roman Regular"/>
          <w:b w:val="0"/>
          <w:bCs w:val="0"/>
          <w:sz w:val="32"/>
          <w:szCs w:val="32"/>
          <w:lang w:val="en-US" w:eastAsia="zh-CN"/>
        </w:rPr>
        <w:t>邵阳市北塔区医疗保障局</w:t>
      </w:r>
      <w:r>
        <w:rPr>
          <w:rFonts w:hint="default" w:ascii="Times New Roman Regular" w:hAnsi="Times New Roman Regular" w:eastAsia="仿宋" w:cs="Times New Roman Regular"/>
          <w:b w:val="0"/>
          <w:bCs w:val="0"/>
          <w:sz w:val="32"/>
          <w:szCs w:val="32"/>
          <w:lang w:val="en-US" w:eastAsia="zh-CN"/>
        </w:rPr>
        <w:t>2022年度部门整体支出绩效评价指标表</w:t>
      </w:r>
    </w:p>
    <w:p>
      <w:pPr>
        <w:pStyle w:val="13"/>
        <w:rPr>
          <w:rFonts w:hint="eastAsia"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附件</w:t>
      </w:r>
      <w:r>
        <w:rPr>
          <w:rFonts w:hint="eastAsia" w:ascii="Times New Roman Regular" w:hAnsi="Times New Roman Regular" w:eastAsia="仿宋" w:cs="Times New Roman Regular"/>
          <w:b w:val="0"/>
          <w:bCs w:val="0"/>
          <w:sz w:val="32"/>
          <w:szCs w:val="32"/>
          <w:lang w:val="en-US" w:eastAsia="zh-CN"/>
        </w:rPr>
        <w:t>2</w:t>
      </w:r>
      <w:r>
        <w:rPr>
          <w:rFonts w:hint="default" w:ascii="Times New Roman Regular" w:hAnsi="Times New Roman Regular" w:eastAsia="仿宋" w:cs="Times New Roman Regular"/>
          <w:b w:val="0"/>
          <w:bCs w:val="0"/>
          <w:sz w:val="32"/>
          <w:szCs w:val="32"/>
          <w:lang w:val="en-US" w:eastAsia="zh-CN"/>
        </w:rPr>
        <w:t>：</w:t>
      </w:r>
      <w:r>
        <w:rPr>
          <w:rFonts w:hint="eastAsia" w:ascii="Times New Roman Regular" w:hAnsi="Times New Roman Regular" w:eastAsia="仿宋" w:cs="Times New Roman Regular"/>
          <w:b w:val="0"/>
          <w:bCs w:val="0"/>
          <w:sz w:val="32"/>
          <w:szCs w:val="32"/>
          <w:lang w:val="en-US" w:eastAsia="zh-CN"/>
        </w:rPr>
        <w:t>邵阳市北塔区医疗保障局</w:t>
      </w:r>
      <w:r>
        <w:rPr>
          <w:rFonts w:hint="default" w:ascii="Times New Roman Regular" w:hAnsi="Times New Roman Regular" w:eastAsia="仿宋" w:cs="Times New Roman Regular"/>
          <w:b w:val="0"/>
          <w:bCs w:val="0"/>
          <w:sz w:val="32"/>
          <w:szCs w:val="32"/>
          <w:lang w:val="en-US" w:eastAsia="zh-CN"/>
        </w:rPr>
        <w:t>2022年度部门整体支出</w:t>
      </w:r>
      <w:r>
        <w:rPr>
          <w:rFonts w:hint="eastAsia" w:ascii="Times New Roman Regular" w:hAnsi="Times New Roman Regular" w:eastAsia="仿宋" w:cs="Times New Roman Regular"/>
          <w:b w:val="0"/>
          <w:bCs w:val="0"/>
          <w:sz w:val="32"/>
          <w:szCs w:val="32"/>
          <w:lang w:val="en-US" w:eastAsia="zh-CN"/>
        </w:rPr>
        <w:t>基础数据表</w:t>
      </w:r>
    </w:p>
    <w:p>
      <w:pPr>
        <w:pStyle w:val="13"/>
        <w:rPr>
          <w:rFonts w:hint="default" w:ascii="Times New Roman Regular" w:hAnsi="Times New Roman Regular" w:eastAsia="仿宋" w:cs="Times New Roman Regular"/>
          <w:b w:val="0"/>
          <w:bCs w:val="0"/>
          <w:sz w:val="28"/>
          <w:szCs w:val="28"/>
          <w:lang w:val="en-US" w:eastAsia="zh-CN"/>
        </w:rPr>
      </w:pPr>
      <w:r>
        <w:rPr>
          <w:rFonts w:hint="default" w:ascii="Times New Roman Regular" w:hAnsi="Times New Roman Regular" w:eastAsia="仿宋" w:cs="Times New Roman Regular"/>
          <w:b w:val="0"/>
          <w:bCs w:val="0"/>
          <w:sz w:val="32"/>
          <w:szCs w:val="32"/>
          <w:lang w:val="en-US" w:eastAsia="zh-CN"/>
        </w:rPr>
        <w:t>附件</w:t>
      </w:r>
      <w:r>
        <w:rPr>
          <w:rFonts w:hint="eastAsia" w:ascii="Times New Roman Regular" w:hAnsi="Times New Roman Regular" w:eastAsia="仿宋" w:cs="Times New Roman Regular"/>
          <w:b w:val="0"/>
          <w:bCs w:val="0"/>
          <w:sz w:val="32"/>
          <w:szCs w:val="32"/>
          <w:lang w:val="en-US" w:eastAsia="zh-CN"/>
        </w:rPr>
        <w:t>3</w:t>
      </w:r>
      <w:r>
        <w:rPr>
          <w:rFonts w:hint="default" w:ascii="Times New Roman Regular" w:hAnsi="Times New Roman Regular" w:eastAsia="仿宋" w:cs="Times New Roman Regular"/>
          <w:b w:val="0"/>
          <w:bCs w:val="0"/>
          <w:sz w:val="32"/>
          <w:szCs w:val="32"/>
          <w:lang w:val="en-US" w:eastAsia="zh-CN"/>
        </w:rPr>
        <w:t>：</w:t>
      </w:r>
      <w:r>
        <w:rPr>
          <w:rFonts w:hint="eastAsia" w:ascii="Times New Roman Regular" w:hAnsi="Times New Roman Regular" w:eastAsia="仿宋" w:cs="Times New Roman Regular"/>
          <w:b w:val="0"/>
          <w:bCs w:val="0"/>
          <w:sz w:val="32"/>
          <w:szCs w:val="32"/>
          <w:lang w:val="en-US" w:eastAsia="zh-CN"/>
        </w:rPr>
        <w:t>邵阳市北塔区医疗保障局</w:t>
      </w:r>
      <w:r>
        <w:rPr>
          <w:rFonts w:hint="default" w:ascii="Times New Roman Regular" w:hAnsi="Times New Roman Regular" w:eastAsia="仿宋" w:cs="Times New Roman Regular"/>
          <w:b w:val="0"/>
          <w:bCs w:val="0"/>
          <w:sz w:val="32"/>
          <w:szCs w:val="32"/>
          <w:lang w:val="en-US" w:eastAsia="zh-CN"/>
        </w:rPr>
        <w:t>2022年度部门整体支出</w:t>
      </w:r>
      <w:r>
        <w:rPr>
          <w:rFonts w:hint="eastAsia" w:ascii="Times New Roman Regular" w:hAnsi="Times New Roman Regular" w:eastAsia="仿宋" w:cs="Times New Roman Regular"/>
          <w:b w:val="0"/>
          <w:bCs w:val="0"/>
          <w:sz w:val="32"/>
          <w:szCs w:val="32"/>
          <w:lang w:val="en-US" w:eastAsia="zh-CN"/>
        </w:rPr>
        <w:t>绩效自评表</w:t>
      </w:r>
    </w:p>
    <w:p>
      <w:pPr>
        <w:pStyle w:val="13"/>
        <w:rPr>
          <w:rFonts w:hint="default" w:ascii="Times New Roman Regular" w:hAnsi="Times New Roman Regular" w:eastAsia="仿宋" w:cs="Times New Roman Regular"/>
          <w:b w:val="0"/>
          <w:bCs w:val="0"/>
          <w:sz w:val="28"/>
          <w:szCs w:val="28"/>
          <w:lang w:val="en-US" w:eastAsia="zh-CN"/>
        </w:rPr>
      </w:pPr>
      <w:r>
        <w:rPr>
          <w:rFonts w:hint="default" w:ascii="Times New Roman Regular" w:hAnsi="Times New Roman Regular" w:eastAsia="仿宋" w:cs="Times New Roman Regular"/>
          <w:b w:val="0"/>
          <w:bCs w:val="0"/>
          <w:sz w:val="32"/>
          <w:szCs w:val="32"/>
          <w:lang w:val="en-US" w:eastAsia="zh-CN"/>
        </w:rPr>
        <w:t>附件</w:t>
      </w:r>
      <w:r>
        <w:rPr>
          <w:rFonts w:hint="eastAsia" w:ascii="Times New Roman Regular" w:hAnsi="Times New Roman Regular" w:eastAsia="仿宋" w:cs="Times New Roman Regular"/>
          <w:b w:val="0"/>
          <w:bCs w:val="0"/>
          <w:sz w:val="32"/>
          <w:szCs w:val="32"/>
          <w:lang w:val="en-US" w:eastAsia="zh-CN"/>
        </w:rPr>
        <w:t>4</w:t>
      </w:r>
      <w:r>
        <w:rPr>
          <w:rFonts w:hint="default" w:ascii="Times New Roman Regular" w:hAnsi="Times New Roman Regular" w:eastAsia="仿宋" w:cs="Times New Roman Regular"/>
          <w:b w:val="0"/>
          <w:bCs w:val="0"/>
          <w:sz w:val="32"/>
          <w:szCs w:val="32"/>
          <w:lang w:val="en-US" w:eastAsia="zh-CN"/>
        </w:rPr>
        <w:t>：</w:t>
      </w:r>
      <w:r>
        <w:rPr>
          <w:rFonts w:hint="eastAsia" w:ascii="Times New Roman Regular" w:hAnsi="Times New Roman Regular" w:eastAsia="仿宋" w:cs="Times New Roman Regular"/>
          <w:b w:val="0"/>
          <w:bCs w:val="0"/>
          <w:sz w:val="32"/>
          <w:szCs w:val="32"/>
          <w:lang w:val="en-US" w:eastAsia="zh-CN"/>
        </w:rPr>
        <w:t>邵阳市北塔区医疗保障局</w:t>
      </w:r>
      <w:r>
        <w:rPr>
          <w:rFonts w:hint="default" w:ascii="Times New Roman Regular" w:hAnsi="Times New Roman Regular" w:eastAsia="仿宋" w:cs="Times New Roman Regular"/>
          <w:b w:val="0"/>
          <w:bCs w:val="0"/>
          <w:sz w:val="32"/>
          <w:szCs w:val="32"/>
          <w:lang w:val="en-US" w:eastAsia="zh-CN"/>
        </w:rPr>
        <w:t>2022年度部门整体支出</w:t>
      </w:r>
      <w:r>
        <w:rPr>
          <w:rFonts w:hint="eastAsia" w:ascii="Times New Roman Regular" w:hAnsi="Times New Roman Regular" w:eastAsia="仿宋" w:cs="Times New Roman Regular"/>
          <w:b w:val="0"/>
          <w:bCs w:val="0"/>
          <w:sz w:val="32"/>
          <w:szCs w:val="32"/>
          <w:lang w:val="en-US" w:eastAsia="zh-CN"/>
        </w:rPr>
        <w:t>项目绩效自评表</w:t>
      </w: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3"/>
        <w:rPr>
          <w:rFonts w:hint="default" w:ascii="Times New Roman Regular" w:hAnsi="Times New Roman Regular" w:eastAsia="楷体" w:cs="Times New Roman Regular"/>
          <w:sz w:val="30"/>
          <w:szCs w:val="30"/>
          <w:lang w:val="en-US" w:eastAsia="zh-CN"/>
        </w:rPr>
      </w:pPr>
      <w:r>
        <w:rPr>
          <w:rFonts w:hint="default" w:ascii="Times New Roman Regular" w:hAnsi="Times New Roman Regular" w:eastAsia="楷体" w:cs="Times New Roman Regular"/>
          <w:sz w:val="30"/>
          <w:szCs w:val="30"/>
          <w:lang w:val="en-US" w:eastAsia="zh-CN"/>
        </w:rPr>
        <w:t>湖南财正会计师事务所</w:t>
      </w:r>
      <w:r>
        <w:rPr>
          <w:rFonts w:hint="eastAsia" w:ascii="Times New Roman Regular" w:hAnsi="Times New Roman Regular" w:eastAsia="楷体" w:cs="Times New Roman Regular"/>
          <w:sz w:val="30"/>
          <w:szCs w:val="30"/>
          <w:lang w:val="en-US" w:eastAsia="zh-CN"/>
        </w:rPr>
        <w:t>（</w:t>
      </w:r>
      <w:r>
        <w:rPr>
          <w:rFonts w:hint="default" w:ascii="Times New Roman Regular" w:hAnsi="Times New Roman Regular" w:eastAsia="楷体" w:cs="Times New Roman Regular"/>
          <w:sz w:val="30"/>
          <w:szCs w:val="30"/>
          <w:lang w:val="en-US" w:eastAsia="zh-CN"/>
        </w:rPr>
        <w:t>普通合伙</w:t>
      </w:r>
      <w:r>
        <w:rPr>
          <w:rFonts w:hint="eastAsia" w:ascii="Times New Roman Regular" w:hAnsi="Times New Roman Regular" w:eastAsia="楷体" w:cs="Times New Roman Regular"/>
          <w:sz w:val="30"/>
          <w:szCs w:val="30"/>
          <w:lang w:val="en-US" w:eastAsia="zh-CN"/>
        </w:rPr>
        <w:t>）</w:t>
      </w:r>
      <w:r>
        <w:rPr>
          <w:rFonts w:hint="default" w:ascii="Times New Roman Regular" w:hAnsi="Times New Roman Regular" w:eastAsia="楷体" w:cs="Times New Roman Regular"/>
          <w:sz w:val="30"/>
          <w:szCs w:val="30"/>
          <w:lang w:val="en-US" w:eastAsia="zh-CN"/>
        </w:rPr>
        <w:t xml:space="preserve">          中国注册会计师：</w:t>
      </w:r>
    </w:p>
    <w:p>
      <w:pPr>
        <w:rPr>
          <w:rFonts w:hint="default" w:ascii="Times New Roman Regular" w:hAnsi="Times New Roman Regular" w:eastAsia="仿宋" w:cs="Times New Roman Regular"/>
          <w:b w:val="0"/>
          <w:bCs w:val="0"/>
          <w:sz w:val="31"/>
          <w:szCs w:val="31"/>
          <w:lang w:val="en-US" w:eastAsia="zh-CN"/>
        </w:rPr>
      </w:pPr>
    </w:p>
    <w:p>
      <w:pPr>
        <w:ind w:firstLine="1200" w:firstLineChars="400"/>
        <w:rPr>
          <w:rFonts w:hint="default" w:ascii="Times New Roman Regular" w:hAnsi="Times New Roman Regular" w:eastAsia="楷体" w:cs="Times New Roman Regular"/>
          <w:b w:val="0"/>
          <w:bCs w:val="0"/>
          <w:sz w:val="30"/>
          <w:szCs w:val="30"/>
          <w:lang w:val="en-US" w:eastAsia="zh-CN"/>
        </w:rPr>
      </w:pPr>
      <w:r>
        <w:rPr>
          <w:rFonts w:hint="default" w:ascii="Times New Roman Regular" w:hAnsi="Times New Roman Regular" w:eastAsia="楷体" w:cs="Times New Roman Regular"/>
          <w:b w:val="0"/>
          <w:bCs w:val="0"/>
          <w:sz w:val="30"/>
          <w:szCs w:val="30"/>
          <w:lang w:val="en-US" w:eastAsia="zh-CN"/>
        </w:rPr>
        <w:t>湖南</w:t>
      </w:r>
      <w:r>
        <w:rPr>
          <w:rFonts w:hint="eastAsia" w:ascii="Times New Roman Regular" w:hAnsi="Times New Roman Regular" w:eastAsia="楷体" w:cs="Times New Roman Regular"/>
          <w:b w:val="0"/>
          <w:bCs w:val="0"/>
          <w:sz w:val="30"/>
          <w:szCs w:val="30"/>
          <w:lang w:val="en-US" w:eastAsia="zh-CN"/>
        </w:rPr>
        <w:t>·</w:t>
      </w:r>
      <w:r>
        <w:rPr>
          <w:rFonts w:hint="default" w:ascii="Times New Roman Regular" w:hAnsi="Times New Roman Regular" w:eastAsia="楷体" w:cs="Times New Roman Regular"/>
          <w:b w:val="0"/>
          <w:bCs w:val="0"/>
          <w:sz w:val="30"/>
          <w:szCs w:val="30"/>
          <w:lang w:val="en-US" w:eastAsia="zh-CN"/>
        </w:rPr>
        <w:t>长沙</w:t>
      </w:r>
      <w:r>
        <w:rPr>
          <w:rFonts w:hint="default" w:ascii="Times New Roman Regular" w:hAnsi="Times New Roman Regular" w:cs="Times New Roman Regular"/>
          <w:sz w:val="30"/>
          <w:szCs w:val="30"/>
          <w:lang w:val="en-US" w:eastAsia="zh-CN"/>
        </w:rPr>
        <w:t xml:space="preserve">  </w:t>
      </w:r>
      <w:r>
        <w:rPr>
          <w:rFonts w:hint="default" w:ascii="Times New Roman Regular" w:hAnsi="Times New Roman Regular" w:cs="Times New Roman Regular"/>
          <w:lang w:val="en-US" w:eastAsia="zh-CN"/>
        </w:rPr>
        <w:t xml:space="preserve">                       </w:t>
      </w:r>
      <w:r>
        <w:rPr>
          <w:rFonts w:hint="default" w:ascii="Times New Roman Regular" w:hAnsi="Times New Roman Regular" w:eastAsia="楷体" w:cs="Times New Roman Regular"/>
          <w:sz w:val="30"/>
          <w:szCs w:val="30"/>
          <w:lang w:val="en-US" w:eastAsia="zh-CN"/>
        </w:rPr>
        <w:t xml:space="preserve"> </w:t>
      </w:r>
      <w:r>
        <w:rPr>
          <w:rFonts w:hint="eastAsia" w:ascii="Times New Roman Regular" w:hAnsi="Times New Roman Regular" w:eastAsia="楷体" w:cs="Times New Roman Regular"/>
          <w:sz w:val="30"/>
          <w:szCs w:val="30"/>
          <w:lang w:val="en-US" w:eastAsia="zh-CN"/>
        </w:rPr>
        <w:t xml:space="preserve">    </w:t>
      </w:r>
      <w:r>
        <w:rPr>
          <w:rFonts w:hint="default" w:ascii="Times New Roman Regular" w:hAnsi="Times New Roman Regular" w:eastAsia="楷体" w:cs="Times New Roman Regular"/>
          <w:sz w:val="30"/>
          <w:szCs w:val="30"/>
          <w:lang w:val="en-US" w:eastAsia="zh-CN"/>
        </w:rPr>
        <w:t>中国注册会计师：</w:t>
      </w:r>
    </w:p>
    <w:p>
      <w:pPr>
        <w:pStyle w:val="13"/>
        <w:rPr>
          <w:rFonts w:hint="default" w:ascii="Times New Roman Regular" w:hAnsi="Times New Roman Regular" w:cs="Times New Roman Regular"/>
          <w:lang w:val="en-US" w:eastAsia="zh-CN"/>
        </w:rPr>
      </w:pPr>
    </w:p>
    <w:p>
      <w:pPr>
        <w:pStyle w:val="13"/>
        <w:ind w:firstLine="5670" w:firstLineChars="2700"/>
        <w:rPr>
          <w:rFonts w:hint="default" w:ascii="Times New Roman Regular" w:hAnsi="Times New Roman Regular" w:cs="Times New Roman Regular"/>
          <w:lang w:val="en-US" w:eastAsia="zh-CN"/>
        </w:rPr>
      </w:pPr>
    </w:p>
    <w:p>
      <w:pPr>
        <w:pStyle w:val="13"/>
        <w:ind w:firstLine="5670" w:firstLineChars="2700"/>
        <w:rPr>
          <w:rFonts w:hint="default" w:ascii="Times New Roman Regular" w:hAnsi="Times New Roman Regular" w:cs="Times New Roman Regular"/>
          <w:lang w:val="en-US" w:eastAsia="zh-CN"/>
        </w:rPr>
      </w:pPr>
    </w:p>
    <w:p>
      <w:pPr>
        <w:pStyle w:val="13"/>
        <w:ind w:firstLine="0" w:firstLineChars="0"/>
        <w:jc w:val="right"/>
        <w:rPr>
          <w:rFonts w:hint="default" w:ascii="Times New Roman Regular" w:hAnsi="Times New Roman Regular" w:eastAsia="楷体" w:cs="Times New Roman Regular"/>
          <w:b w:val="0"/>
          <w:bCs w:val="0"/>
          <w:sz w:val="30"/>
          <w:szCs w:val="30"/>
          <w:lang w:val="en-US" w:eastAsia="zh-CN"/>
        </w:rPr>
      </w:pPr>
      <w:r>
        <w:rPr>
          <w:rFonts w:hint="default" w:ascii="Times New Roman Regular" w:hAnsi="Times New Roman Regular" w:eastAsia="楷体" w:cs="Times New Roman Regular"/>
          <w:kern w:val="2"/>
          <w:sz w:val="30"/>
          <w:szCs w:val="30"/>
          <w:lang w:val="en-US" w:eastAsia="zh-CN" w:bidi="ar-SA"/>
        </w:rPr>
        <w:t>二〇二三年十月二十日</w:t>
      </w:r>
    </w:p>
    <w:p>
      <w:pPr>
        <w:pStyle w:val="13"/>
        <w:ind w:firstLine="5890" w:firstLineChars="1900"/>
        <w:rPr>
          <w:rFonts w:hint="default" w:ascii="Times New Roman Regular" w:hAnsi="Times New Roman Regular" w:eastAsia="仿宋" w:cs="Times New Roman Regular"/>
          <w:b w:val="0"/>
          <w:bCs w:val="0"/>
          <w:sz w:val="31"/>
          <w:szCs w:val="31"/>
          <w:lang w:val="en-US" w:eastAsia="zh-CN"/>
        </w:rPr>
        <w:sectPr>
          <w:headerReference r:id="rId4" w:type="default"/>
          <w:pgSz w:w="11906" w:h="16838"/>
          <w:pgMar w:top="1440" w:right="1757" w:bottom="1440" w:left="1757" w:header="624" w:footer="992" w:gutter="0"/>
          <w:pgBorders>
            <w:top w:val="none" w:sz="0" w:space="0"/>
            <w:left w:val="none" w:sz="0" w:space="0"/>
            <w:bottom w:val="none" w:sz="0" w:space="0"/>
            <w:right w:val="none" w:sz="0" w:space="0"/>
          </w:pgBorders>
          <w:pgNumType w:fmt="decimal"/>
          <w:cols w:space="425" w:num="1"/>
          <w:docGrid w:type="lines" w:linePitch="312" w:charSpace="0"/>
        </w:sectPr>
      </w:pPr>
    </w:p>
    <w:p>
      <w:pPr>
        <w:widowControl/>
        <w:kinsoku w:val="0"/>
        <w:autoSpaceDE w:val="0"/>
        <w:autoSpaceDN w:val="0"/>
        <w:adjustRightInd w:val="0"/>
        <w:snapToGrid w:val="0"/>
        <w:spacing w:before="55" w:line="222" w:lineRule="auto"/>
        <w:ind w:left="35"/>
        <w:jc w:val="left"/>
        <w:textAlignment w:val="baseline"/>
        <w:rPr>
          <w:rFonts w:hint="default" w:ascii="Times New Roman Regular" w:hAnsi="Times New Roman Regular" w:eastAsia="仿宋" w:cs="Times New Roman Regular"/>
          <w:snapToGrid w:val="0"/>
          <w:color w:val="000000"/>
          <w:spacing w:val="-13"/>
          <w:kern w:val="0"/>
          <w:sz w:val="32"/>
          <w:szCs w:val="32"/>
          <w:lang w:val="en-US" w:eastAsia="zh-CN"/>
        </w:rPr>
      </w:pPr>
      <w:r>
        <w:rPr>
          <w:rFonts w:hint="default" w:ascii="Times New Roman Regular" w:hAnsi="Times New Roman Regular" w:eastAsia="仿宋" w:cs="Times New Roman Regular"/>
          <w:snapToGrid w:val="0"/>
          <w:color w:val="000000"/>
          <w:spacing w:val="-13"/>
          <w:kern w:val="0"/>
          <w:sz w:val="32"/>
          <w:szCs w:val="32"/>
          <w:lang w:val="en-US" w:eastAsia="zh-CN"/>
        </w:rPr>
        <w:t>附件：</w:t>
      </w:r>
    </w:p>
    <w:p>
      <w:pPr>
        <w:widowControl/>
        <w:kinsoku w:val="0"/>
        <w:autoSpaceDE w:val="0"/>
        <w:autoSpaceDN w:val="0"/>
        <w:adjustRightInd w:val="0"/>
        <w:snapToGrid w:val="0"/>
        <w:spacing w:before="171" w:line="160" w:lineRule="auto"/>
        <w:jc w:val="center"/>
        <w:textAlignment w:val="baseline"/>
        <w:rPr>
          <w:rFonts w:hint="default" w:ascii="Times New Roman Regular" w:hAnsi="Times New Roman Regular" w:eastAsia="方正小标宋简体" w:cs="Times New Roman Regular"/>
          <w:b w:val="0"/>
          <w:bCs w:val="0"/>
          <w:snapToGrid w:val="0"/>
          <w:color w:val="000000"/>
          <w:spacing w:val="-3"/>
          <w:kern w:val="0"/>
          <w:sz w:val="36"/>
          <w:szCs w:val="36"/>
          <w:lang w:val="en-US" w:eastAsia="zh-CN"/>
        </w:rPr>
      </w:pPr>
      <w:r>
        <w:rPr>
          <w:rFonts w:hint="default" w:ascii="Times New Roman Regular" w:hAnsi="Times New Roman Regular" w:eastAsia="方正小标宋简体" w:cs="Times New Roman Regular"/>
          <w:b w:val="0"/>
          <w:bCs w:val="0"/>
          <w:snapToGrid w:val="0"/>
          <w:color w:val="000000"/>
          <w:spacing w:val="-3"/>
          <w:kern w:val="0"/>
          <w:sz w:val="36"/>
          <w:szCs w:val="36"/>
          <w:lang w:val="en-US" w:eastAsia="zh-CN"/>
        </w:rPr>
        <w:t>邵阳市北塔区</w:t>
      </w:r>
      <w:r>
        <w:rPr>
          <w:rFonts w:hint="eastAsia" w:ascii="Times New Roman Regular" w:hAnsi="Times New Roman Regular" w:eastAsia="方正小标宋简体" w:cs="Times New Roman Regular"/>
          <w:b w:val="0"/>
          <w:bCs w:val="0"/>
          <w:snapToGrid w:val="0"/>
          <w:color w:val="000000"/>
          <w:spacing w:val="-3"/>
          <w:kern w:val="0"/>
          <w:sz w:val="36"/>
          <w:szCs w:val="36"/>
          <w:lang w:val="en-US" w:eastAsia="zh-CN"/>
        </w:rPr>
        <w:t>医疗保障局</w:t>
      </w:r>
      <w:r>
        <w:rPr>
          <w:rFonts w:hint="default" w:ascii="Times New Roman Regular" w:hAnsi="Times New Roman Regular" w:eastAsia="方正小标宋简体" w:cs="Times New Roman Regular"/>
          <w:b w:val="0"/>
          <w:bCs w:val="0"/>
          <w:snapToGrid w:val="0"/>
          <w:color w:val="000000"/>
          <w:spacing w:val="-3"/>
          <w:kern w:val="0"/>
          <w:sz w:val="36"/>
          <w:szCs w:val="36"/>
          <w:lang w:val="en-US" w:eastAsia="zh-CN"/>
        </w:rPr>
        <w:t>2022年度部门整体支出绩效评价指标表</w:t>
      </w:r>
    </w:p>
    <w:tbl>
      <w:tblPr>
        <w:tblStyle w:val="18"/>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91"/>
        <w:gridCol w:w="1089"/>
        <w:gridCol w:w="1581"/>
        <w:gridCol w:w="984"/>
        <w:gridCol w:w="6194"/>
        <w:gridCol w:w="999"/>
        <w:gridCol w:w="30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blHeader/>
          <w:jc w:val="center"/>
        </w:trPr>
        <w:tc>
          <w:tcPr>
            <w:tcW w:w="395" w:type="pct"/>
            <w:shd w:val="clear" w:color="auto" w:fill="auto"/>
            <w:vAlign w:val="center"/>
          </w:tcPr>
          <w:p>
            <w:pPr>
              <w:jc w:val="center"/>
              <w:rPr>
                <w:rFonts w:ascii="Times New Roman" w:hAnsi="Times New Roman" w:cs="Times New Roman" w:eastAsiaTheme="minorEastAsia"/>
                <w:b/>
                <w:bCs/>
                <w:color w:val="000000"/>
                <w:sz w:val="18"/>
                <w:szCs w:val="18"/>
              </w:rPr>
            </w:pPr>
            <w:r>
              <w:rPr>
                <w:rFonts w:ascii="Times New Roman" w:hAnsi="Times New Roman" w:cs="Times New Roman" w:eastAsiaTheme="minorEastAsia"/>
                <w:b/>
                <w:bCs/>
                <w:color w:val="000000"/>
                <w:sz w:val="18"/>
                <w:szCs w:val="18"/>
              </w:rPr>
              <w:t>一级指标</w:t>
            </w:r>
          </w:p>
        </w:tc>
        <w:tc>
          <w:tcPr>
            <w:tcW w:w="361" w:type="pct"/>
            <w:shd w:val="clear" w:color="auto" w:fill="auto"/>
            <w:vAlign w:val="center"/>
          </w:tcPr>
          <w:p>
            <w:pPr>
              <w:jc w:val="center"/>
              <w:rPr>
                <w:rFonts w:ascii="Times New Roman" w:hAnsi="Times New Roman" w:cs="Times New Roman" w:eastAsiaTheme="minorEastAsia"/>
                <w:b/>
                <w:bCs/>
                <w:color w:val="000000"/>
                <w:sz w:val="18"/>
                <w:szCs w:val="18"/>
              </w:rPr>
            </w:pPr>
            <w:r>
              <w:rPr>
                <w:rFonts w:ascii="Times New Roman" w:hAnsi="Times New Roman" w:cs="Times New Roman" w:eastAsiaTheme="minorEastAsia"/>
                <w:b/>
                <w:bCs/>
                <w:color w:val="000000"/>
                <w:sz w:val="18"/>
                <w:szCs w:val="18"/>
              </w:rPr>
              <w:t>二级指标</w:t>
            </w:r>
          </w:p>
        </w:tc>
        <w:tc>
          <w:tcPr>
            <w:tcW w:w="523" w:type="pct"/>
            <w:shd w:val="clear" w:color="auto" w:fill="auto"/>
            <w:vAlign w:val="center"/>
          </w:tcPr>
          <w:p>
            <w:pPr>
              <w:jc w:val="center"/>
              <w:rPr>
                <w:rFonts w:ascii="Times New Roman" w:hAnsi="Times New Roman" w:cs="Times New Roman" w:eastAsiaTheme="minorEastAsia"/>
                <w:b/>
                <w:bCs/>
                <w:color w:val="000000"/>
                <w:sz w:val="18"/>
                <w:szCs w:val="18"/>
              </w:rPr>
            </w:pPr>
            <w:r>
              <w:rPr>
                <w:rFonts w:ascii="Times New Roman" w:hAnsi="Times New Roman" w:cs="Times New Roman" w:eastAsiaTheme="minorEastAsia"/>
                <w:b/>
                <w:bCs/>
                <w:color w:val="000000"/>
                <w:sz w:val="18"/>
                <w:szCs w:val="18"/>
              </w:rPr>
              <w:t>三级指标</w:t>
            </w:r>
          </w:p>
        </w:tc>
        <w:tc>
          <w:tcPr>
            <w:tcW w:w="326" w:type="pct"/>
            <w:shd w:val="clear" w:color="auto" w:fill="auto"/>
            <w:vAlign w:val="center"/>
          </w:tcPr>
          <w:p>
            <w:pPr>
              <w:jc w:val="center"/>
              <w:rPr>
                <w:rFonts w:ascii="Times New Roman" w:hAnsi="Times New Roman" w:cs="Times New Roman" w:eastAsiaTheme="minorEastAsia"/>
                <w:b/>
                <w:bCs/>
                <w:color w:val="000000"/>
                <w:sz w:val="18"/>
                <w:szCs w:val="18"/>
              </w:rPr>
            </w:pPr>
            <w:r>
              <w:rPr>
                <w:rFonts w:ascii="Times New Roman" w:hAnsi="Times New Roman" w:cs="Times New Roman" w:eastAsiaTheme="minorEastAsia"/>
                <w:b/>
                <w:bCs/>
                <w:color w:val="000000"/>
                <w:sz w:val="18"/>
                <w:szCs w:val="18"/>
              </w:rPr>
              <w:t>标准分值</w:t>
            </w:r>
          </w:p>
        </w:tc>
        <w:tc>
          <w:tcPr>
            <w:tcW w:w="2053" w:type="pct"/>
            <w:shd w:val="clear" w:color="auto" w:fill="auto"/>
            <w:vAlign w:val="center"/>
          </w:tcPr>
          <w:p>
            <w:pPr>
              <w:jc w:val="center"/>
              <w:rPr>
                <w:rFonts w:ascii="Times New Roman" w:hAnsi="Times New Roman" w:cs="Times New Roman" w:eastAsiaTheme="minorEastAsia"/>
                <w:b/>
                <w:bCs/>
                <w:color w:val="000000"/>
                <w:sz w:val="18"/>
                <w:szCs w:val="18"/>
              </w:rPr>
            </w:pPr>
            <w:r>
              <w:rPr>
                <w:rFonts w:ascii="Times New Roman" w:hAnsi="Times New Roman" w:cs="Times New Roman" w:eastAsiaTheme="minorEastAsia"/>
                <w:b/>
                <w:bCs/>
                <w:color w:val="000000"/>
                <w:sz w:val="18"/>
                <w:szCs w:val="18"/>
              </w:rPr>
              <w:t>评价标准</w:t>
            </w:r>
          </w:p>
        </w:tc>
        <w:tc>
          <w:tcPr>
            <w:tcW w:w="331" w:type="pct"/>
            <w:shd w:val="clear" w:color="auto" w:fill="auto"/>
            <w:vAlign w:val="center"/>
          </w:tcPr>
          <w:p>
            <w:pPr>
              <w:jc w:val="center"/>
              <w:rPr>
                <w:rFonts w:ascii="Times New Roman" w:hAnsi="Times New Roman" w:cs="Times New Roman" w:eastAsiaTheme="minorEastAsia"/>
                <w:b/>
                <w:bCs/>
                <w:color w:val="000000"/>
                <w:sz w:val="18"/>
                <w:szCs w:val="18"/>
              </w:rPr>
            </w:pPr>
            <w:r>
              <w:rPr>
                <w:rFonts w:ascii="Times New Roman" w:hAnsi="Times New Roman" w:cs="Times New Roman" w:eastAsiaTheme="minorEastAsia"/>
                <w:b/>
                <w:bCs/>
                <w:color w:val="000000"/>
                <w:sz w:val="18"/>
                <w:szCs w:val="18"/>
              </w:rPr>
              <w:t>评价得分</w:t>
            </w:r>
          </w:p>
        </w:tc>
        <w:tc>
          <w:tcPr>
            <w:tcW w:w="1008" w:type="pct"/>
            <w:shd w:val="clear" w:color="auto" w:fill="auto"/>
            <w:vAlign w:val="center"/>
          </w:tcPr>
          <w:p>
            <w:pPr>
              <w:jc w:val="center"/>
              <w:rPr>
                <w:rFonts w:ascii="Times New Roman" w:hAnsi="Times New Roman" w:cs="Times New Roman" w:eastAsiaTheme="minorEastAsia"/>
                <w:b/>
                <w:bCs/>
                <w:color w:val="000000"/>
                <w:sz w:val="18"/>
                <w:szCs w:val="18"/>
              </w:rPr>
            </w:pPr>
            <w:r>
              <w:rPr>
                <w:rFonts w:ascii="Times New Roman" w:hAnsi="Times New Roman" w:cs="Times New Roman" w:eastAsiaTheme="minorEastAsia"/>
                <w:b/>
                <w:bCs/>
                <w:color w:val="000000"/>
                <w:sz w:val="18"/>
                <w:szCs w:val="18"/>
              </w:rPr>
              <w:t>扣分原因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5" w:type="pct"/>
            <w:vMerge w:val="restart"/>
            <w:shd w:val="clear" w:color="auto" w:fill="auto"/>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投入</w:t>
            </w:r>
          </w:p>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（15分）</w:t>
            </w:r>
          </w:p>
        </w:tc>
        <w:tc>
          <w:tcPr>
            <w:tcW w:w="361" w:type="pct"/>
            <w:vMerge w:val="restart"/>
            <w:shd w:val="clear" w:color="auto" w:fill="auto"/>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目标设定（6分）</w:t>
            </w:r>
          </w:p>
        </w:tc>
        <w:tc>
          <w:tcPr>
            <w:tcW w:w="523"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绩效目标合理性</w:t>
            </w:r>
          </w:p>
        </w:tc>
        <w:tc>
          <w:tcPr>
            <w:tcW w:w="326"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3</w:t>
            </w:r>
          </w:p>
        </w:tc>
        <w:tc>
          <w:tcPr>
            <w:tcW w:w="2053" w:type="pct"/>
            <w:shd w:val="clear" w:color="auto" w:fill="auto"/>
            <w:vAlign w:val="center"/>
          </w:tcPr>
          <w:p>
            <w:pPr>
              <w:spacing w:line="360" w:lineRule="exact"/>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绩效目标未达到以下标准的，每条扣0.5分，扣完为止：①符合国家法律法规、国民经济和社会发展总体规划；②符合部门“三定”方案确定的职责；③符合部门制定的中长期实施规划和年度工作计划。</w:t>
            </w:r>
          </w:p>
        </w:tc>
        <w:tc>
          <w:tcPr>
            <w:tcW w:w="331" w:type="pct"/>
            <w:shd w:val="clear" w:color="auto" w:fill="auto"/>
            <w:vAlign w:val="center"/>
          </w:tcPr>
          <w:p>
            <w:pPr>
              <w:spacing w:line="360" w:lineRule="exact"/>
              <w:jc w:val="center"/>
              <w:rPr>
                <w:rFonts w:hint="eastAsia"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3</w:t>
            </w:r>
          </w:p>
        </w:tc>
        <w:tc>
          <w:tcPr>
            <w:tcW w:w="1008" w:type="pct"/>
            <w:shd w:val="clear" w:color="auto" w:fill="auto"/>
            <w:vAlign w:val="center"/>
          </w:tcPr>
          <w:p>
            <w:pPr>
              <w:spacing w:line="360" w:lineRule="exact"/>
              <w:jc w:val="both"/>
              <w:rPr>
                <w:rFonts w:hint="default" w:ascii="Times New Roman" w:hAnsi="Times New Roman" w:cs="Times New Roman" w:eastAsiaTheme="minorEastAsia"/>
                <w:color w:val="000000"/>
                <w:sz w:val="18"/>
                <w:szCs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5"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vAlign w:val="center"/>
          </w:tcPr>
          <w:p>
            <w:pPr>
              <w:rPr>
                <w:rFonts w:ascii="Times New Roman" w:hAnsi="Times New Roman" w:cs="Times New Roman" w:eastAsiaTheme="minorEastAsia"/>
                <w:color w:val="000000"/>
                <w:sz w:val="18"/>
                <w:szCs w:val="18"/>
              </w:rPr>
            </w:pPr>
          </w:p>
        </w:tc>
        <w:tc>
          <w:tcPr>
            <w:tcW w:w="523"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绩效指标明确性</w:t>
            </w:r>
          </w:p>
        </w:tc>
        <w:tc>
          <w:tcPr>
            <w:tcW w:w="326"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3</w:t>
            </w:r>
          </w:p>
        </w:tc>
        <w:tc>
          <w:tcPr>
            <w:tcW w:w="2053" w:type="pct"/>
            <w:shd w:val="clear" w:color="auto" w:fill="auto"/>
            <w:vAlign w:val="center"/>
          </w:tcPr>
          <w:p>
            <w:pPr>
              <w:spacing w:line="360" w:lineRule="exact"/>
              <w:rPr>
                <w:rFonts w:ascii="Times New Roman" w:hAnsi="Times New Roman" w:cs="Times New Roman" w:eastAsiaTheme="minorEastAsia"/>
                <w:color w:val="000000"/>
                <w:sz w:val="18"/>
                <w:szCs w:val="18"/>
              </w:rPr>
            </w:pPr>
            <w:r>
              <w:rPr>
                <w:rFonts w:hint="eastAsia" w:ascii="Times New Roman" w:hAnsi="Times New Roman" w:cs="Times New Roman"/>
                <w:color w:val="000000"/>
                <w:sz w:val="18"/>
                <w:szCs w:val="18"/>
                <w:lang w:val="en-US" w:eastAsia="zh-CN"/>
              </w:rPr>
              <w:t>是否</w:t>
            </w:r>
            <w:r>
              <w:rPr>
                <w:rFonts w:ascii="Times New Roman" w:hAnsi="Times New Roman" w:cs="Times New Roman" w:eastAsiaTheme="minorEastAsia"/>
                <w:color w:val="000000"/>
                <w:sz w:val="18"/>
                <w:szCs w:val="18"/>
              </w:rPr>
              <w:t>将部门整体的绩效目标细化分解为具体的工作任务；通过清晰、可衡量的指标值予以体现。与部门年度的任务数或计划数相对应；与本年度部门预算资金相匹配。</w:t>
            </w:r>
            <w:r>
              <w:rPr>
                <w:rFonts w:hint="eastAsia" w:ascii="Times New Roman" w:hAnsi="Times New Roman" w:cs="Times New Roman"/>
                <w:color w:val="000000"/>
                <w:sz w:val="18"/>
                <w:szCs w:val="18"/>
                <w:lang w:val="en-US" w:eastAsia="zh-CN"/>
              </w:rPr>
              <w:t>每发现一项不符扣1分，</w:t>
            </w:r>
            <w:r>
              <w:rPr>
                <w:rFonts w:ascii="Times New Roman" w:hAnsi="Times New Roman" w:cs="Times New Roman" w:eastAsiaTheme="minorEastAsia"/>
                <w:color w:val="000000"/>
                <w:sz w:val="18"/>
                <w:szCs w:val="18"/>
              </w:rPr>
              <w:t>本项扣完为止。</w:t>
            </w:r>
          </w:p>
        </w:tc>
        <w:tc>
          <w:tcPr>
            <w:tcW w:w="331"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3</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5"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restart"/>
            <w:shd w:val="clear" w:color="auto" w:fill="auto"/>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预算配置（9分）</w:t>
            </w:r>
          </w:p>
        </w:tc>
        <w:tc>
          <w:tcPr>
            <w:tcW w:w="523"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hint="eastAsia" w:ascii="Times New Roman" w:hAnsi="Times New Roman" w:cs="Times New Roman"/>
                <w:color w:val="000000"/>
                <w:sz w:val="18"/>
                <w:szCs w:val="18"/>
                <w:lang w:val="en-US" w:eastAsia="zh-CN"/>
              </w:rPr>
              <w:t>在职</w:t>
            </w:r>
            <w:r>
              <w:rPr>
                <w:rFonts w:ascii="Times New Roman" w:hAnsi="Times New Roman" w:cs="Times New Roman" w:eastAsiaTheme="minorEastAsia"/>
                <w:color w:val="000000"/>
                <w:sz w:val="18"/>
                <w:szCs w:val="18"/>
              </w:rPr>
              <w:t>人员</w:t>
            </w:r>
          </w:p>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控制率</w:t>
            </w:r>
          </w:p>
        </w:tc>
        <w:tc>
          <w:tcPr>
            <w:tcW w:w="326"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3</w:t>
            </w:r>
          </w:p>
        </w:tc>
        <w:tc>
          <w:tcPr>
            <w:tcW w:w="2053" w:type="pct"/>
            <w:shd w:val="clear" w:color="auto" w:fill="auto"/>
            <w:vAlign w:val="center"/>
          </w:tcPr>
          <w:p>
            <w:pPr>
              <w:spacing w:line="360" w:lineRule="exact"/>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以100%为标准，</w:t>
            </w:r>
            <w:r>
              <w:rPr>
                <w:rFonts w:hint="eastAsia" w:ascii="Times New Roman" w:hAnsi="Times New Roman" w:cs="Times New Roman" w:eastAsiaTheme="minorEastAsia"/>
                <w:color w:val="000000"/>
                <w:sz w:val="18"/>
                <w:szCs w:val="18"/>
              </w:rPr>
              <w:t>在职人员控制率=（在职人员数/编制数）×100%。</w:t>
            </w:r>
            <w:r>
              <w:rPr>
                <w:rFonts w:hint="eastAsia" w:ascii="Times New Roman" w:hAnsi="Times New Roman" w:cs="Times New Roman"/>
                <w:color w:val="000000"/>
                <w:sz w:val="18"/>
                <w:szCs w:val="18"/>
                <w:lang w:val="en-US" w:eastAsia="zh-CN"/>
              </w:rPr>
              <w:t>在职人员</w:t>
            </w:r>
            <w:r>
              <w:rPr>
                <w:rFonts w:ascii="Times New Roman" w:hAnsi="Times New Roman" w:cs="Times New Roman" w:eastAsiaTheme="minorEastAsia"/>
                <w:color w:val="000000"/>
                <w:sz w:val="18"/>
                <w:szCs w:val="18"/>
              </w:rPr>
              <w:t>控制率≦100%，计3分，每超过1%，扣0.3分，扣完为止。</w:t>
            </w:r>
          </w:p>
        </w:tc>
        <w:tc>
          <w:tcPr>
            <w:tcW w:w="331"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3</w:t>
            </w:r>
          </w:p>
        </w:tc>
        <w:tc>
          <w:tcPr>
            <w:tcW w:w="1008" w:type="pct"/>
            <w:shd w:val="clear" w:color="auto" w:fill="auto"/>
            <w:vAlign w:val="center"/>
          </w:tcPr>
          <w:p>
            <w:pPr>
              <w:spacing w:line="360" w:lineRule="exact"/>
              <w:rPr>
                <w:rFonts w:hint="default" w:ascii="Times New Roman" w:hAnsi="Times New Roman" w:cs="Times New Roman" w:eastAsiaTheme="minorEastAsia"/>
                <w:color w:val="000000"/>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5"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523"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重点支出安排率</w:t>
            </w:r>
          </w:p>
        </w:tc>
        <w:tc>
          <w:tcPr>
            <w:tcW w:w="326"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6</w:t>
            </w:r>
          </w:p>
        </w:tc>
        <w:tc>
          <w:tcPr>
            <w:tcW w:w="2053"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重点支出安排率≥90%，计6分；每少10%扣1.5分；低于60%不得分。</w:t>
            </w:r>
          </w:p>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重点支出安排率=（重点预算支出/预算总支出）×100%。</w:t>
            </w:r>
          </w:p>
        </w:tc>
        <w:tc>
          <w:tcPr>
            <w:tcW w:w="331" w:type="pct"/>
            <w:shd w:val="clear" w:color="auto" w:fill="auto"/>
            <w:vAlign w:val="center"/>
          </w:tcPr>
          <w:p>
            <w:pPr>
              <w:spacing w:line="360" w:lineRule="exact"/>
              <w:jc w:val="center"/>
              <w:rPr>
                <w:rFonts w:hint="eastAsia"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6</w:t>
            </w:r>
          </w:p>
        </w:tc>
        <w:tc>
          <w:tcPr>
            <w:tcW w:w="1008" w:type="pct"/>
            <w:shd w:val="clear" w:color="auto" w:fill="auto"/>
            <w:vAlign w:val="center"/>
          </w:tcPr>
          <w:p>
            <w:pPr>
              <w:spacing w:line="360" w:lineRule="exact"/>
              <w:jc w:val="both"/>
              <w:rPr>
                <w:rFonts w:hint="default" w:ascii="Times New Roman" w:hAnsi="Times New Roman" w:cs="Times New Roman" w:eastAsiaTheme="minorEastAsia"/>
                <w:color w:val="000000"/>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5" w:type="pct"/>
            <w:vMerge w:val="restart"/>
            <w:shd w:val="clear" w:color="auto" w:fill="auto"/>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过程</w:t>
            </w:r>
          </w:p>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（25分）</w:t>
            </w:r>
          </w:p>
        </w:tc>
        <w:tc>
          <w:tcPr>
            <w:tcW w:w="361" w:type="pct"/>
            <w:vMerge w:val="restart"/>
            <w:shd w:val="clear" w:color="auto" w:fill="auto"/>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预算执行（10分）</w:t>
            </w:r>
          </w:p>
        </w:tc>
        <w:tc>
          <w:tcPr>
            <w:tcW w:w="523"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预算执行率</w:t>
            </w:r>
          </w:p>
        </w:tc>
        <w:tc>
          <w:tcPr>
            <w:tcW w:w="326"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2053"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以100%为标准。预算执行率每下降一个百分点扣0.1分，扣完为止。</w:t>
            </w:r>
          </w:p>
        </w:tc>
        <w:tc>
          <w:tcPr>
            <w:tcW w:w="331" w:type="pct"/>
            <w:shd w:val="clear" w:color="auto" w:fill="auto"/>
            <w:vAlign w:val="center"/>
          </w:tcPr>
          <w:p>
            <w:pPr>
              <w:spacing w:line="360" w:lineRule="exact"/>
              <w:jc w:val="center"/>
              <w:rPr>
                <w:rFonts w:hint="eastAsia"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2</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5"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523"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支出进度</w:t>
            </w:r>
          </w:p>
        </w:tc>
        <w:tc>
          <w:tcPr>
            <w:tcW w:w="326"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2053"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每发现一个项目未完成进度要求，完成资金下达的扣0.2分，扣完为止。</w:t>
            </w:r>
          </w:p>
        </w:tc>
        <w:tc>
          <w:tcPr>
            <w:tcW w:w="331"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2</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5"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523"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结转结余率</w:t>
            </w:r>
          </w:p>
        </w:tc>
        <w:tc>
          <w:tcPr>
            <w:tcW w:w="326"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2053"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无结余，2分；有结余但不超过上年结转，1分；每超过上年结转1个百分点扣0.1分，扣完为止。</w:t>
            </w:r>
          </w:p>
        </w:tc>
        <w:tc>
          <w:tcPr>
            <w:tcW w:w="331" w:type="pct"/>
            <w:shd w:val="clear" w:color="auto" w:fill="auto"/>
            <w:vAlign w:val="center"/>
          </w:tcPr>
          <w:p>
            <w:pPr>
              <w:spacing w:line="360" w:lineRule="exact"/>
              <w:jc w:val="center"/>
              <w:rPr>
                <w:rFonts w:hint="eastAsia"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2</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5"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523"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“三公经费”</w:t>
            </w:r>
          </w:p>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控制率</w:t>
            </w:r>
          </w:p>
        </w:tc>
        <w:tc>
          <w:tcPr>
            <w:tcW w:w="326"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2053"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以100%为标准。控制率≤100%，计2分；每超过一个百分点扣0.4分。</w:t>
            </w:r>
          </w:p>
        </w:tc>
        <w:tc>
          <w:tcPr>
            <w:tcW w:w="331" w:type="pct"/>
            <w:shd w:val="clear" w:color="auto" w:fill="auto"/>
            <w:vAlign w:val="center"/>
          </w:tcPr>
          <w:p>
            <w:pPr>
              <w:spacing w:line="340" w:lineRule="exact"/>
              <w:jc w:val="center"/>
              <w:rPr>
                <w:rFonts w:hint="eastAsia"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2</w:t>
            </w:r>
          </w:p>
        </w:tc>
        <w:tc>
          <w:tcPr>
            <w:tcW w:w="1008"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jc w:val="center"/>
        </w:trPr>
        <w:tc>
          <w:tcPr>
            <w:tcW w:w="395"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523"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政府采购执行率</w:t>
            </w:r>
          </w:p>
        </w:tc>
        <w:tc>
          <w:tcPr>
            <w:tcW w:w="326"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2053"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100%计满分，每低于1个百分点扣0.2分。</w:t>
            </w:r>
          </w:p>
        </w:tc>
        <w:tc>
          <w:tcPr>
            <w:tcW w:w="331" w:type="pct"/>
            <w:shd w:val="clear" w:color="auto" w:fill="auto"/>
            <w:vAlign w:val="center"/>
          </w:tcPr>
          <w:p>
            <w:pPr>
              <w:spacing w:line="34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0</w:t>
            </w:r>
          </w:p>
        </w:tc>
        <w:tc>
          <w:tcPr>
            <w:tcW w:w="1008" w:type="pct"/>
            <w:shd w:val="clear" w:color="auto" w:fill="auto"/>
            <w:vAlign w:val="center"/>
          </w:tcPr>
          <w:p>
            <w:pPr>
              <w:spacing w:line="340" w:lineRule="exact"/>
              <w:jc w:val="both"/>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政府采购决算远超预算数，存在无预算支出的情况，扣2分。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5"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restart"/>
            <w:shd w:val="clear" w:color="auto" w:fill="auto"/>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预算管理（12分）</w:t>
            </w:r>
          </w:p>
        </w:tc>
        <w:tc>
          <w:tcPr>
            <w:tcW w:w="523"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管理制度健全性</w:t>
            </w:r>
          </w:p>
        </w:tc>
        <w:tc>
          <w:tcPr>
            <w:tcW w:w="326"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3</w:t>
            </w:r>
          </w:p>
        </w:tc>
        <w:tc>
          <w:tcPr>
            <w:tcW w:w="2053"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①有制定管理制度，计1分；②管理制度合法、合规、完整，计1分；③相关管理制度得到有效执行计1分。</w:t>
            </w:r>
          </w:p>
        </w:tc>
        <w:tc>
          <w:tcPr>
            <w:tcW w:w="331" w:type="pct"/>
            <w:shd w:val="clear" w:color="auto" w:fill="auto"/>
            <w:vAlign w:val="center"/>
          </w:tcPr>
          <w:p>
            <w:pPr>
              <w:spacing w:line="34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2</w:t>
            </w:r>
          </w:p>
        </w:tc>
        <w:tc>
          <w:tcPr>
            <w:tcW w:w="1008" w:type="pct"/>
            <w:shd w:val="clear" w:color="auto" w:fill="auto"/>
            <w:vAlign w:val="center"/>
          </w:tcPr>
          <w:p>
            <w:pPr>
              <w:spacing w:line="340" w:lineRule="exact"/>
              <w:jc w:val="both"/>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单位政府采购超预算，政府采购</w:t>
            </w:r>
            <w:r>
              <w:rPr>
                <w:rFonts w:ascii="Times New Roman" w:hAnsi="Times New Roman" w:cs="Times New Roman" w:eastAsiaTheme="minorEastAsia"/>
                <w:color w:val="000000"/>
                <w:sz w:val="18"/>
                <w:szCs w:val="18"/>
              </w:rPr>
              <w:t>相关管理制度</w:t>
            </w:r>
            <w:r>
              <w:rPr>
                <w:rFonts w:hint="eastAsia" w:ascii="Times New Roman" w:hAnsi="Times New Roman" w:cs="Times New Roman"/>
                <w:color w:val="000000"/>
                <w:sz w:val="18"/>
                <w:szCs w:val="18"/>
                <w:lang w:val="en-US" w:eastAsia="zh-CN"/>
              </w:rPr>
              <w:t>未</w:t>
            </w:r>
            <w:r>
              <w:rPr>
                <w:rFonts w:ascii="Times New Roman" w:hAnsi="Times New Roman" w:cs="Times New Roman" w:eastAsiaTheme="minorEastAsia"/>
                <w:color w:val="000000"/>
                <w:sz w:val="18"/>
                <w:szCs w:val="18"/>
              </w:rPr>
              <w:t>得到有效执行计</w:t>
            </w:r>
            <w:r>
              <w:rPr>
                <w:rFonts w:hint="eastAsia" w:ascii="Times New Roman" w:hAnsi="Times New Roman" w:cs="Times New Roman"/>
                <w:color w:val="000000"/>
                <w:sz w:val="18"/>
                <w:szCs w:val="18"/>
                <w:lang w:eastAsia="zh-CN"/>
              </w:rPr>
              <w:t>，</w:t>
            </w:r>
            <w:r>
              <w:rPr>
                <w:rFonts w:hint="eastAsia" w:ascii="Times New Roman" w:hAnsi="Times New Roman" w:cs="Times New Roman"/>
                <w:color w:val="000000"/>
                <w:sz w:val="18"/>
                <w:szCs w:val="18"/>
                <w:lang w:val="en-US" w:eastAsia="zh-CN"/>
              </w:rPr>
              <w:t>扣</w:t>
            </w:r>
            <w:r>
              <w:rPr>
                <w:rFonts w:ascii="Times New Roman" w:hAnsi="Times New Roman" w:cs="Times New Roman" w:eastAsiaTheme="minorEastAsia"/>
                <w:color w:val="000000"/>
                <w:sz w:val="18"/>
                <w:szCs w:val="18"/>
              </w:rPr>
              <w:t>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5"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vAlign w:val="center"/>
          </w:tcPr>
          <w:p>
            <w:pPr>
              <w:rPr>
                <w:rFonts w:ascii="Times New Roman" w:hAnsi="Times New Roman" w:cs="Times New Roman" w:eastAsiaTheme="minorEastAsia"/>
                <w:color w:val="000000"/>
                <w:sz w:val="18"/>
                <w:szCs w:val="18"/>
              </w:rPr>
            </w:pPr>
          </w:p>
        </w:tc>
        <w:tc>
          <w:tcPr>
            <w:tcW w:w="523"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资金使用合规性</w:t>
            </w:r>
          </w:p>
        </w:tc>
        <w:tc>
          <w:tcPr>
            <w:tcW w:w="326"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5</w:t>
            </w:r>
          </w:p>
        </w:tc>
        <w:tc>
          <w:tcPr>
            <w:tcW w:w="2053"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①支出符合国家财经法规和财务管理制度规定以及有关专项资金管理办法的规定，2分。出现截留、挤占、挪用、虚列支出，大额现金支付、违规借出（占用）、乱发滥补、虚报冒领，转嫁支出、乱开户乱存放、私设小金库等违规行为，酌情扣分，扣完为止。</w:t>
            </w:r>
          </w:p>
          <w:p>
            <w:pPr>
              <w:spacing w:line="340" w:lineRule="exact"/>
              <w:jc w:val="both"/>
              <w:rPr>
                <w:rFonts w:ascii="Times New Roman" w:hAnsi="Times New Roman" w:cs="Times New Roman" w:eastAsiaTheme="minorEastAsia"/>
                <w:color w:val="000000"/>
                <w:sz w:val="18"/>
                <w:szCs w:val="18"/>
              </w:rPr>
            </w:pPr>
            <w:r>
              <w:rPr>
                <w:rFonts w:hint="eastAsia" w:ascii="Times New Roman" w:hAnsi="Times New Roman" w:cs="Times New Roman" w:eastAsiaTheme="minorEastAsia"/>
                <w:color w:val="000000"/>
                <w:sz w:val="18"/>
                <w:szCs w:val="18"/>
              </w:rPr>
              <w:t>②</w:t>
            </w:r>
            <w:r>
              <w:rPr>
                <w:rFonts w:ascii="Times New Roman" w:hAnsi="Times New Roman" w:cs="Times New Roman" w:eastAsiaTheme="minorEastAsia"/>
                <w:color w:val="000000"/>
                <w:sz w:val="18"/>
                <w:szCs w:val="18"/>
              </w:rPr>
              <w:t>资金拨付有完整的审批程序和手续，1分；</w:t>
            </w:r>
          </w:p>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③项目支出按规定经过评估论证，1分；</w:t>
            </w:r>
          </w:p>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④支出符合部门预算批复的用途，1分。</w:t>
            </w:r>
          </w:p>
        </w:tc>
        <w:tc>
          <w:tcPr>
            <w:tcW w:w="331" w:type="pct"/>
            <w:shd w:val="clear" w:color="auto" w:fill="auto"/>
            <w:vAlign w:val="center"/>
          </w:tcPr>
          <w:p>
            <w:pPr>
              <w:spacing w:line="34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5</w:t>
            </w:r>
          </w:p>
        </w:tc>
        <w:tc>
          <w:tcPr>
            <w:tcW w:w="1008"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5"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vAlign w:val="center"/>
          </w:tcPr>
          <w:p>
            <w:pPr>
              <w:rPr>
                <w:rFonts w:ascii="Times New Roman" w:hAnsi="Times New Roman" w:cs="Times New Roman" w:eastAsiaTheme="minorEastAsia"/>
                <w:color w:val="000000"/>
                <w:sz w:val="18"/>
                <w:szCs w:val="18"/>
              </w:rPr>
            </w:pPr>
          </w:p>
        </w:tc>
        <w:tc>
          <w:tcPr>
            <w:tcW w:w="523"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预决算信息</w:t>
            </w:r>
          </w:p>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公开性</w:t>
            </w:r>
          </w:p>
        </w:tc>
        <w:tc>
          <w:tcPr>
            <w:tcW w:w="326"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2053"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①按规定内容公开预决算信息，计1分；②按规定时限公开预决算信息，计1分。</w:t>
            </w:r>
          </w:p>
        </w:tc>
        <w:tc>
          <w:tcPr>
            <w:tcW w:w="331" w:type="pct"/>
            <w:shd w:val="clear" w:color="auto" w:fill="auto"/>
            <w:vAlign w:val="center"/>
          </w:tcPr>
          <w:p>
            <w:pPr>
              <w:spacing w:line="340" w:lineRule="exact"/>
              <w:jc w:val="center"/>
              <w:rPr>
                <w:rFonts w:hint="eastAsia"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2</w:t>
            </w:r>
          </w:p>
        </w:tc>
        <w:tc>
          <w:tcPr>
            <w:tcW w:w="1008"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5"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vAlign w:val="center"/>
          </w:tcPr>
          <w:p>
            <w:pPr>
              <w:rPr>
                <w:rFonts w:ascii="Times New Roman" w:hAnsi="Times New Roman" w:cs="Times New Roman" w:eastAsiaTheme="minorEastAsia"/>
                <w:color w:val="000000"/>
                <w:sz w:val="18"/>
                <w:szCs w:val="18"/>
              </w:rPr>
            </w:pPr>
          </w:p>
        </w:tc>
        <w:tc>
          <w:tcPr>
            <w:tcW w:w="523"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基础信息完善性</w:t>
            </w:r>
          </w:p>
        </w:tc>
        <w:tc>
          <w:tcPr>
            <w:tcW w:w="326"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2053"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①基础数据信息和会计信息资料真实，计1分；</w:t>
            </w:r>
          </w:p>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②基础数据信息和会计信息资料完整、准确，计1分。</w:t>
            </w:r>
          </w:p>
        </w:tc>
        <w:tc>
          <w:tcPr>
            <w:tcW w:w="331" w:type="pct"/>
            <w:shd w:val="clear" w:color="auto" w:fill="auto"/>
            <w:vAlign w:val="center"/>
          </w:tcPr>
          <w:p>
            <w:pPr>
              <w:spacing w:line="340" w:lineRule="exact"/>
              <w:jc w:val="center"/>
              <w:rPr>
                <w:rFonts w:hint="eastAsia"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2</w:t>
            </w:r>
          </w:p>
        </w:tc>
        <w:tc>
          <w:tcPr>
            <w:tcW w:w="1008"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5"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restart"/>
            <w:shd w:val="clear" w:color="auto" w:fill="auto"/>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资产管理（3分）</w:t>
            </w:r>
          </w:p>
        </w:tc>
        <w:tc>
          <w:tcPr>
            <w:tcW w:w="523"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资产管理安全性</w:t>
            </w:r>
          </w:p>
        </w:tc>
        <w:tc>
          <w:tcPr>
            <w:tcW w:w="326"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2053"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①资产保存完整，计0.5分；</w:t>
            </w:r>
          </w:p>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②资产配置合理，计0.5分；</w:t>
            </w:r>
          </w:p>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③资产配置规范，计0.5分；</w:t>
            </w:r>
          </w:p>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④资产账务管理合规，账实相符，计0.5分。</w:t>
            </w:r>
          </w:p>
        </w:tc>
        <w:tc>
          <w:tcPr>
            <w:tcW w:w="331" w:type="pct"/>
            <w:shd w:val="clear" w:color="auto" w:fill="auto"/>
            <w:vAlign w:val="center"/>
          </w:tcPr>
          <w:p>
            <w:pPr>
              <w:spacing w:line="34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0</w:t>
            </w:r>
          </w:p>
        </w:tc>
        <w:tc>
          <w:tcPr>
            <w:tcW w:w="1008"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hint="eastAsia" w:ascii="Times New Roman" w:hAnsi="Times New Roman" w:cs="Times New Roman" w:eastAsiaTheme="minorEastAsia"/>
                <w:color w:val="000000"/>
                <w:sz w:val="18"/>
                <w:szCs w:val="18"/>
              </w:rPr>
              <w:t>一是资产未贴标；二是存在资产分类、资产品牌录入错误的情况，扣</w:t>
            </w:r>
            <w:r>
              <w:rPr>
                <w:rFonts w:hint="eastAsia" w:ascii="Times New Roman" w:hAnsi="Times New Roman" w:cs="Times New Roman"/>
                <w:color w:val="000000"/>
                <w:sz w:val="18"/>
                <w:szCs w:val="18"/>
                <w:lang w:val="en-US" w:eastAsia="zh-CN"/>
              </w:rPr>
              <w:t>2</w:t>
            </w:r>
            <w:r>
              <w:rPr>
                <w:rFonts w:hint="eastAsia" w:ascii="Times New Roman" w:hAnsi="Times New Roman" w:cs="Times New Roman" w:eastAsiaTheme="minorEastAsia"/>
                <w:color w:val="000000"/>
                <w:sz w:val="18"/>
                <w:szCs w:val="1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5"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vAlign w:val="center"/>
          </w:tcPr>
          <w:p>
            <w:pPr>
              <w:rPr>
                <w:rFonts w:ascii="Times New Roman" w:hAnsi="Times New Roman" w:cs="Times New Roman" w:eastAsiaTheme="minorEastAsia"/>
                <w:color w:val="000000"/>
                <w:sz w:val="18"/>
                <w:szCs w:val="18"/>
              </w:rPr>
            </w:pPr>
          </w:p>
        </w:tc>
        <w:tc>
          <w:tcPr>
            <w:tcW w:w="523"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固定资产利用率</w:t>
            </w:r>
          </w:p>
        </w:tc>
        <w:tc>
          <w:tcPr>
            <w:tcW w:w="326"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1</w:t>
            </w:r>
          </w:p>
        </w:tc>
        <w:tc>
          <w:tcPr>
            <w:tcW w:w="2053"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每低于100%一个百分点扣0.1分，扣完为止。</w:t>
            </w:r>
          </w:p>
        </w:tc>
        <w:tc>
          <w:tcPr>
            <w:tcW w:w="331" w:type="pct"/>
            <w:shd w:val="clear" w:color="auto" w:fill="auto"/>
            <w:vAlign w:val="center"/>
          </w:tcPr>
          <w:p>
            <w:pPr>
              <w:spacing w:line="340" w:lineRule="exact"/>
              <w:jc w:val="center"/>
              <w:rPr>
                <w:rFonts w:hint="eastAsia"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1</w:t>
            </w:r>
          </w:p>
        </w:tc>
        <w:tc>
          <w:tcPr>
            <w:tcW w:w="1008"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5" w:type="pct"/>
            <w:vMerge w:val="restart"/>
            <w:shd w:val="clear" w:color="auto" w:fill="auto"/>
            <w:vAlign w:val="center"/>
          </w:tcPr>
          <w:p>
            <w:pPr>
              <w:spacing w:line="37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产出</w:t>
            </w:r>
          </w:p>
          <w:p>
            <w:pPr>
              <w:spacing w:line="37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w:t>
            </w:r>
            <w:r>
              <w:rPr>
                <w:rFonts w:hint="eastAsia" w:ascii="Times New Roman" w:hAnsi="Times New Roman" w:cs="Times New Roman"/>
                <w:color w:val="000000"/>
                <w:sz w:val="18"/>
                <w:szCs w:val="18"/>
                <w:lang w:val="en-US" w:eastAsia="zh-CN"/>
              </w:rPr>
              <w:t>30</w:t>
            </w:r>
            <w:r>
              <w:rPr>
                <w:rFonts w:ascii="Times New Roman" w:hAnsi="Times New Roman" w:cs="Times New Roman" w:eastAsiaTheme="minorEastAsia"/>
                <w:color w:val="000000"/>
                <w:sz w:val="18"/>
                <w:szCs w:val="18"/>
              </w:rPr>
              <w:t>分）</w:t>
            </w:r>
          </w:p>
        </w:tc>
        <w:tc>
          <w:tcPr>
            <w:tcW w:w="361" w:type="pct"/>
            <w:vMerge w:val="restart"/>
            <w:shd w:val="clear" w:color="auto" w:fill="auto"/>
            <w:vAlign w:val="center"/>
          </w:tcPr>
          <w:p>
            <w:pPr>
              <w:spacing w:line="37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职责履行（</w:t>
            </w:r>
            <w:r>
              <w:rPr>
                <w:rFonts w:hint="eastAsia" w:ascii="Times New Roman" w:hAnsi="Times New Roman" w:cs="Times New Roman"/>
                <w:color w:val="000000"/>
                <w:sz w:val="18"/>
                <w:szCs w:val="18"/>
                <w:lang w:val="en-US" w:eastAsia="zh-CN"/>
              </w:rPr>
              <w:t>30</w:t>
            </w:r>
            <w:r>
              <w:rPr>
                <w:rFonts w:ascii="Times New Roman" w:hAnsi="Times New Roman" w:cs="Times New Roman" w:eastAsiaTheme="minorEastAsia"/>
                <w:color w:val="000000"/>
                <w:sz w:val="18"/>
                <w:szCs w:val="18"/>
              </w:rPr>
              <w:t>分）</w:t>
            </w:r>
          </w:p>
        </w:tc>
        <w:tc>
          <w:tcPr>
            <w:tcW w:w="523" w:type="pct"/>
            <w:shd w:val="clear" w:color="auto" w:fill="auto"/>
            <w:vAlign w:val="center"/>
          </w:tcPr>
          <w:p>
            <w:pPr>
              <w:spacing w:line="370" w:lineRule="exact"/>
              <w:jc w:val="center"/>
              <w:rPr>
                <w:rFonts w:ascii="Times New Roman" w:hAnsi="Times New Roman" w:cs="Times New Roman" w:eastAsiaTheme="minorEastAsia"/>
                <w:color w:val="000000"/>
                <w:sz w:val="18"/>
                <w:szCs w:val="18"/>
              </w:rPr>
            </w:pPr>
            <w:r>
              <w:rPr>
                <w:rFonts w:hint="eastAsia" w:ascii="Times New Roman" w:hAnsi="Times New Roman" w:cs="Times New Roman" w:eastAsiaTheme="minorEastAsia"/>
                <w:color w:val="000000"/>
                <w:sz w:val="18"/>
                <w:szCs w:val="18"/>
              </w:rPr>
              <w:t>全区医保缴费人数</w:t>
            </w:r>
          </w:p>
        </w:tc>
        <w:tc>
          <w:tcPr>
            <w:tcW w:w="326" w:type="pct"/>
            <w:shd w:val="clear" w:color="auto" w:fill="auto"/>
            <w:vAlign w:val="center"/>
          </w:tcPr>
          <w:p>
            <w:pPr>
              <w:spacing w:line="37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10</w:t>
            </w:r>
          </w:p>
        </w:tc>
        <w:tc>
          <w:tcPr>
            <w:tcW w:w="2053" w:type="pct"/>
            <w:shd w:val="clear" w:color="auto" w:fill="auto"/>
            <w:vAlign w:val="center"/>
          </w:tcPr>
          <w:p>
            <w:pPr>
              <w:spacing w:line="370" w:lineRule="exact"/>
              <w:jc w:val="both"/>
              <w:rPr>
                <w:rFonts w:ascii="Times New Roman" w:hAnsi="Times New Roman" w:cs="Times New Roman" w:eastAsiaTheme="minorEastAsia"/>
                <w:color w:val="000000"/>
                <w:sz w:val="18"/>
                <w:szCs w:val="18"/>
              </w:rPr>
            </w:pPr>
            <w:r>
              <w:rPr>
                <w:rFonts w:hint="eastAsia" w:ascii="Times New Roman" w:hAnsi="Times New Roman" w:cs="Times New Roman" w:eastAsiaTheme="minorEastAsia"/>
                <w:color w:val="000000"/>
                <w:sz w:val="18"/>
                <w:szCs w:val="18"/>
              </w:rPr>
              <w:t>全区医保缴费人数</w:t>
            </w:r>
            <w:r>
              <w:rPr>
                <w:rFonts w:hint="eastAsia" w:ascii="Times New Roman" w:hAnsi="Times New Roman" w:cs="Times New Roman"/>
                <w:color w:val="000000"/>
                <w:sz w:val="18"/>
                <w:szCs w:val="18"/>
                <w:lang w:val="en-US" w:eastAsia="zh-CN"/>
              </w:rPr>
              <w:t>达到</w:t>
            </w:r>
            <w:r>
              <w:rPr>
                <w:rFonts w:hint="eastAsia" w:ascii="Times New Roman" w:hAnsi="Times New Roman" w:cs="Times New Roman" w:eastAsiaTheme="minorEastAsia"/>
                <w:color w:val="000000"/>
                <w:sz w:val="18"/>
                <w:szCs w:val="18"/>
              </w:rPr>
              <w:t>75745人</w:t>
            </w:r>
            <w:r>
              <w:rPr>
                <w:rFonts w:ascii="Times New Roman" w:hAnsi="Times New Roman" w:cs="Times New Roman" w:eastAsiaTheme="minorEastAsia"/>
                <w:color w:val="000000"/>
                <w:sz w:val="18"/>
                <w:szCs w:val="18"/>
              </w:rPr>
              <w:t>，</w:t>
            </w:r>
            <w:r>
              <w:rPr>
                <w:rFonts w:hint="eastAsia" w:ascii="Times New Roman" w:hAnsi="Times New Roman" w:cs="Times New Roman"/>
                <w:color w:val="000000"/>
                <w:sz w:val="18"/>
                <w:szCs w:val="18"/>
                <w:lang w:val="en-US" w:eastAsia="zh-CN"/>
              </w:rPr>
              <w:t>工作</w:t>
            </w:r>
            <w:r>
              <w:rPr>
                <w:rFonts w:ascii="Times New Roman" w:hAnsi="Times New Roman" w:cs="Times New Roman" w:eastAsiaTheme="minorEastAsia"/>
                <w:color w:val="000000"/>
                <w:sz w:val="18"/>
                <w:szCs w:val="18"/>
              </w:rPr>
              <w:t>完成率100%，计</w:t>
            </w:r>
            <w:r>
              <w:rPr>
                <w:rFonts w:hint="eastAsia" w:ascii="Times New Roman" w:hAnsi="Times New Roman" w:cs="Times New Roman"/>
                <w:color w:val="000000"/>
                <w:sz w:val="18"/>
                <w:szCs w:val="18"/>
                <w:lang w:val="en-US" w:eastAsia="zh-CN"/>
              </w:rPr>
              <w:t>6</w:t>
            </w:r>
            <w:r>
              <w:rPr>
                <w:rFonts w:ascii="Times New Roman" w:hAnsi="Times New Roman" w:cs="Times New Roman" w:eastAsiaTheme="minorEastAsia"/>
                <w:color w:val="000000"/>
                <w:sz w:val="18"/>
                <w:szCs w:val="18"/>
              </w:rPr>
              <w:t>分。未达到按实际完成情况得分。</w:t>
            </w:r>
          </w:p>
          <w:p>
            <w:pPr>
              <w:spacing w:line="370" w:lineRule="exact"/>
              <w:jc w:val="both"/>
              <w:rPr>
                <w:rFonts w:hint="eastAsia" w:ascii="Times New Roman" w:hAnsi="Times New Roman" w:cs="Times New Roman" w:eastAsiaTheme="minorEastAsia"/>
                <w:color w:val="000000"/>
                <w:sz w:val="18"/>
                <w:szCs w:val="18"/>
                <w:lang w:eastAsia="zh-CN"/>
              </w:rPr>
            </w:pPr>
            <w:r>
              <w:rPr>
                <w:rFonts w:ascii="Times New Roman" w:hAnsi="Times New Roman" w:cs="Times New Roman" w:eastAsiaTheme="minorEastAsia"/>
                <w:color w:val="000000"/>
                <w:sz w:val="18"/>
                <w:szCs w:val="18"/>
              </w:rPr>
              <w:t>指标分值=（实际完成额/计划完成额）×100%*指标标准分值</w:t>
            </w:r>
            <w:r>
              <w:rPr>
                <w:rFonts w:hint="eastAsia" w:ascii="Times New Roman" w:hAnsi="Times New Roman" w:cs="Times New Roman"/>
                <w:color w:val="000000"/>
                <w:sz w:val="18"/>
                <w:szCs w:val="18"/>
                <w:lang w:eastAsia="zh-CN"/>
              </w:rPr>
              <w:t>。</w:t>
            </w:r>
          </w:p>
        </w:tc>
        <w:tc>
          <w:tcPr>
            <w:tcW w:w="331" w:type="pct"/>
            <w:shd w:val="clear" w:color="auto" w:fill="auto"/>
            <w:vAlign w:val="center"/>
          </w:tcPr>
          <w:p>
            <w:pPr>
              <w:spacing w:line="37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10</w:t>
            </w:r>
          </w:p>
        </w:tc>
        <w:tc>
          <w:tcPr>
            <w:tcW w:w="1008" w:type="pct"/>
            <w:shd w:val="clear" w:color="auto" w:fill="auto"/>
            <w:vAlign w:val="center"/>
          </w:tcPr>
          <w:p>
            <w:pPr>
              <w:spacing w:line="37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395" w:type="pct"/>
            <w:vMerge w:val="continue"/>
            <w:vAlign w:val="center"/>
          </w:tcPr>
          <w:p>
            <w:pPr>
              <w:spacing w:line="370" w:lineRule="exact"/>
              <w:rPr>
                <w:rFonts w:ascii="Times New Roman" w:hAnsi="Times New Roman" w:cs="Times New Roman" w:eastAsiaTheme="minorEastAsia"/>
                <w:color w:val="000000"/>
                <w:sz w:val="18"/>
                <w:szCs w:val="18"/>
              </w:rPr>
            </w:pPr>
          </w:p>
        </w:tc>
        <w:tc>
          <w:tcPr>
            <w:tcW w:w="361" w:type="pct"/>
            <w:vMerge w:val="continue"/>
            <w:vAlign w:val="center"/>
          </w:tcPr>
          <w:p>
            <w:pPr>
              <w:spacing w:line="370" w:lineRule="exact"/>
              <w:rPr>
                <w:rFonts w:ascii="Times New Roman" w:hAnsi="Times New Roman" w:cs="Times New Roman" w:eastAsiaTheme="minorEastAsia"/>
                <w:color w:val="000000"/>
                <w:sz w:val="18"/>
                <w:szCs w:val="18"/>
              </w:rPr>
            </w:pPr>
          </w:p>
        </w:tc>
        <w:tc>
          <w:tcPr>
            <w:tcW w:w="523" w:type="pct"/>
            <w:shd w:val="clear" w:color="auto" w:fill="auto"/>
            <w:vAlign w:val="center"/>
          </w:tcPr>
          <w:p>
            <w:pPr>
              <w:spacing w:line="370" w:lineRule="exact"/>
              <w:jc w:val="center"/>
              <w:rPr>
                <w:rFonts w:hint="default" w:ascii="Times New Roman" w:hAnsi="Times New Roman" w:cs="Times New Roman" w:eastAsiaTheme="minorEastAsia"/>
                <w:color w:val="000000"/>
                <w:sz w:val="18"/>
                <w:szCs w:val="18"/>
                <w:lang w:val="en-US" w:eastAsia="zh-CN"/>
              </w:rPr>
            </w:pPr>
            <w:r>
              <w:rPr>
                <w:rFonts w:hint="default" w:ascii="Times New Roman" w:hAnsi="Times New Roman" w:cs="Times New Roman" w:eastAsiaTheme="minorEastAsia"/>
                <w:color w:val="000000"/>
                <w:sz w:val="18"/>
                <w:szCs w:val="18"/>
                <w:lang w:val="en-US" w:eastAsia="zh-CN"/>
              </w:rPr>
              <w:t>特殊困难人群参保率</w:t>
            </w:r>
          </w:p>
        </w:tc>
        <w:tc>
          <w:tcPr>
            <w:tcW w:w="326" w:type="pct"/>
            <w:shd w:val="clear" w:color="auto" w:fill="auto"/>
            <w:vAlign w:val="center"/>
          </w:tcPr>
          <w:p>
            <w:pPr>
              <w:spacing w:line="370" w:lineRule="exact"/>
              <w:jc w:val="center"/>
              <w:rPr>
                <w:rFonts w:hint="eastAsia"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6</w:t>
            </w:r>
          </w:p>
        </w:tc>
        <w:tc>
          <w:tcPr>
            <w:tcW w:w="2053" w:type="pct"/>
            <w:shd w:val="clear" w:color="auto" w:fill="auto"/>
            <w:vAlign w:val="center"/>
          </w:tcPr>
          <w:p>
            <w:pPr>
              <w:spacing w:line="370" w:lineRule="exact"/>
              <w:jc w:val="both"/>
              <w:rPr>
                <w:rFonts w:hint="eastAsia" w:ascii="Times New Roman" w:hAnsi="Times New Roman" w:cs="Times New Roman" w:eastAsiaTheme="minorEastAsia"/>
                <w:color w:val="000000"/>
                <w:sz w:val="18"/>
                <w:szCs w:val="18"/>
              </w:rPr>
            </w:pPr>
            <w:r>
              <w:rPr>
                <w:rFonts w:hint="eastAsia" w:ascii="Times New Roman" w:hAnsi="Times New Roman" w:cs="Times New Roman" w:eastAsiaTheme="minorEastAsia"/>
                <w:color w:val="000000"/>
                <w:sz w:val="18"/>
                <w:szCs w:val="18"/>
                <w:lang w:val="en-US" w:eastAsia="zh-CN"/>
              </w:rPr>
              <w:t>达到100%，得6分，</w:t>
            </w:r>
            <w:r>
              <w:rPr>
                <w:rFonts w:hint="eastAsia" w:ascii="Times New Roman" w:hAnsi="Times New Roman" w:cs="Times New Roman" w:eastAsiaTheme="minorEastAsia"/>
                <w:color w:val="000000"/>
                <w:sz w:val="18"/>
                <w:szCs w:val="18"/>
              </w:rPr>
              <w:t>未达到按实际完成情况得分。每下降5%，扣1分，扣完为止。</w:t>
            </w:r>
          </w:p>
        </w:tc>
        <w:tc>
          <w:tcPr>
            <w:tcW w:w="331" w:type="pct"/>
            <w:shd w:val="clear" w:color="auto" w:fill="auto"/>
            <w:vAlign w:val="center"/>
          </w:tcPr>
          <w:p>
            <w:pPr>
              <w:spacing w:line="37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6</w:t>
            </w:r>
          </w:p>
        </w:tc>
        <w:tc>
          <w:tcPr>
            <w:tcW w:w="1008" w:type="pct"/>
            <w:shd w:val="clear" w:color="auto" w:fill="auto"/>
            <w:vAlign w:val="center"/>
          </w:tcPr>
          <w:p>
            <w:pPr>
              <w:spacing w:line="37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jc w:val="center"/>
        </w:trPr>
        <w:tc>
          <w:tcPr>
            <w:tcW w:w="395" w:type="pct"/>
            <w:vMerge w:val="continue"/>
            <w:vAlign w:val="center"/>
          </w:tcPr>
          <w:p>
            <w:pPr>
              <w:spacing w:line="370" w:lineRule="exact"/>
              <w:rPr>
                <w:rFonts w:ascii="Times New Roman" w:hAnsi="Times New Roman" w:cs="Times New Roman" w:eastAsiaTheme="minorEastAsia"/>
                <w:color w:val="000000"/>
                <w:sz w:val="18"/>
                <w:szCs w:val="18"/>
              </w:rPr>
            </w:pPr>
          </w:p>
        </w:tc>
        <w:tc>
          <w:tcPr>
            <w:tcW w:w="361" w:type="pct"/>
            <w:vMerge w:val="continue"/>
            <w:vAlign w:val="center"/>
          </w:tcPr>
          <w:p>
            <w:pPr>
              <w:spacing w:line="370" w:lineRule="exact"/>
              <w:rPr>
                <w:rFonts w:ascii="Times New Roman" w:hAnsi="Times New Roman" w:cs="Times New Roman" w:eastAsiaTheme="minorEastAsia"/>
                <w:color w:val="000000"/>
                <w:sz w:val="18"/>
                <w:szCs w:val="18"/>
              </w:rPr>
            </w:pPr>
          </w:p>
        </w:tc>
        <w:tc>
          <w:tcPr>
            <w:tcW w:w="523" w:type="pct"/>
            <w:shd w:val="clear" w:color="auto" w:fill="auto"/>
            <w:vAlign w:val="center"/>
          </w:tcPr>
          <w:p>
            <w:pPr>
              <w:spacing w:line="370" w:lineRule="exact"/>
              <w:jc w:val="center"/>
              <w:rPr>
                <w:rFonts w:hint="default" w:ascii="Times New Roman" w:hAnsi="Times New Roman" w:cs="Times New Roman"/>
                <w:color w:val="000000"/>
                <w:sz w:val="18"/>
                <w:szCs w:val="18"/>
                <w:lang w:val="en-US" w:eastAsia="zh-CN"/>
              </w:rPr>
            </w:pPr>
            <w:r>
              <w:rPr>
                <w:rFonts w:hint="default" w:ascii="Times New Roman" w:hAnsi="Times New Roman" w:cs="Times New Roman"/>
                <w:color w:val="000000"/>
                <w:sz w:val="18"/>
                <w:szCs w:val="18"/>
                <w:lang w:val="en-US" w:eastAsia="zh-CN"/>
              </w:rPr>
              <w:t>全区统筹参保率</w:t>
            </w:r>
          </w:p>
        </w:tc>
        <w:tc>
          <w:tcPr>
            <w:tcW w:w="326" w:type="pct"/>
            <w:shd w:val="clear" w:color="auto" w:fill="auto"/>
            <w:vAlign w:val="center"/>
          </w:tcPr>
          <w:p>
            <w:pPr>
              <w:spacing w:line="370" w:lineRule="exact"/>
              <w:jc w:val="center"/>
              <w:rPr>
                <w:rFonts w:hint="eastAsia"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6</w:t>
            </w:r>
          </w:p>
        </w:tc>
        <w:tc>
          <w:tcPr>
            <w:tcW w:w="2053" w:type="pct"/>
            <w:shd w:val="clear" w:color="auto" w:fill="auto"/>
            <w:vAlign w:val="center"/>
          </w:tcPr>
          <w:p>
            <w:pPr>
              <w:spacing w:line="370" w:lineRule="exact"/>
              <w:jc w:val="both"/>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eastAsiaTheme="minorEastAsia"/>
                <w:color w:val="000000"/>
                <w:sz w:val="18"/>
                <w:szCs w:val="18"/>
                <w:lang w:val="en-US" w:eastAsia="zh-CN"/>
              </w:rPr>
              <w:t>达到</w:t>
            </w:r>
            <w:r>
              <w:rPr>
                <w:rFonts w:hint="eastAsia" w:ascii="Times New Roman" w:hAnsi="Times New Roman" w:cs="Times New Roman"/>
                <w:color w:val="000000"/>
                <w:sz w:val="18"/>
                <w:szCs w:val="18"/>
                <w:lang w:val="en-US" w:eastAsia="zh-CN"/>
              </w:rPr>
              <w:t>100%，得6分，</w:t>
            </w:r>
            <w:r>
              <w:rPr>
                <w:rFonts w:ascii="Times New Roman" w:hAnsi="Times New Roman" w:cs="Times New Roman" w:eastAsiaTheme="minorEastAsia"/>
                <w:color w:val="000000"/>
                <w:sz w:val="18"/>
                <w:szCs w:val="18"/>
              </w:rPr>
              <w:t>未达到按实际完成情况得分。每下降5%，扣1分，扣完为止。</w:t>
            </w:r>
          </w:p>
        </w:tc>
        <w:tc>
          <w:tcPr>
            <w:tcW w:w="331" w:type="pct"/>
            <w:shd w:val="clear" w:color="auto" w:fill="auto"/>
            <w:vAlign w:val="center"/>
          </w:tcPr>
          <w:p>
            <w:pPr>
              <w:spacing w:line="37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6</w:t>
            </w:r>
          </w:p>
        </w:tc>
        <w:tc>
          <w:tcPr>
            <w:tcW w:w="1008" w:type="pct"/>
            <w:shd w:val="clear" w:color="auto" w:fill="auto"/>
            <w:vAlign w:val="center"/>
          </w:tcPr>
          <w:p>
            <w:pPr>
              <w:spacing w:line="37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5" w:type="pct"/>
            <w:vMerge w:val="continue"/>
            <w:vAlign w:val="center"/>
          </w:tcPr>
          <w:p>
            <w:pPr>
              <w:spacing w:line="370" w:lineRule="exact"/>
              <w:rPr>
                <w:rFonts w:ascii="Times New Roman" w:hAnsi="Times New Roman" w:cs="Times New Roman" w:eastAsiaTheme="minorEastAsia"/>
                <w:color w:val="000000"/>
                <w:sz w:val="18"/>
                <w:szCs w:val="18"/>
              </w:rPr>
            </w:pPr>
          </w:p>
        </w:tc>
        <w:tc>
          <w:tcPr>
            <w:tcW w:w="361" w:type="pct"/>
            <w:vMerge w:val="continue"/>
            <w:vAlign w:val="center"/>
          </w:tcPr>
          <w:p>
            <w:pPr>
              <w:spacing w:line="370" w:lineRule="exact"/>
              <w:rPr>
                <w:rFonts w:ascii="Times New Roman" w:hAnsi="Times New Roman" w:cs="Times New Roman" w:eastAsiaTheme="minorEastAsia"/>
                <w:color w:val="000000"/>
                <w:sz w:val="18"/>
                <w:szCs w:val="18"/>
              </w:rPr>
            </w:pPr>
          </w:p>
        </w:tc>
        <w:tc>
          <w:tcPr>
            <w:tcW w:w="523" w:type="pct"/>
            <w:shd w:val="clear" w:color="auto" w:fill="auto"/>
            <w:vAlign w:val="center"/>
          </w:tcPr>
          <w:p>
            <w:pPr>
              <w:spacing w:line="370" w:lineRule="exact"/>
              <w:jc w:val="center"/>
              <w:rPr>
                <w:rFonts w:hint="eastAsia" w:ascii="Times New Roman" w:hAnsi="Times New Roman" w:cs="Times New Roman" w:eastAsiaTheme="minorEastAsia"/>
                <w:color w:val="000000"/>
                <w:sz w:val="18"/>
                <w:szCs w:val="18"/>
                <w:lang w:eastAsia="zh-CN"/>
              </w:rPr>
            </w:pPr>
            <w:r>
              <w:rPr>
                <w:rFonts w:hint="eastAsia" w:ascii="Times New Roman" w:hAnsi="Times New Roman" w:cs="Times New Roman" w:eastAsiaTheme="minorEastAsia"/>
                <w:color w:val="000000"/>
                <w:sz w:val="18"/>
                <w:szCs w:val="18"/>
                <w:lang w:eastAsia="zh-CN"/>
              </w:rPr>
              <w:t>重点工作办结率</w:t>
            </w:r>
          </w:p>
        </w:tc>
        <w:tc>
          <w:tcPr>
            <w:tcW w:w="326" w:type="pct"/>
            <w:shd w:val="clear" w:color="auto" w:fill="auto"/>
            <w:vAlign w:val="center"/>
          </w:tcPr>
          <w:p>
            <w:pPr>
              <w:spacing w:line="370" w:lineRule="exact"/>
              <w:jc w:val="center"/>
              <w:rPr>
                <w:rFonts w:hint="eastAsia"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4</w:t>
            </w:r>
          </w:p>
        </w:tc>
        <w:tc>
          <w:tcPr>
            <w:tcW w:w="2053" w:type="pct"/>
            <w:shd w:val="clear" w:color="auto" w:fill="auto"/>
            <w:vAlign w:val="center"/>
          </w:tcPr>
          <w:p>
            <w:pPr>
              <w:spacing w:line="37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在计划时间内</w:t>
            </w:r>
            <w:r>
              <w:rPr>
                <w:rFonts w:hint="eastAsia" w:ascii="Times New Roman" w:hAnsi="Times New Roman" w:cs="Times New Roman"/>
                <w:color w:val="000000"/>
                <w:sz w:val="18"/>
                <w:szCs w:val="18"/>
                <w:lang w:val="en-US" w:eastAsia="zh-CN"/>
              </w:rPr>
              <w:t>完成工作</w:t>
            </w:r>
            <w:r>
              <w:rPr>
                <w:rFonts w:ascii="Times New Roman" w:hAnsi="Times New Roman" w:cs="Times New Roman" w:eastAsiaTheme="minorEastAsia"/>
                <w:color w:val="000000"/>
                <w:sz w:val="18"/>
                <w:szCs w:val="18"/>
              </w:rPr>
              <w:t>，得4分，</w:t>
            </w:r>
            <w:r>
              <w:rPr>
                <w:rFonts w:hint="eastAsia" w:ascii="Times New Roman" w:hAnsi="Times New Roman" w:cs="Times New Roman" w:eastAsiaTheme="minorEastAsia"/>
                <w:color w:val="000000"/>
                <w:sz w:val="18"/>
                <w:szCs w:val="18"/>
              </w:rPr>
              <w:t>未按时</w:t>
            </w:r>
            <w:r>
              <w:rPr>
                <w:rFonts w:hint="eastAsia" w:ascii="Times New Roman" w:hAnsi="Times New Roman" w:cs="Times New Roman"/>
                <w:color w:val="000000"/>
                <w:sz w:val="18"/>
                <w:szCs w:val="18"/>
                <w:lang w:val="en-US" w:eastAsia="zh-CN"/>
              </w:rPr>
              <w:t>完成</w:t>
            </w:r>
            <w:r>
              <w:rPr>
                <w:rFonts w:hint="eastAsia" w:ascii="Times New Roman" w:hAnsi="Times New Roman" w:cs="Times New Roman" w:eastAsiaTheme="minorEastAsia"/>
                <w:color w:val="000000"/>
                <w:sz w:val="18"/>
                <w:szCs w:val="18"/>
              </w:rPr>
              <w:t>，根据</w:t>
            </w:r>
            <w:r>
              <w:rPr>
                <w:rFonts w:hint="eastAsia" w:ascii="Times New Roman" w:hAnsi="Times New Roman" w:cs="Times New Roman"/>
                <w:color w:val="000000"/>
                <w:sz w:val="18"/>
                <w:szCs w:val="18"/>
                <w:lang w:val="en-US" w:eastAsia="zh-CN"/>
              </w:rPr>
              <w:t>完成</w:t>
            </w:r>
            <w:r>
              <w:rPr>
                <w:rFonts w:ascii="Times New Roman" w:hAnsi="Times New Roman" w:cs="Times New Roman" w:eastAsiaTheme="minorEastAsia"/>
                <w:color w:val="000000"/>
                <w:sz w:val="18"/>
                <w:szCs w:val="18"/>
              </w:rPr>
              <w:t>时间</w:t>
            </w:r>
            <w:r>
              <w:rPr>
                <w:rFonts w:hint="eastAsia" w:ascii="Times New Roman" w:hAnsi="Times New Roman" w:cs="Times New Roman" w:eastAsiaTheme="minorEastAsia"/>
                <w:color w:val="000000"/>
                <w:sz w:val="18"/>
                <w:szCs w:val="18"/>
              </w:rPr>
              <w:t>酌情扣分</w:t>
            </w:r>
            <w:r>
              <w:rPr>
                <w:rFonts w:ascii="Times New Roman" w:hAnsi="Times New Roman" w:cs="Times New Roman" w:eastAsiaTheme="minorEastAsia"/>
                <w:color w:val="000000"/>
                <w:sz w:val="18"/>
                <w:szCs w:val="18"/>
              </w:rPr>
              <w:t>。</w:t>
            </w:r>
          </w:p>
        </w:tc>
        <w:tc>
          <w:tcPr>
            <w:tcW w:w="331" w:type="pct"/>
            <w:shd w:val="clear" w:color="auto" w:fill="auto"/>
            <w:vAlign w:val="center"/>
          </w:tcPr>
          <w:p>
            <w:pPr>
              <w:spacing w:line="370" w:lineRule="exact"/>
              <w:jc w:val="center"/>
              <w:rPr>
                <w:rFonts w:hint="default" w:ascii="Times New Roman" w:hAnsi="Times New Roman" w:cs="Times New Roman" w:eastAsiaTheme="minorEastAsia"/>
                <w:sz w:val="18"/>
                <w:szCs w:val="18"/>
                <w:lang w:val="en-US" w:eastAsia="zh-CN"/>
              </w:rPr>
            </w:pPr>
            <w:r>
              <w:rPr>
                <w:rFonts w:hint="eastAsia" w:ascii="Times New Roman" w:hAnsi="Times New Roman" w:cs="Times New Roman"/>
                <w:sz w:val="18"/>
                <w:szCs w:val="18"/>
                <w:lang w:val="en-US" w:eastAsia="zh-CN"/>
              </w:rPr>
              <w:t>4</w:t>
            </w:r>
          </w:p>
        </w:tc>
        <w:tc>
          <w:tcPr>
            <w:tcW w:w="1008" w:type="pct"/>
            <w:shd w:val="clear" w:color="auto" w:fill="auto"/>
            <w:vAlign w:val="center"/>
          </w:tcPr>
          <w:p>
            <w:pPr>
              <w:spacing w:line="370" w:lineRule="exact"/>
              <w:jc w:val="both"/>
              <w:rPr>
                <w:rFonts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5" w:type="pct"/>
            <w:vMerge w:val="continue"/>
            <w:vAlign w:val="center"/>
          </w:tcPr>
          <w:p>
            <w:pPr>
              <w:spacing w:line="370" w:lineRule="exact"/>
              <w:rPr>
                <w:rFonts w:ascii="Times New Roman" w:hAnsi="Times New Roman" w:cs="Times New Roman" w:eastAsiaTheme="minorEastAsia"/>
                <w:color w:val="000000"/>
                <w:sz w:val="18"/>
                <w:szCs w:val="18"/>
              </w:rPr>
            </w:pPr>
          </w:p>
        </w:tc>
        <w:tc>
          <w:tcPr>
            <w:tcW w:w="361" w:type="pct"/>
            <w:vMerge w:val="continue"/>
            <w:vAlign w:val="center"/>
          </w:tcPr>
          <w:p>
            <w:pPr>
              <w:spacing w:line="370" w:lineRule="exact"/>
              <w:rPr>
                <w:rFonts w:ascii="Times New Roman" w:hAnsi="Times New Roman" w:cs="Times New Roman" w:eastAsiaTheme="minorEastAsia"/>
                <w:color w:val="000000"/>
                <w:sz w:val="18"/>
                <w:szCs w:val="18"/>
              </w:rPr>
            </w:pPr>
          </w:p>
        </w:tc>
        <w:tc>
          <w:tcPr>
            <w:tcW w:w="523" w:type="pct"/>
            <w:shd w:val="clear" w:color="auto" w:fill="auto"/>
            <w:vAlign w:val="center"/>
          </w:tcPr>
          <w:p>
            <w:pPr>
              <w:spacing w:line="370" w:lineRule="exact"/>
              <w:jc w:val="center"/>
              <w:rPr>
                <w:rFonts w:hint="eastAsia" w:ascii="Times New Roman" w:hAnsi="Times New Roman" w:cs="Times New Roman" w:eastAsiaTheme="minorEastAsia"/>
                <w:color w:val="000000"/>
                <w:sz w:val="18"/>
                <w:szCs w:val="18"/>
                <w:lang w:val="en-US" w:eastAsia="zh-CN"/>
              </w:rPr>
            </w:pPr>
            <w:r>
              <w:rPr>
                <w:rFonts w:hint="eastAsia" w:ascii="Times New Roman" w:hAnsi="Times New Roman" w:cs="Times New Roman" w:eastAsiaTheme="minorEastAsia"/>
                <w:color w:val="000000"/>
                <w:sz w:val="18"/>
                <w:szCs w:val="18"/>
                <w:lang w:val="en-US" w:eastAsia="zh-CN"/>
              </w:rPr>
              <w:t>各项业务经费不超出预算，超支审批</w:t>
            </w:r>
          </w:p>
        </w:tc>
        <w:tc>
          <w:tcPr>
            <w:tcW w:w="326" w:type="pct"/>
            <w:shd w:val="clear" w:color="auto" w:fill="auto"/>
            <w:vAlign w:val="center"/>
          </w:tcPr>
          <w:p>
            <w:pPr>
              <w:spacing w:line="370" w:lineRule="exact"/>
              <w:jc w:val="center"/>
              <w:rPr>
                <w:rFonts w:hint="eastAsia"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4</w:t>
            </w:r>
          </w:p>
        </w:tc>
        <w:tc>
          <w:tcPr>
            <w:tcW w:w="2053" w:type="pct"/>
            <w:shd w:val="clear" w:color="auto" w:fill="auto"/>
            <w:vAlign w:val="center"/>
          </w:tcPr>
          <w:p>
            <w:pPr>
              <w:spacing w:line="370" w:lineRule="exact"/>
              <w:jc w:val="both"/>
              <w:rPr>
                <w:rFonts w:ascii="Times New Roman" w:hAnsi="Times New Roman" w:cs="Times New Roman" w:eastAsiaTheme="minorEastAsia"/>
                <w:color w:val="000000"/>
                <w:sz w:val="18"/>
                <w:szCs w:val="18"/>
              </w:rPr>
            </w:pPr>
            <w:r>
              <w:rPr>
                <w:rFonts w:hint="eastAsia" w:ascii="Times New Roman" w:hAnsi="Times New Roman" w:cs="Times New Roman" w:eastAsiaTheme="minorEastAsia"/>
                <w:color w:val="000000"/>
                <w:sz w:val="18"/>
                <w:szCs w:val="18"/>
              </w:rPr>
              <w:t>各项业务经费不超出预算，</w:t>
            </w:r>
            <w:r>
              <w:rPr>
                <w:rFonts w:ascii="Times New Roman" w:hAnsi="Times New Roman" w:cs="Times New Roman" w:eastAsiaTheme="minorEastAsia"/>
                <w:color w:val="000000"/>
                <w:sz w:val="18"/>
                <w:szCs w:val="18"/>
              </w:rPr>
              <w:t>得满分；未达到按实际完成情况得分。</w:t>
            </w:r>
          </w:p>
          <w:p>
            <w:pPr>
              <w:spacing w:line="370" w:lineRule="exact"/>
              <w:jc w:val="both"/>
              <w:rPr>
                <w:rFonts w:ascii="Times New Roman" w:hAnsi="Times New Roman" w:cs="Times New Roman" w:eastAsiaTheme="minorEastAsia"/>
                <w:color w:val="000000"/>
                <w:sz w:val="18"/>
                <w:szCs w:val="18"/>
              </w:rPr>
            </w:pPr>
          </w:p>
        </w:tc>
        <w:tc>
          <w:tcPr>
            <w:tcW w:w="331" w:type="pct"/>
            <w:shd w:val="clear" w:color="auto" w:fill="auto"/>
            <w:vAlign w:val="center"/>
          </w:tcPr>
          <w:p>
            <w:pPr>
              <w:spacing w:line="37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4</w:t>
            </w:r>
          </w:p>
        </w:tc>
        <w:tc>
          <w:tcPr>
            <w:tcW w:w="1008" w:type="pct"/>
            <w:shd w:val="clear" w:color="auto" w:fill="auto"/>
            <w:vAlign w:val="center"/>
          </w:tcPr>
          <w:p>
            <w:pPr>
              <w:spacing w:line="370" w:lineRule="exact"/>
              <w:jc w:val="both"/>
              <w:rPr>
                <w:rFonts w:ascii="Times New Roman" w:hAnsi="Times New Roman" w:cs="Times New Roman" w:eastAsiaTheme="minorEastAsia"/>
                <w:color w:val="FF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5" w:type="pct"/>
            <w:vMerge w:val="restar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效果</w:t>
            </w:r>
          </w:p>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w:t>
            </w:r>
            <w:r>
              <w:rPr>
                <w:rFonts w:hint="eastAsia" w:ascii="Times New Roman" w:hAnsi="Times New Roman" w:cs="Times New Roman"/>
                <w:color w:val="000000"/>
                <w:sz w:val="18"/>
                <w:szCs w:val="18"/>
                <w:lang w:val="en-US" w:eastAsia="zh-CN"/>
              </w:rPr>
              <w:t>30</w:t>
            </w:r>
            <w:r>
              <w:rPr>
                <w:rFonts w:ascii="Times New Roman" w:hAnsi="Times New Roman" w:cs="Times New Roman" w:eastAsiaTheme="minorEastAsia"/>
                <w:color w:val="000000"/>
                <w:sz w:val="18"/>
                <w:szCs w:val="18"/>
              </w:rPr>
              <w:t>分）</w:t>
            </w:r>
          </w:p>
        </w:tc>
        <w:tc>
          <w:tcPr>
            <w:tcW w:w="361" w:type="pct"/>
            <w:vMerge w:val="restar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职责效益（</w:t>
            </w:r>
            <w:r>
              <w:rPr>
                <w:rFonts w:hint="eastAsia" w:ascii="Times New Roman" w:hAnsi="Times New Roman" w:cs="Times New Roman"/>
                <w:color w:val="000000"/>
                <w:sz w:val="18"/>
                <w:szCs w:val="18"/>
                <w:lang w:val="en-US" w:eastAsia="zh-CN"/>
              </w:rPr>
              <w:t>30</w:t>
            </w:r>
            <w:r>
              <w:rPr>
                <w:rFonts w:ascii="Times New Roman" w:hAnsi="Times New Roman" w:cs="Times New Roman" w:eastAsiaTheme="minorEastAsia"/>
                <w:color w:val="000000"/>
                <w:sz w:val="18"/>
                <w:szCs w:val="18"/>
              </w:rPr>
              <w:t>分）</w:t>
            </w:r>
          </w:p>
        </w:tc>
        <w:tc>
          <w:tcPr>
            <w:tcW w:w="523"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hint="eastAsia" w:ascii="Times New Roman" w:hAnsi="Times New Roman" w:cs="Times New Roman" w:eastAsiaTheme="minorEastAsia"/>
                <w:color w:val="000000"/>
                <w:sz w:val="18"/>
                <w:szCs w:val="18"/>
              </w:rPr>
              <w:t>经济效益</w:t>
            </w:r>
          </w:p>
        </w:tc>
        <w:tc>
          <w:tcPr>
            <w:tcW w:w="326"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4</w:t>
            </w:r>
          </w:p>
        </w:tc>
        <w:tc>
          <w:tcPr>
            <w:tcW w:w="2053" w:type="pct"/>
            <w:shd w:val="clear" w:color="auto" w:fill="auto"/>
            <w:vAlign w:val="center"/>
          </w:tcPr>
          <w:p>
            <w:pPr>
              <w:spacing w:line="360" w:lineRule="exact"/>
              <w:jc w:val="both"/>
              <w:rPr>
                <w:rFonts w:hint="eastAsia" w:ascii="Times New Roman" w:hAnsi="Times New Roman" w:cs="Times New Roman" w:eastAsiaTheme="minorEastAsia"/>
                <w:color w:val="000000"/>
                <w:sz w:val="18"/>
                <w:szCs w:val="18"/>
                <w:lang w:eastAsia="zh-CN"/>
              </w:rPr>
            </w:pPr>
            <w:r>
              <w:rPr>
                <w:rFonts w:hint="eastAsia" w:ascii="Times New Roman" w:hAnsi="Times New Roman" w:cs="Times New Roman"/>
                <w:color w:val="000000"/>
                <w:sz w:val="18"/>
                <w:szCs w:val="18"/>
                <w:lang w:val="en-US" w:eastAsia="zh-CN"/>
              </w:rPr>
              <w:t>考核单位工作的开展是否能</w:t>
            </w:r>
            <w:r>
              <w:rPr>
                <w:rFonts w:hint="eastAsia" w:ascii="Times New Roman" w:hAnsi="Times New Roman" w:cs="Times New Roman" w:eastAsiaTheme="minorEastAsia"/>
                <w:color w:val="000000"/>
                <w:sz w:val="18"/>
                <w:szCs w:val="18"/>
              </w:rPr>
              <w:t>通过医保报销提高居民可支配收入</w:t>
            </w:r>
            <w:r>
              <w:rPr>
                <w:rFonts w:hint="eastAsia" w:ascii="Times New Roman" w:hAnsi="Times New Roman" w:cs="Times New Roman"/>
                <w:color w:val="000000"/>
                <w:sz w:val="18"/>
                <w:szCs w:val="18"/>
                <w:lang w:eastAsia="zh-CN"/>
              </w:rPr>
              <w:t>，</w:t>
            </w:r>
            <w:r>
              <w:rPr>
                <w:rFonts w:hint="eastAsia" w:ascii="Times New Roman" w:hAnsi="Times New Roman" w:cs="Times New Roman"/>
                <w:color w:val="000000"/>
                <w:sz w:val="18"/>
                <w:szCs w:val="18"/>
                <w:lang w:val="en-US" w:eastAsia="zh-CN"/>
              </w:rPr>
              <w:t>结合单位工作开展情况</w:t>
            </w:r>
            <w:r>
              <w:rPr>
                <w:rFonts w:ascii="Times New Roman" w:hAnsi="Times New Roman" w:cs="Times New Roman" w:eastAsiaTheme="minorEastAsia"/>
                <w:color w:val="000000"/>
                <w:sz w:val="18"/>
                <w:szCs w:val="18"/>
              </w:rPr>
              <w:t>，</w:t>
            </w:r>
            <w:r>
              <w:rPr>
                <w:rFonts w:hint="eastAsia" w:ascii="Times New Roman" w:hAnsi="Times New Roman" w:cs="Times New Roman"/>
                <w:color w:val="000000"/>
                <w:sz w:val="18"/>
                <w:szCs w:val="18"/>
                <w:lang w:val="en-US" w:eastAsia="zh-CN"/>
              </w:rPr>
              <w:t>酌情给分</w:t>
            </w:r>
            <w:r>
              <w:rPr>
                <w:rFonts w:ascii="Times New Roman" w:hAnsi="Times New Roman" w:cs="Times New Roman" w:eastAsiaTheme="minorEastAsia"/>
                <w:color w:val="000000"/>
                <w:sz w:val="18"/>
                <w:szCs w:val="18"/>
              </w:rPr>
              <w:t>。</w:t>
            </w:r>
          </w:p>
        </w:tc>
        <w:tc>
          <w:tcPr>
            <w:tcW w:w="331"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4</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5" w:type="pct"/>
            <w:vMerge w:val="continue"/>
            <w:shd w:val="clear" w:color="auto" w:fill="auto"/>
            <w:vAlign w:val="center"/>
          </w:tcPr>
          <w:p>
            <w:pPr>
              <w:spacing w:line="360" w:lineRule="exact"/>
              <w:jc w:val="center"/>
              <w:rPr>
                <w:rFonts w:ascii="Times New Roman" w:hAnsi="Times New Roman" w:cs="Times New Roman" w:eastAsiaTheme="minorEastAsia"/>
                <w:color w:val="000000"/>
                <w:sz w:val="18"/>
                <w:szCs w:val="18"/>
              </w:rPr>
            </w:pPr>
          </w:p>
        </w:tc>
        <w:tc>
          <w:tcPr>
            <w:tcW w:w="361" w:type="pct"/>
            <w:vMerge w:val="continue"/>
            <w:shd w:val="clear" w:color="auto" w:fill="auto"/>
            <w:vAlign w:val="center"/>
          </w:tcPr>
          <w:p>
            <w:pPr>
              <w:spacing w:line="360" w:lineRule="exact"/>
              <w:jc w:val="center"/>
              <w:rPr>
                <w:rFonts w:ascii="Times New Roman" w:hAnsi="Times New Roman" w:cs="Times New Roman" w:eastAsiaTheme="minorEastAsia"/>
                <w:color w:val="000000"/>
                <w:sz w:val="18"/>
                <w:szCs w:val="18"/>
              </w:rPr>
            </w:pPr>
          </w:p>
        </w:tc>
        <w:tc>
          <w:tcPr>
            <w:tcW w:w="523" w:type="pct"/>
            <w:shd w:val="clear" w:color="auto" w:fill="auto"/>
            <w:vAlign w:val="center"/>
          </w:tcPr>
          <w:p>
            <w:pPr>
              <w:spacing w:line="360" w:lineRule="exact"/>
              <w:jc w:val="center"/>
              <w:rPr>
                <w:rFonts w:ascii="Times New Roman" w:hAnsi="Times New Roman" w:cs="Times New Roman" w:eastAsiaTheme="minorEastAsia"/>
                <w:color w:val="000000"/>
                <w:kern w:val="2"/>
                <w:sz w:val="18"/>
                <w:szCs w:val="18"/>
                <w:lang w:val="en-US" w:eastAsia="zh-CN" w:bidi="ar-SA"/>
              </w:rPr>
            </w:pPr>
            <w:r>
              <w:rPr>
                <w:rFonts w:ascii="Times New Roman" w:hAnsi="Times New Roman" w:cs="Times New Roman" w:eastAsiaTheme="minorEastAsia"/>
                <w:color w:val="000000"/>
                <w:sz w:val="18"/>
                <w:szCs w:val="18"/>
              </w:rPr>
              <w:t>社会效益</w:t>
            </w:r>
          </w:p>
        </w:tc>
        <w:tc>
          <w:tcPr>
            <w:tcW w:w="326" w:type="pct"/>
            <w:shd w:val="clear" w:color="auto" w:fill="auto"/>
            <w:vAlign w:val="center"/>
          </w:tcPr>
          <w:p>
            <w:pPr>
              <w:spacing w:line="360" w:lineRule="exact"/>
              <w:jc w:val="center"/>
              <w:rPr>
                <w:rFonts w:hint="eastAsia" w:ascii="Times New Roman" w:hAnsi="Times New Roman" w:cs="Times New Roman" w:eastAsiaTheme="minorEastAsia"/>
                <w:color w:val="000000"/>
                <w:kern w:val="2"/>
                <w:sz w:val="18"/>
                <w:szCs w:val="18"/>
                <w:lang w:val="en-US" w:eastAsia="zh-CN" w:bidi="ar-SA"/>
              </w:rPr>
            </w:pPr>
            <w:r>
              <w:rPr>
                <w:rFonts w:hint="eastAsia" w:ascii="Times New Roman" w:hAnsi="Times New Roman" w:cs="Times New Roman"/>
                <w:color w:val="000000"/>
                <w:sz w:val="18"/>
                <w:szCs w:val="18"/>
                <w:lang w:val="en-US" w:eastAsia="zh-CN"/>
              </w:rPr>
              <w:t>10</w:t>
            </w:r>
          </w:p>
        </w:tc>
        <w:tc>
          <w:tcPr>
            <w:tcW w:w="2053" w:type="pct"/>
            <w:shd w:val="clear" w:color="auto" w:fill="auto"/>
            <w:vAlign w:val="center"/>
          </w:tcPr>
          <w:p>
            <w:pPr>
              <w:spacing w:line="360" w:lineRule="exact"/>
              <w:jc w:val="both"/>
              <w:rPr>
                <w:rFonts w:hint="eastAsia" w:ascii="Times New Roman" w:hAnsi="Times New Roman" w:cs="Times New Roman" w:eastAsiaTheme="minorEastAsia"/>
                <w:color w:val="000000"/>
                <w:kern w:val="2"/>
                <w:sz w:val="18"/>
                <w:szCs w:val="18"/>
                <w:lang w:val="en-US" w:eastAsia="zh-CN" w:bidi="ar-SA"/>
              </w:rPr>
            </w:pPr>
            <w:r>
              <w:rPr>
                <w:rFonts w:hint="eastAsia" w:ascii="Times New Roman" w:hAnsi="Times New Roman" w:cs="Times New Roman"/>
                <w:color w:val="000000"/>
                <w:sz w:val="18"/>
                <w:szCs w:val="18"/>
                <w:lang w:val="en-US" w:eastAsia="zh-CN"/>
              </w:rPr>
              <w:t>考核单位工作的开展是否能保障全区医保居民住院报销、降低大病家庭医疗负担、保障家庭困难住院对象医疗，</w:t>
            </w:r>
            <w:r>
              <w:rPr>
                <w:rFonts w:ascii="Times New Roman" w:hAnsi="Times New Roman" w:cs="Times New Roman" w:eastAsiaTheme="minorEastAsia"/>
                <w:color w:val="000000"/>
                <w:sz w:val="18"/>
                <w:szCs w:val="18"/>
              </w:rPr>
              <w:t>根据问卷调查统计结果，</w:t>
            </w:r>
            <w:r>
              <w:rPr>
                <w:rFonts w:hint="eastAsia" w:ascii="Times New Roman" w:hAnsi="Times New Roman" w:cs="Times New Roman"/>
                <w:color w:val="000000"/>
                <w:sz w:val="18"/>
                <w:szCs w:val="18"/>
                <w:lang w:val="en-US" w:eastAsia="zh-CN"/>
              </w:rPr>
              <w:t>结合单位工作开展情况</w:t>
            </w:r>
            <w:r>
              <w:rPr>
                <w:rFonts w:ascii="Times New Roman" w:hAnsi="Times New Roman" w:cs="Times New Roman" w:eastAsiaTheme="minorEastAsia"/>
                <w:color w:val="000000"/>
                <w:sz w:val="18"/>
                <w:szCs w:val="18"/>
              </w:rPr>
              <w:t>，90%的群众觉得效果显著得</w:t>
            </w:r>
            <w:r>
              <w:rPr>
                <w:rFonts w:hint="eastAsia" w:ascii="Times New Roman" w:hAnsi="Times New Roman" w:cs="Times New Roman"/>
                <w:color w:val="000000"/>
                <w:sz w:val="18"/>
                <w:szCs w:val="18"/>
                <w:lang w:val="en-US" w:eastAsia="zh-CN"/>
              </w:rPr>
              <w:t>10</w:t>
            </w:r>
            <w:r>
              <w:rPr>
                <w:rFonts w:ascii="Times New Roman" w:hAnsi="Times New Roman" w:cs="Times New Roman" w:eastAsiaTheme="minorEastAsia"/>
                <w:color w:val="000000"/>
                <w:sz w:val="18"/>
                <w:szCs w:val="18"/>
              </w:rPr>
              <w:t>分。则每下降5%，扣1分，扣完为止。</w:t>
            </w:r>
          </w:p>
        </w:tc>
        <w:tc>
          <w:tcPr>
            <w:tcW w:w="331"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10</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5" w:type="pct"/>
            <w:vMerge w:val="continue"/>
            <w:vAlign w:val="center"/>
          </w:tcPr>
          <w:p>
            <w:pPr>
              <w:spacing w:line="360" w:lineRule="exact"/>
              <w:rPr>
                <w:rFonts w:ascii="Times New Roman" w:hAnsi="Times New Roman" w:cs="Times New Roman" w:eastAsiaTheme="minorEastAsia"/>
                <w:color w:val="000000"/>
                <w:sz w:val="18"/>
                <w:szCs w:val="18"/>
              </w:rPr>
            </w:pPr>
          </w:p>
        </w:tc>
        <w:tc>
          <w:tcPr>
            <w:tcW w:w="361" w:type="pct"/>
            <w:vMerge w:val="continue"/>
            <w:vAlign w:val="center"/>
          </w:tcPr>
          <w:p>
            <w:pPr>
              <w:spacing w:line="360" w:lineRule="exact"/>
              <w:rPr>
                <w:rFonts w:ascii="Times New Roman" w:hAnsi="Times New Roman" w:cs="Times New Roman" w:eastAsiaTheme="minorEastAsia"/>
                <w:color w:val="000000"/>
                <w:sz w:val="18"/>
                <w:szCs w:val="18"/>
              </w:rPr>
            </w:pPr>
          </w:p>
        </w:tc>
        <w:tc>
          <w:tcPr>
            <w:tcW w:w="523"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hint="eastAsia" w:ascii="Times New Roman" w:hAnsi="Times New Roman" w:cs="Times New Roman" w:eastAsiaTheme="minorEastAsia"/>
                <w:color w:val="000000"/>
                <w:sz w:val="18"/>
                <w:szCs w:val="18"/>
              </w:rPr>
              <w:t>生态效益</w:t>
            </w:r>
          </w:p>
        </w:tc>
        <w:tc>
          <w:tcPr>
            <w:tcW w:w="326"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4</w:t>
            </w:r>
          </w:p>
        </w:tc>
        <w:tc>
          <w:tcPr>
            <w:tcW w:w="2053"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hint="eastAsia" w:ascii="Times New Roman" w:hAnsi="Times New Roman" w:cs="Times New Roman"/>
                <w:color w:val="000000"/>
                <w:sz w:val="18"/>
                <w:szCs w:val="18"/>
                <w:lang w:val="en-US" w:eastAsia="zh-CN"/>
              </w:rPr>
              <w:t>考核单位工作的开展是否能加强生态文明建设，结合单位工作开展情况</w:t>
            </w:r>
            <w:r>
              <w:rPr>
                <w:rFonts w:ascii="Times New Roman" w:hAnsi="Times New Roman" w:cs="Times New Roman" w:eastAsiaTheme="minorEastAsia"/>
                <w:color w:val="000000"/>
                <w:sz w:val="18"/>
                <w:szCs w:val="18"/>
              </w:rPr>
              <w:t>，</w:t>
            </w:r>
            <w:r>
              <w:rPr>
                <w:rFonts w:hint="eastAsia" w:ascii="Times New Roman" w:hAnsi="Times New Roman" w:cs="Times New Roman"/>
                <w:color w:val="000000"/>
                <w:sz w:val="18"/>
                <w:szCs w:val="18"/>
                <w:lang w:val="en-US" w:eastAsia="zh-CN"/>
              </w:rPr>
              <w:t>酌情给分</w:t>
            </w:r>
            <w:r>
              <w:rPr>
                <w:rFonts w:ascii="Times New Roman" w:hAnsi="Times New Roman" w:cs="Times New Roman" w:eastAsiaTheme="minorEastAsia"/>
                <w:color w:val="000000"/>
                <w:sz w:val="18"/>
                <w:szCs w:val="18"/>
              </w:rPr>
              <w:t>。</w:t>
            </w:r>
          </w:p>
        </w:tc>
        <w:tc>
          <w:tcPr>
            <w:tcW w:w="331"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4</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5" w:type="pct"/>
            <w:vMerge w:val="continue"/>
            <w:vAlign w:val="center"/>
          </w:tcPr>
          <w:p>
            <w:pPr>
              <w:spacing w:line="360" w:lineRule="exact"/>
              <w:rPr>
                <w:rFonts w:ascii="Times New Roman" w:hAnsi="Times New Roman" w:cs="Times New Roman" w:eastAsiaTheme="minorEastAsia"/>
                <w:color w:val="000000"/>
                <w:sz w:val="18"/>
                <w:szCs w:val="18"/>
              </w:rPr>
            </w:pPr>
          </w:p>
        </w:tc>
        <w:tc>
          <w:tcPr>
            <w:tcW w:w="361" w:type="pct"/>
            <w:vMerge w:val="continue"/>
            <w:vAlign w:val="center"/>
          </w:tcPr>
          <w:p>
            <w:pPr>
              <w:spacing w:line="360" w:lineRule="exact"/>
              <w:rPr>
                <w:rFonts w:ascii="Times New Roman" w:hAnsi="Times New Roman" w:cs="Times New Roman" w:eastAsiaTheme="minorEastAsia"/>
                <w:color w:val="000000"/>
                <w:sz w:val="18"/>
                <w:szCs w:val="18"/>
              </w:rPr>
            </w:pPr>
          </w:p>
        </w:tc>
        <w:tc>
          <w:tcPr>
            <w:tcW w:w="523" w:type="pct"/>
            <w:shd w:val="clear" w:color="auto" w:fill="auto"/>
            <w:vAlign w:val="center"/>
          </w:tcPr>
          <w:p>
            <w:pPr>
              <w:spacing w:line="360" w:lineRule="exact"/>
              <w:jc w:val="center"/>
              <w:rPr>
                <w:rFonts w:ascii="Times New Roman" w:hAnsi="Times New Roman" w:cs="Times New Roman" w:eastAsiaTheme="minorEastAsia"/>
                <w:color w:val="000000"/>
                <w:kern w:val="2"/>
                <w:sz w:val="18"/>
                <w:szCs w:val="18"/>
                <w:lang w:val="en-US" w:eastAsia="zh-CN" w:bidi="ar-SA"/>
              </w:rPr>
            </w:pPr>
            <w:r>
              <w:rPr>
                <w:rFonts w:ascii="Times New Roman" w:hAnsi="Times New Roman" w:cs="Times New Roman" w:eastAsiaTheme="minorEastAsia"/>
                <w:color w:val="000000"/>
                <w:sz w:val="18"/>
                <w:szCs w:val="18"/>
              </w:rPr>
              <w:t>可持续影响</w:t>
            </w:r>
          </w:p>
        </w:tc>
        <w:tc>
          <w:tcPr>
            <w:tcW w:w="326" w:type="pct"/>
            <w:shd w:val="clear" w:color="auto" w:fill="auto"/>
            <w:vAlign w:val="center"/>
          </w:tcPr>
          <w:p>
            <w:pPr>
              <w:spacing w:line="360" w:lineRule="exact"/>
              <w:jc w:val="center"/>
              <w:rPr>
                <w:rFonts w:hint="default" w:ascii="Times New Roman" w:hAnsi="Times New Roman" w:cs="Times New Roman" w:eastAsiaTheme="minorEastAsia"/>
                <w:color w:val="000000"/>
                <w:kern w:val="2"/>
                <w:sz w:val="18"/>
                <w:szCs w:val="18"/>
                <w:lang w:val="en-US" w:eastAsia="zh-CN" w:bidi="ar-SA"/>
              </w:rPr>
            </w:pPr>
            <w:r>
              <w:rPr>
                <w:rFonts w:hint="eastAsia" w:ascii="Times New Roman" w:hAnsi="Times New Roman" w:cs="Times New Roman"/>
                <w:color w:val="000000"/>
                <w:kern w:val="2"/>
                <w:sz w:val="18"/>
                <w:szCs w:val="18"/>
                <w:lang w:val="en-US" w:eastAsia="zh-CN" w:bidi="ar-SA"/>
              </w:rPr>
              <w:t>2</w:t>
            </w:r>
          </w:p>
        </w:tc>
        <w:tc>
          <w:tcPr>
            <w:tcW w:w="2053" w:type="pct"/>
            <w:shd w:val="clear" w:color="auto" w:fill="auto"/>
            <w:vAlign w:val="center"/>
          </w:tcPr>
          <w:p>
            <w:pPr>
              <w:spacing w:line="360" w:lineRule="exact"/>
              <w:jc w:val="both"/>
              <w:rPr>
                <w:rFonts w:hint="eastAsia" w:ascii="Times New Roman" w:hAnsi="Times New Roman" w:cs="Times New Roman" w:eastAsiaTheme="minorEastAsia"/>
                <w:color w:val="000000"/>
                <w:kern w:val="2"/>
                <w:sz w:val="18"/>
                <w:szCs w:val="18"/>
                <w:lang w:val="en-US" w:eastAsia="zh-CN" w:bidi="ar-SA"/>
              </w:rPr>
            </w:pPr>
            <w:r>
              <w:rPr>
                <w:rFonts w:hint="eastAsia" w:ascii="Times New Roman" w:hAnsi="Times New Roman" w:cs="Times New Roman"/>
                <w:color w:val="000000"/>
                <w:sz w:val="18"/>
                <w:szCs w:val="18"/>
                <w:lang w:val="en-US" w:eastAsia="zh-CN"/>
              </w:rPr>
              <w:t>考核单位工作的开展是否能提高民众思想文化素养、持续加强文明环境，结合单位工作开展情况</w:t>
            </w:r>
            <w:r>
              <w:rPr>
                <w:rFonts w:ascii="Times New Roman" w:hAnsi="Times New Roman" w:cs="Times New Roman" w:eastAsiaTheme="minorEastAsia"/>
                <w:color w:val="000000"/>
                <w:sz w:val="18"/>
                <w:szCs w:val="18"/>
              </w:rPr>
              <w:t>，</w:t>
            </w:r>
            <w:r>
              <w:rPr>
                <w:rFonts w:hint="eastAsia" w:ascii="Times New Roman" w:hAnsi="Times New Roman" w:cs="Times New Roman"/>
                <w:color w:val="000000"/>
                <w:sz w:val="18"/>
                <w:szCs w:val="18"/>
                <w:lang w:val="en-US" w:eastAsia="zh-CN"/>
              </w:rPr>
              <w:t>酌情给分</w:t>
            </w:r>
            <w:r>
              <w:rPr>
                <w:rFonts w:ascii="Times New Roman" w:hAnsi="Times New Roman" w:cs="Times New Roman" w:eastAsiaTheme="minorEastAsia"/>
                <w:color w:val="000000"/>
                <w:sz w:val="18"/>
                <w:szCs w:val="18"/>
              </w:rPr>
              <w:t>。</w:t>
            </w:r>
          </w:p>
        </w:tc>
        <w:tc>
          <w:tcPr>
            <w:tcW w:w="331" w:type="pct"/>
            <w:shd w:val="clear" w:color="auto" w:fill="auto"/>
            <w:vAlign w:val="center"/>
          </w:tcPr>
          <w:p>
            <w:pPr>
              <w:spacing w:line="360" w:lineRule="exact"/>
              <w:jc w:val="center"/>
              <w:rPr>
                <w:rFonts w:hint="default" w:ascii="Times New Roman" w:hAnsi="Times New Roman" w:cs="Times New Roman"/>
                <w:color w:val="000000"/>
                <w:sz w:val="18"/>
                <w:szCs w:val="18"/>
                <w:lang w:val="en-US" w:eastAsia="zh-CN"/>
              </w:rPr>
            </w:pPr>
            <w:r>
              <w:rPr>
                <w:rFonts w:hint="eastAsia" w:ascii="Times New Roman" w:hAnsi="Times New Roman" w:cs="Times New Roman"/>
                <w:color w:val="000000"/>
                <w:sz w:val="18"/>
                <w:szCs w:val="18"/>
                <w:lang w:val="en-US" w:eastAsia="zh-CN"/>
              </w:rPr>
              <w:t>2</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5" w:type="pct"/>
            <w:vMerge w:val="continue"/>
            <w:vAlign w:val="center"/>
          </w:tcPr>
          <w:p>
            <w:pPr>
              <w:spacing w:line="360" w:lineRule="exact"/>
              <w:rPr>
                <w:rFonts w:ascii="Times New Roman" w:hAnsi="Times New Roman" w:cs="Times New Roman" w:eastAsiaTheme="minorEastAsia"/>
                <w:color w:val="000000"/>
                <w:sz w:val="18"/>
                <w:szCs w:val="18"/>
              </w:rPr>
            </w:pPr>
          </w:p>
        </w:tc>
        <w:tc>
          <w:tcPr>
            <w:tcW w:w="361" w:type="pct"/>
            <w:vMerge w:val="continue"/>
            <w:vAlign w:val="center"/>
          </w:tcPr>
          <w:p>
            <w:pPr>
              <w:spacing w:line="360" w:lineRule="exact"/>
              <w:rPr>
                <w:rFonts w:ascii="Times New Roman" w:hAnsi="Times New Roman" w:cs="Times New Roman" w:eastAsiaTheme="minorEastAsia"/>
                <w:color w:val="000000"/>
                <w:sz w:val="18"/>
                <w:szCs w:val="18"/>
              </w:rPr>
            </w:pPr>
          </w:p>
        </w:tc>
        <w:tc>
          <w:tcPr>
            <w:tcW w:w="523"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单位职工</w:t>
            </w:r>
            <w:r>
              <w:rPr>
                <w:rFonts w:hint="eastAsia" w:ascii="Times New Roman" w:hAnsi="Times New Roman" w:cs="Times New Roman"/>
                <w:color w:val="000000"/>
                <w:sz w:val="18"/>
                <w:szCs w:val="18"/>
                <w:lang w:val="en-US" w:eastAsia="zh-CN"/>
              </w:rPr>
              <w:t>及受益群众</w:t>
            </w:r>
            <w:r>
              <w:rPr>
                <w:rFonts w:ascii="Times New Roman" w:hAnsi="Times New Roman" w:cs="Times New Roman" w:eastAsiaTheme="minorEastAsia"/>
                <w:color w:val="000000"/>
                <w:sz w:val="18"/>
                <w:szCs w:val="18"/>
              </w:rPr>
              <w:t>满意度</w:t>
            </w:r>
          </w:p>
        </w:tc>
        <w:tc>
          <w:tcPr>
            <w:tcW w:w="326"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10</w:t>
            </w:r>
          </w:p>
        </w:tc>
        <w:tc>
          <w:tcPr>
            <w:tcW w:w="2053"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以调查问卷为依据。</w:t>
            </w:r>
            <w:r>
              <w:rPr>
                <w:rFonts w:hint="eastAsia" w:ascii="Times New Roman" w:hAnsi="Times New Roman" w:cs="Times New Roman"/>
                <w:color w:val="000000"/>
                <w:sz w:val="18"/>
                <w:szCs w:val="18"/>
                <w:lang w:val="en-US" w:eastAsia="zh-CN"/>
              </w:rPr>
              <w:t>单位职工及受益对象</w:t>
            </w:r>
            <w:r>
              <w:rPr>
                <w:rFonts w:ascii="Times New Roman" w:hAnsi="Times New Roman" w:cs="Times New Roman" w:eastAsiaTheme="minorEastAsia"/>
                <w:color w:val="000000"/>
                <w:sz w:val="18"/>
                <w:szCs w:val="18"/>
              </w:rPr>
              <w:t>满意度≥95%计</w:t>
            </w:r>
            <w:r>
              <w:rPr>
                <w:rFonts w:hint="eastAsia" w:ascii="Times New Roman" w:hAnsi="Times New Roman" w:cs="Times New Roman"/>
                <w:color w:val="000000"/>
                <w:sz w:val="18"/>
                <w:szCs w:val="18"/>
                <w:lang w:val="en-US" w:eastAsia="zh-CN"/>
              </w:rPr>
              <w:t>10</w:t>
            </w:r>
            <w:r>
              <w:rPr>
                <w:rFonts w:ascii="Times New Roman" w:hAnsi="Times New Roman" w:cs="Times New Roman" w:eastAsiaTheme="minorEastAsia"/>
                <w:color w:val="000000"/>
                <w:sz w:val="18"/>
                <w:szCs w:val="18"/>
              </w:rPr>
              <w:t>分：每低5%扣1分。满意度＜75%计0分。</w:t>
            </w:r>
          </w:p>
        </w:tc>
        <w:tc>
          <w:tcPr>
            <w:tcW w:w="331"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shd w:val="clear"/>
                <w:lang w:val="en-US" w:eastAsia="zh-CN"/>
              </w:rPr>
              <w:t>10</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280" w:type="pct"/>
            <w:gridSpan w:val="3"/>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合计</w:t>
            </w:r>
          </w:p>
        </w:tc>
        <w:tc>
          <w:tcPr>
            <w:tcW w:w="326"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100</w:t>
            </w:r>
          </w:p>
        </w:tc>
        <w:tc>
          <w:tcPr>
            <w:tcW w:w="2053"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　</w:t>
            </w:r>
          </w:p>
        </w:tc>
        <w:tc>
          <w:tcPr>
            <w:tcW w:w="331"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95.00</w:t>
            </w:r>
          </w:p>
        </w:tc>
        <w:tc>
          <w:tcPr>
            <w:tcW w:w="1008"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20" w:lineRule="atLeast"/>
        <w:jc w:val="both"/>
        <w:textAlignment w:val="auto"/>
        <w:rPr>
          <w:rFonts w:hint="default" w:ascii="Times New Roman Regular" w:hAnsi="Times New Roman Regular" w:eastAsia="仿宋" w:cs="Times New Roman Regular"/>
          <w:b w:val="0"/>
          <w:bCs w:val="0"/>
          <w:sz w:val="31"/>
          <w:szCs w:val="31"/>
          <w:lang w:val="en-US" w:eastAsia="zh-CN"/>
        </w:rPr>
      </w:pPr>
    </w:p>
    <w:p>
      <w:pPr>
        <w:pStyle w:val="17"/>
        <w:rPr>
          <w:rFonts w:hint="default" w:ascii="Times New Roman Regular" w:hAnsi="Times New Roman Regular" w:eastAsia="仿宋" w:cs="Times New Roman Regular"/>
          <w:b w:val="0"/>
          <w:bCs w:val="0"/>
          <w:sz w:val="31"/>
          <w:szCs w:val="31"/>
          <w:lang w:val="en-US" w:eastAsia="zh-CN"/>
        </w:rPr>
      </w:pPr>
    </w:p>
    <w:p>
      <w:pPr>
        <w:pStyle w:val="13"/>
        <w:rPr>
          <w:rFonts w:hint="default" w:ascii="Times New Roman Regular" w:hAnsi="Times New Roman Regular" w:eastAsia="仿宋" w:cs="Times New Roman Regular"/>
          <w:b w:val="0"/>
          <w:bCs w:val="0"/>
          <w:sz w:val="32"/>
          <w:szCs w:val="32"/>
          <w:lang w:val="en-US" w:eastAsia="zh-CN"/>
        </w:rPr>
        <w:sectPr>
          <w:headerReference r:id="rId5" w:type="default"/>
          <w:footerReference r:id="rId6" w:type="default"/>
          <w:pgSz w:w="16838" w:h="11906" w:orient="landscape"/>
          <w:pgMar w:top="1389" w:right="986" w:bottom="1389" w:left="986" w:header="567"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pStyle w:val="13"/>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附件</w:t>
      </w:r>
      <w:r>
        <w:rPr>
          <w:rFonts w:hint="eastAsia" w:ascii="Times New Roman Regular" w:hAnsi="Times New Roman Regular" w:eastAsia="仿宋" w:cs="Times New Roman Regular"/>
          <w:b w:val="0"/>
          <w:bCs w:val="0"/>
          <w:sz w:val="32"/>
          <w:szCs w:val="32"/>
          <w:lang w:val="en-US" w:eastAsia="zh-CN"/>
        </w:rPr>
        <w:t>2</w:t>
      </w:r>
      <w:r>
        <w:rPr>
          <w:rFonts w:hint="default" w:ascii="Times New Roman Regular" w:hAnsi="Times New Roman Regular" w:eastAsia="仿宋" w:cs="Times New Roman Regular"/>
          <w:b w:val="0"/>
          <w:bCs w:val="0"/>
          <w:sz w:val="32"/>
          <w:szCs w:val="32"/>
          <w:lang w:val="en-US" w:eastAsia="zh-CN"/>
        </w:rPr>
        <w:t>：</w:t>
      </w:r>
    </w:p>
    <w:p>
      <w:pPr>
        <w:pStyle w:val="13"/>
        <w:jc w:val="center"/>
        <w:rPr>
          <w:rFonts w:hint="default" w:ascii="Times New Roman" w:hAnsi="Times New Roman" w:eastAsia="方正小标宋_GBK" w:cs="Times New Roman"/>
          <w:b w:val="0"/>
          <w:bCs w:val="0"/>
          <w:sz w:val="24"/>
          <w:szCs w:val="24"/>
          <w:lang w:val="en-US" w:eastAsia="zh-CN"/>
        </w:rPr>
      </w:pPr>
      <w:r>
        <w:rPr>
          <w:rFonts w:hint="default" w:ascii="Times New Roman" w:hAnsi="Times New Roman" w:eastAsia="方正小标宋_GBK" w:cs="Times New Roman"/>
          <w:b w:val="0"/>
          <w:bCs w:val="0"/>
          <w:sz w:val="28"/>
          <w:szCs w:val="28"/>
          <w:lang w:val="en-US" w:eastAsia="zh-CN"/>
        </w:rPr>
        <w:t>邵阳市北塔区医疗保障局2022年度部门整体支出</w:t>
      </w:r>
      <w:r>
        <w:rPr>
          <w:rFonts w:hint="eastAsia" w:ascii="Times New Roman" w:hAnsi="Times New Roman" w:eastAsia="方正小标宋_GBK" w:cs="Times New Roman"/>
          <w:b w:val="0"/>
          <w:bCs w:val="0"/>
          <w:sz w:val="28"/>
          <w:szCs w:val="28"/>
          <w:lang w:val="en-US" w:eastAsia="zh-CN"/>
        </w:rPr>
        <w:t>基础数据表</w:t>
      </w:r>
    </w:p>
    <w:tbl>
      <w:tblPr>
        <w:tblStyle w:val="18"/>
        <w:tblW w:w="9111" w:type="dxa"/>
        <w:jc w:val="center"/>
        <w:tblLayout w:type="fixed"/>
        <w:tblCellMar>
          <w:top w:w="0" w:type="dxa"/>
          <w:left w:w="108" w:type="dxa"/>
          <w:bottom w:w="0" w:type="dxa"/>
          <w:right w:w="108" w:type="dxa"/>
        </w:tblCellMar>
      </w:tblPr>
      <w:tblGrid>
        <w:gridCol w:w="3354"/>
        <w:gridCol w:w="1709"/>
        <w:gridCol w:w="10"/>
        <w:gridCol w:w="2319"/>
        <w:gridCol w:w="1719"/>
      </w:tblGrid>
      <w:tr>
        <w:tblPrEx>
          <w:tblCellMar>
            <w:top w:w="0" w:type="dxa"/>
            <w:left w:w="108" w:type="dxa"/>
            <w:bottom w:w="0" w:type="dxa"/>
            <w:right w:w="108" w:type="dxa"/>
          </w:tblCellMar>
        </w:tblPrEx>
        <w:trPr>
          <w:trHeight w:val="510"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cs="Times New Roman"/>
                <w:kern w:val="0"/>
                <w:szCs w:val="21"/>
              </w:rPr>
              <w:t>财政供养人员情况</w:t>
            </w:r>
          </w:p>
        </w:tc>
        <w:tc>
          <w:tcPr>
            <w:tcW w:w="1709"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cs="Times New Roman"/>
                <w:kern w:val="0"/>
                <w:szCs w:val="21"/>
              </w:rPr>
              <w:t>编制数</w:t>
            </w:r>
          </w:p>
        </w:tc>
        <w:tc>
          <w:tcPr>
            <w:tcW w:w="232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cs="Times New Roman"/>
                <w:kern w:val="0"/>
                <w:szCs w:val="21"/>
              </w:rPr>
              <w:t>年末实际在职人数</w:t>
            </w:r>
          </w:p>
        </w:tc>
        <w:tc>
          <w:tcPr>
            <w:tcW w:w="1719"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cs="Times New Roman"/>
                <w:kern w:val="0"/>
                <w:szCs w:val="21"/>
              </w:rPr>
              <w:t>控制率</w:t>
            </w:r>
          </w:p>
        </w:tc>
      </w:tr>
      <w:tr>
        <w:tblPrEx>
          <w:tblCellMar>
            <w:top w:w="0" w:type="dxa"/>
            <w:left w:w="108" w:type="dxa"/>
            <w:bottom w:w="0" w:type="dxa"/>
            <w:right w:w="108" w:type="dxa"/>
          </w:tblCellMar>
        </w:tblPrEx>
        <w:trPr>
          <w:trHeight w:val="510"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kern w:val="0"/>
                <w:szCs w:val="21"/>
              </w:rPr>
            </w:pPr>
          </w:p>
        </w:tc>
        <w:tc>
          <w:tcPr>
            <w:tcW w:w="1709"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kern w:val="0"/>
                <w:szCs w:val="21"/>
                <w:lang w:val="en-US" w:eastAsia="zh-CN"/>
              </w:rPr>
            </w:pPr>
            <w:r>
              <w:rPr>
                <w:rFonts w:hint="default" w:ascii="Times New Roman" w:hAnsi="Times New Roman" w:eastAsia="仿宋_GB2312" w:cs="Times New Roman"/>
                <w:kern w:val="0"/>
                <w:szCs w:val="21"/>
                <w:lang w:val="en-US" w:eastAsia="zh-CN"/>
              </w:rPr>
              <w:t>14</w:t>
            </w:r>
          </w:p>
        </w:tc>
        <w:tc>
          <w:tcPr>
            <w:tcW w:w="232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kern w:val="0"/>
                <w:szCs w:val="21"/>
                <w:lang w:val="en-US" w:eastAsia="zh-CN"/>
              </w:rPr>
            </w:pPr>
            <w:r>
              <w:rPr>
                <w:rFonts w:hint="default" w:ascii="Times New Roman" w:hAnsi="Times New Roman" w:eastAsia="仿宋_GB2312" w:cs="Times New Roman"/>
                <w:kern w:val="0"/>
                <w:szCs w:val="21"/>
                <w:lang w:val="en-US" w:eastAsia="zh-CN"/>
              </w:rPr>
              <w:t>15</w:t>
            </w:r>
          </w:p>
        </w:tc>
        <w:tc>
          <w:tcPr>
            <w:tcW w:w="1719"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kern w:val="0"/>
                <w:szCs w:val="21"/>
                <w:lang w:val="en-US" w:eastAsia="zh-CN"/>
              </w:rPr>
            </w:pPr>
            <w:r>
              <w:rPr>
                <w:rFonts w:hint="default" w:ascii="Times New Roman" w:hAnsi="Times New Roman" w:eastAsia="仿宋_GB2312" w:cs="Times New Roman"/>
                <w:kern w:val="0"/>
                <w:szCs w:val="21"/>
                <w:lang w:val="en-US" w:eastAsia="zh-CN"/>
              </w:rPr>
              <w:t>107.14%</w:t>
            </w:r>
          </w:p>
        </w:tc>
      </w:tr>
      <w:tr>
        <w:tblPrEx>
          <w:tblCellMar>
            <w:top w:w="0" w:type="dxa"/>
            <w:left w:w="108" w:type="dxa"/>
            <w:bottom w:w="0" w:type="dxa"/>
            <w:right w:w="108" w:type="dxa"/>
          </w:tblCellMar>
        </w:tblPrEx>
        <w:trPr>
          <w:trHeight w:val="51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cs="Times New Roman"/>
                <w:kern w:val="0"/>
                <w:szCs w:val="21"/>
              </w:rPr>
              <w:t>经费控制情况</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cs="Times New Roman"/>
                <w:kern w:val="0"/>
                <w:szCs w:val="21"/>
              </w:rPr>
              <w:t>当年决算数</w:t>
            </w:r>
          </w:p>
        </w:tc>
        <w:tc>
          <w:tcPr>
            <w:tcW w:w="232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cs="Times New Roman"/>
                <w:kern w:val="0"/>
                <w:szCs w:val="21"/>
              </w:rPr>
              <w:t>当年预算数</w:t>
            </w:r>
          </w:p>
        </w:tc>
        <w:tc>
          <w:tcPr>
            <w:tcW w:w="171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cs="Times New Roman"/>
                <w:kern w:val="0"/>
                <w:szCs w:val="21"/>
              </w:rPr>
              <w:t>上年决算数</w:t>
            </w:r>
          </w:p>
        </w:tc>
      </w:tr>
      <w:tr>
        <w:tblPrEx>
          <w:tblCellMar>
            <w:top w:w="0" w:type="dxa"/>
            <w:left w:w="108" w:type="dxa"/>
            <w:bottom w:w="0" w:type="dxa"/>
            <w:right w:w="108" w:type="dxa"/>
          </w:tblCellMar>
        </w:tblPrEx>
        <w:trPr>
          <w:trHeight w:val="51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cs="Times New Roman"/>
                <w:kern w:val="0"/>
                <w:szCs w:val="21"/>
              </w:rPr>
              <w:t>一、部门基本支出</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宋体" w:cs="Times New Roman"/>
                <w:i w:val="0"/>
                <w:iCs w:val="0"/>
                <w:color w:val="000000"/>
                <w:kern w:val="0"/>
                <w:sz w:val="22"/>
                <w:szCs w:val="22"/>
                <w:u w:val="none"/>
                <w:lang w:val="en-US" w:eastAsia="zh-CN" w:bidi="ar"/>
              </w:rPr>
              <w:t>3,379,732.44</w:t>
            </w:r>
          </w:p>
        </w:tc>
        <w:tc>
          <w:tcPr>
            <w:tcW w:w="232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lang w:val="en-US" w:eastAsia="zh-CN"/>
              </w:rPr>
            </w:pPr>
            <w:r>
              <w:rPr>
                <w:rFonts w:hint="default" w:ascii="Times New Roman" w:hAnsi="Times New Roman" w:eastAsia="宋体" w:cs="Times New Roman"/>
                <w:i w:val="0"/>
                <w:iCs w:val="0"/>
                <w:color w:val="000000"/>
                <w:kern w:val="0"/>
                <w:sz w:val="22"/>
                <w:szCs w:val="22"/>
                <w:u w:val="none"/>
                <w:lang w:val="en-US" w:eastAsia="zh-CN" w:bidi="ar"/>
              </w:rPr>
              <w:t>3,379,732.44</w:t>
            </w:r>
          </w:p>
        </w:tc>
        <w:tc>
          <w:tcPr>
            <w:tcW w:w="171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宋体" w:cs="Times New Roman"/>
                <w:i w:val="0"/>
                <w:iCs w:val="0"/>
                <w:color w:val="000000"/>
                <w:kern w:val="0"/>
                <w:sz w:val="22"/>
                <w:szCs w:val="22"/>
                <w:u w:val="none"/>
                <w:lang w:val="en-US" w:eastAsia="zh-CN" w:bidi="ar"/>
              </w:rPr>
              <w:t>2,157,346.26</w:t>
            </w:r>
          </w:p>
        </w:tc>
      </w:tr>
      <w:tr>
        <w:tblPrEx>
          <w:tblCellMar>
            <w:top w:w="0" w:type="dxa"/>
            <w:left w:w="108" w:type="dxa"/>
            <w:bottom w:w="0" w:type="dxa"/>
            <w:right w:w="108" w:type="dxa"/>
          </w:tblCellMar>
        </w:tblPrEx>
        <w:trPr>
          <w:trHeight w:val="51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cs="Times New Roman"/>
                <w:kern w:val="0"/>
                <w:szCs w:val="21"/>
              </w:rPr>
              <w:t>其中：1、压缩一般性支出</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rPr>
            </w:pPr>
          </w:p>
        </w:tc>
        <w:tc>
          <w:tcPr>
            <w:tcW w:w="232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rPr>
            </w:pPr>
          </w:p>
        </w:tc>
        <w:tc>
          <w:tcPr>
            <w:tcW w:w="171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51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cs="Times New Roman"/>
                <w:kern w:val="0"/>
                <w:szCs w:val="21"/>
              </w:rPr>
              <w:t>2、三公经费</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lang w:val="en-US" w:eastAsia="zh-CN"/>
              </w:rPr>
            </w:pPr>
            <w:r>
              <w:rPr>
                <w:rFonts w:hint="default" w:ascii="Times New Roman" w:hAnsi="Times New Roman" w:eastAsia="仿宋_GB2312" w:cs="Times New Roman"/>
                <w:kern w:val="0"/>
                <w:szCs w:val="21"/>
                <w:lang w:val="en-US" w:eastAsia="zh-CN"/>
              </w:rPr>
              <w:t>0</w:t>
            </w:r>
          </w:p>
        </w:tc>
        <w:tc>
          <w:tcPr>
            <w:tcW w:w="232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lang w:val="en-US" w:eastAsia="zh-CN"/>
              </w:rPr>
            </w:pPr>
            <w:r>
              <w:rPr>
                <w:rFonts w:hint="default" w:ascii="Times New Roman" w:hAnsi="Times New Roman" w:eastAsia="仿宋_GB2312" w:cs="Times New Roman"/>
                <w:kern w:val="0"/>
                <w:szCs w:val="21"/>
                <w:lang w:val="en-US" w:eastAsia="zh-CN"/>
              </w:rPr>
              <w:t>0</w:t>
            </w:r>
          </w:p>
        </w:tc>
        <w:tc>
          <w:tcPr>
            <w:tcW w:w="171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lang w:val="en-US" w:eastAsia="zh-CN"/>
              </w:rPr>
            </w:pPr>
            <w:r>
              <w:rPr>
                <w:rFonts w:hint="default" w:ascii="Times New Roman" w:hAnsi="Times New Roman" w:eastAsia="仿宋_GB2312" w:cs="Times New Roman"/>
                <w:kern w:val="0"/>
                <w:szCs w:val="21"/>
                <w:lang w:val="en-US" w:eastAsia="zh-CN"/>
              </w:rPr>
              <w:t>0</w:t>
            </w:r>
          </w:p>
        </w:tc>
      </w:tr>
      <w:tr>
        <w:tblPrEx>
          <w:tblCellMar>
            <w:top w:w="0" w:type="dxa"/>
            <w:left w:w="108" w:type="dxa"/>
            <w:bottom w:w="0" w:type="dxa"/>
            <w:right w:w="108" w:type="dxa"/>
          </w:tblCellMar>
        </w:tblPrEx>
        <w:trPr>
          <w:trHeight w:val="51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cs="Times New Roman"/>
                <w:kern w:val="0"/>
                <w:szCs w:val="21"/>
              </w:rPr>
              <w:t>公务用车购置和维护经费</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rPr>
            </w:pPr>
          </w:p>
        </w:tc>
        <w:tc>
          <w:tcPr>
            <w:tcW w:w="232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rPr>
            </w:pPr>
          </w:p>
        </w:tc>
        <w:tc>
          <w:tcPr>
            <w:tcW w:w="171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Cs w:val="21"/>
                <w:lang w:val="en-US" w:eastAsia="zh-CN"/>
              </w:rPr>
            </w:pPr>
          </w:p>
        </w:tc>
      </w:tr>
      <w:tr>
        <w:tblPrEx>
          <w:tblCellMar>
            <w:top w:w="0" w:type="dxa"/>
            <w:left w:w="108" w:type="dxa"/>
            <w:bottom w:w="0" w:type="dxa"/>
            <w:right w:w="108" w:type="dxa"/>
          </w:tblCellMar>
        </w:tblPrEx>
        <w:trPr>
          <w:trHeight w:val="51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cs="Times New Roman"/>
                <w:kern w:val="0"/>
                <w:szCs w:val="21"/>
              </w:rPr>
              <w:t>其中：公车购置</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rPr>
            </w:pPr>
          </w:p>
        </w:tc>
        <w:tc>
          <w:tcPr>
            <w:tcW w:w="232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rPr>
            </w:pPr>
          </w:p>
        </w:tc>
        <w:tc>
          <w:tcPr>
            <w:tcW w:w="171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51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cs="Times New Roman"/>
                <w:kern w:val="0"/>
                <w:szCs w:val="21"/>
              </w:rPr>
              <w:t>公车运行维护</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p>
        </w:tc>
        <w:tc>
          <w:tcPr>
            <w:tcW w:w="232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p>
        </w:tc>
        <w:tc>
          <w:tcPr>
            <w:tcW w:w="171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bidi="ar-SA"/>
              </w:rPr>
            </w:pPr>
          </w:p>
        </w:tc>
      </w:tr>
      <w:tr>
        <w:tblPrEx>
          <w:tblCellMar>
            <w:top w:w="0" w:type="dxa"/>
            <w:left w:w="108" w:type="dxa"/>
            <w:bottom w:w="0" w:type="dxa"/>
            <w:right w:w="108" w:type="dxa"/>
          </w:tblCellMar>
        </w:tblPrEx>
        <w:trPr>
          <w:trHeight w:val="51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cs="Times New Roman"/>
                <w:kern w:val="0"/>
                <w:szCs w:val="21"/>
              </w:rPr>
              <w:t>公务接待</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Cs w:val="21"/>
                <w:lang w:val="en-US" w:eastAsia="zh-CN"/>
              </w:rPr>
            </w:pPr>
          </w:p>
        </w:tc>
        <w:tc>
          <w:tcPr>
            <w:tcW w:w="232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Cs w:val="21"/>
                <w:lang w:val="en-US" w:eastAsia="zh-CN"/>
              </w:rPr>
            </w:pPr>
          </w:p>
        </w:tc>
        <w:tc>
          <w:tcPr>
            <w:tcW w:w="171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lang w:val="en-US" w:eastAsia="zh-CN"/>
              </w:rPr>
            </w:pPr>
          </w:p>
        </w:tc>
      </w:tr>
      <w:tr>
        <w:tblPrEx>
          <w:tblCellMar>
            <w:top w:w="0" w:type="dxa"/>
            <w:left w:w="108" w:type="dxa"/>
            <w:bottom w:w="0" w:type="dxa"/>
            <w:right w:w="108" w:type="dxa"/>
          </w:tblCellMar>
        </w:tblPrEx>
        <w:trPr>
          <w:trHeight w:val="51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cs="Times New Roman"/>
                <w:kern w:val="0"/>
                <w:szCs w:val="21"/>
              </w:rPr>
              <w:t>出国（境）经费</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rPr>
            </w:pPr>
          </w:p>
        </w:tc>
        <w:tc>
          <w:tcPr>
            <w:tcW w:w="232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rPr>
            </w:pPr>
          </w:p>
        </w:tc>
        <w:tc>
          <w:tcPr>
            <w:tcW w:w="171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51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cs="Times New Roman"/>
                <w:kern w:val="0"/>
                <w:szCs w:val="21"/>
              </w:rPr>
              <w:t>二、部门项目支出</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宋体" w:cs="Times New Roman"/>
                <w:i w:val="0"/>
                <w:iCs w:val="0"/>
                <w:color w:val="000000"/>
                <w:kern w:val="0"/>
                <w:sz w:val="22"/>
                <w:szCs w:val="22"/>
                <w:u w:val="none"/>
                <w:lang w:val="en-US" w:eastAsia="zh-CN" w:bidi="ar"/>
              </w:rPr>
              <w:t>631</w:t>
            </w:r>
            <w:r>
              <w:rPr>
                <w:rFonts w:hint="eastAsia" w:ascii="Times New Roman" w:hAnsi="Times New Roman" w:eastAsia="宋体" w:cs="Times New Roman"/>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999.7</w:t>
            </w:r>
          </w:p>
        </w:tc>
        <w:tc>
          <w:tcPr>
            <w:tcW w:w="232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宋体" w:cs="Times New Roman"/>
                <w:i w:val="0"/>
                <w:iCs w:val="0"/>
                <w:color w:val="000000"/>
                <w:kern w:val="0"/>
                <w:sz w:val="22"/>
                <w:szCs w:val="22"/>
                <w:u w:val="none"/>
                <w:lang w:val="en-US" w:eastAsia="zh-CN" w:bidi="ar"/>
              </w:rPr>
              <w:t>631</w:t>
            </w:r>
            <w:r>
              <w:rPr>
                <w:rFonts w:hint="eastAsia" w:ascii="Times New Roman" w:hAnsi="Times New Roman" w:eastAsia="宋体" w:cs="Times New Roman"/>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999.7</w:t>
            </w:r>
          </w:p>
        </w:tc>
        <w:tc>
          <w:tcPr>
            <w:tcW w:w="171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497,473.75</w:t>
            </w:r>
          </w:p>
        </w:tc>
      </w:tr>
      <w:tr>
        <w:tblPrEx>
          <w:tblCellMar>
            <w:top w:w="0" w:type="dxa"/>
            <w:left w:w="108" w:type="dxa"/>
            <w:bottom w:w="0" w:type="dxa"/>
            <w:right w:w="108" w:type="dxa"/>
          </w:tblCellMar>
        </w:tblPrEx>
        <w:trPr>
          <w:trHeight w:val="51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Cs w:val="21"/>
                <w:lang w:eastAsia="zh-CN"/>
              </w:rPr>
            </w:pPr>
            <w:r>
              <w:rPr>
                <w:rFonts w:hint="default" w:ascii="Times New Roman" w:hAnsi="Times New Roman" w:cs="Times New Roman"/>
                <w:kern w:val="0"/>
                <w:szCs w:val="21"/>
              </w:rPr>
              <w:t>1、</w:t>
            </w:r>
            <w:r>
              <w:rPr>
                <w:rFonts w:hint="default" w:ascii="Times New Roman" w:hAnsi="Times New Roman" w:cs="Times New Roman"/>
                <w:kern w:val="0"/>
                <w:szCs w:val="21"/>
                <w:lang w:eastAsia="zh-CN"/>
              </w:rPr>
              <w:t>医疗救助</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宋体" w:cs="Times New Roman"/>
                <w:i w:val="0"/>
                <w:iCs w:val="0"/>
                <w:color w:val="000000"/>
                <w:kern w:val="0"/>
                <w:sz w:val="22"/>
                <w:szCs w:val="22"/>
                <w:u w:val="none"/>
                <w:lang w:val="en-US" w:eastAsia="zh-CN" w:bidi="ar"/>
              </w:rPr>
              <w:t>631</w:t>
            </w:r>
            <w:r>
              <w:rPr>
                <w:rFonts w:hint="eastAsia" w:ascii="Times New Roman" w:hAnsi="Times New Roman" w:eastAsia="宋体" w:cs="Times New Roman"/>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999.7</w:t>
            </w:r>
          </w:p>
        </w:tc>
        <w:tc>
          <w:tcPr>
            <w:tcW w:w="232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宋体" w:cs="Times New Roman"/>
                <w:i w:val="0"/>
                <w:iCs w:val="0"/>
                <w:color w:val="000000"/>
                <w:kern w:val="0"/>
                <w:sz w:val="22"/>
                <w:szCs w:val="22"/>
                <w:u w:val="none"/>
                <w:lang w:val="en-US" w:eastAsia="zh-CN" w:bidi="ar"/>
              </w:rPr>
              <w:t>631</w:t>
            </w:r>
            <w:r>
              <w:rPr>
                <w:rFonts w:hint="eastAsia" w:ascii="Times New Roman" w:hAnsi="Times New Roman" w:eastAsia="宋体" w:cs="Times New Roman"/>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999.7</w:t>
            </w:r>
          </w:p>
        </w:tc>
        <w:tc>
          <w:tcPr>
            <w:tcW w:w="171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1"/>
                <w:szCs w:val="21"/>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497,473.75</w:t>
            </w:r>
          </w:p>
        </w:tc>
      </w:tr>
      <w:tr>
        <w:tblPrEx>
          <w:tblCellMar>
            <w:top w:w="0" w:type="dxa"/>
            <w:left w:w="108" w:type="dxa"/>
            <w:bottom w:w="0" w:type="dxa"/>
            <w:right w:w="108" w:type="dxa"/>
          </w:tblCellMar>
        </w:tblPrEx>
        <w:trPr>
          <w:trHeight w:val="51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ind w:firstLine="210" w:firstLineChars="100"/>
              <w:jc w:val="left"/>
              <w:rPr>
                <w:rFonts w:hint="default" w:ascii="Times New Roman" w:hAnsi="Times New Roman" w:cs="Times New Roman"/>
                <w:kern w:val="0"/>
                <w:szCs w:val="21"/>
              </w:rPr>
            </w:pPr>
            <w:r>
              <w:rPr>
                <w:rFonts w:hint="default" w:ascii="Times New Roman" w:hAnsi="Times New Roman" w:cs="Times New Roman"/>
                <w:kern w:val="0"/>
                <w:szCs w:val="21"/>
              </w:rPr>
              <w:t>政府采购金额</w:t>
            </w:r>
          </w:p>
        </w:tc>
        <w:tc>
          <w:tcPr>
            <w:tcW w:w="171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Style w:val="28"/>
                <w:rFonts w:hint="default" w:ascii="Times New Roman" w:hAnsi="Times New Roman" w:eastAsia="仿宋_GB2312" w:cs="Times New Roman"/>
                <w:sz w:val="21"/>
                <w:szCs w:val="21"/>
                <w:lang w:val="en-US" w:eastAsia="zh-CN"/>
              </w:rPr>
              <w:t>10,000</w:t>
            </w:r>
            <w:r>
              <w:rPr>
                <w:rStyle w:val="28"/>
                <w:rFonts w:hint="default" w:ascii="Times New Roman" w:hAnsi="Times New Roman" w:eastAsia="仿宋_GB2312" w:cs="Times New Roman"/>
                <w:sz w:val="21"/>
                <w:szCs w:val="21"/>
              </w:rPr>
              <w:t>.00</w:t>
            </w:r>
          </w:p>
        </w:tc>
        <w:tc>
          <w:tcPr>
            <w:tcW w:w="23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Style w:val="28"/>
                <w:rFonts w:hint="default" w:ascii="Times New Roman" w:hAnsi="Times New Roman" w:eastAsia="仿宋_GB2312" w:cs="Times New Roman"/>
                <w:sz w:val="21"/>
                <w:szCs w:val="21"/>
              </w:rPr>
              <w:t>67,369.00</w:t>
            </w:r>
          </w:p>
        </w:tc>
        <w:tc>
          <w:tcPr>
            <w:tcW w:w="1719"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default" w:ascii="Times New Roman" w:hAnsi="Times New Roman" w:cs="Times New Roman"/>
                <w:kern w:val="0"/>
                <w:szCs w:val="21"/>
              </w:rPr>
            </w:pPr>
            <w:r>
              <w:rPr>
                <w:rStyle w:val="28"/>
                <w:rFonts w:hint="default" w:ascii="Times New Roman" w:hAnsi="Times New Roman" w:eastAsia="仿宋_GB2312" w:cs="Times New Roman"/>
                <w:sz w:val="21"/>
                <w:szCs w:val="21"/>
              </w:rPr>
              <w:t>122,232.00</w:t>
            </w:r>
          </w:p>
        </w:tc>
      </w:tr>
      <w:tr>
        <w:tblPrEx>
          <w:tblCellMar>
            <w:top w:w="0" w:type="dxa"/>
            <w:left w:w="108" w:type="dxa"/>
            <w:bottom w:w="0" w:type="dxa"/>
            <w:right w:w="108" w:type="dxa"/>
          </w:tblCellMar>
        </w:tblPrEx>
        <w:trPr>
          <w:trHeight w:val="51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厉行节约保障措施</w:t>
            </w:r>
          </w:p>
        </w:tc>
        <w:tc>
          <w:tcPr>
            <w:tcW w:w="5757" w:type="dxa"/>
            <w:gridSpan w:val="4"/>
            <w:tcBorders>
              <w:top w:val="single" w:color="auto" w:sz="4" w:space="0"/>
              <w:left w:val="nil"/>
              <w:bottom w:val="single" w:color="auto" w:sz="4" w:space="0"/>
              <w:right w:val="single" w:color="000000" w:sz="4" w:space="0"/>
            </w:tcBorders>
            <w:noWrap w:val="0"/>
            <w:vAlign w:val="center"/>
          </w:tcPr>
          <w:p>
            <w:pPr>
              <w:widowControl/>
              <w:tabs>
                <w:tab w:val="left" w:pos="1703"/>
              </w:tabs>
              <w:jc w:val="left"/>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ab/>
            </w:r>
            <w:r>
              <w:rPr>
                <w:rFonts w:hint="default" w:ascii="Times New Roman" w:hAnsi="Times New Roman" w:cs="Times New Roman"/>
                <w:kern w:val="0"/>
                <w:szCs w:val="21"/>
                <w:lang w:val="en-US" w:eastAsia="zh-CN"/>
              </w:rPr>
              <w:t>严格控制三公经费支出</w:t>
            </w:r>
            <w:r>
              <w:rPr>
                <w:rFonts w:hint="default" w:ascii="Times New Roman" w:hAnsi="Times New Roman" w:cs="Times New Roman"/>
                <w:kern w:val="0"/>
                <w:szCs w:val="21"/>
              </w:rPr>
              <w:t>　　</w:t>
            </w:r>
          </w:p>
        </w:tc>
      </w:tr>
    </w:tbl>
    <w:p>
      <w:pPr>
        <w:pStyle w:val="13"/>
        <w:rPr>
          <w:rFonts w:hint="default" w:ascii="Times New Roman Regular" w:hAnsi="Times New Roman Regular" w:eastAsia="仿宋" w:cs="Times New Roman Regular"/>
          <w:b w:val="0"/>
          <w:bCs w:val="0"/>
          <w:sz w:val="32"/>
          <w:szCs w:val="32"/>
          <w:lang w:val="en-US" w:eastAsia="zh-CN"/>
        </w:rPr>
      </w:pPr>
    </w:p>
    <w:p>
      <w:pPr>
        <w:pStyle w:val="13"/>
        <w:rPr>
          <w:rFonts w:hint="default" w:ascii="Times New Roman Regular" w:hAnsi="Times New Roman Regular" w:eastAsia="仿宋" w:cs="Times New Roman Regular"/>
          <w:b w:val="0"/>
          <w:bCs w:val="0"/>
          <w:sz w:val="32"/>
          <w:szCs w:val="32"/>
          <w:lang w:val="en-US" w:eastAsia="zh-CN"/>
        </w:rPr>
      </w:pPr>
    </w:p>
    <w:p>
      <w:pPr>
        <w:pStyle w:val="13"/>
        <w:rPr>
          <w:rFonts w:hint="default" w:ascii="Times New Roman Regular" w:hAnsi="Times New Roman Regular" w:eastAsia="仿宋" w:cs="Times New Roman Regular"/>
          <w:b w:val="0"/>
          <w:bCs w:val="0"/>
          <w:sz w:val="32"/>
          <w:szCs w:val="32"/>
          <w:lang w:val="en-US" w:eastAsia="zh-CN"/>
        </w:rPr>
      </w:pPr>
    </w:p>
    <w:p>
      <w:pPr>
        <w:pStyle w:val="13"/>
        <w:rPr>
          <w:rFonts w:hint="default" w:ascii="Times New Roman Regular" w:hAnsi="Times New Roman Regular" w:eastAsia="仿宋" w:cs="Times New Roman Regular"/>
          <w:b w:val="0"/>
          <w:bCs w:val="0"/>
          <w:sz w:val="32"/>
          <w:szCs w:val="32"/>
          <w:lang w:val="en-US" w:eastAsia="zh-CN"/>
        </w:rPr>
      </w:pPr>
    </w:p>
    <w:p>
      <w:pPr>
        <w:pStyle w:val="13"/>
        <w:rPr>
          <w:rFonts w:hint="default" w:ascii="Times New Roman Regular" w:hAnsi="Times New Roman Regular" w:eastAsia="仿宋" w:cs="Times New Roman Regular"/>
          <w:b w:val="0"/>
          <w:bCs w:val="0"/>
          <w:sz w:val="32"/>
          <w:szCs w:val="32"/>
          <w:lang w:val="en-US" w:eastAsia="zh-CN"/>
        </w:rPr>
      </w:pPr>
    </w:p>
    <w:p>
      <w:pPr>
        <w:pStyle w:val="13"/>
        <w:rPr>
          <w:rFonts w:hint="default" w:ascii="Times New Roman Regular" w:hAnsi="Times New Roman Regular" w:eastAsia="仿宋" w:cs="Times New Roman Regular"/>
          <w:b w:val="0"/>
          <w:bCs w:val="0"/>
          <w:sz w:val="32"/>
          <w:szCs w:val="32"/>
          <w:lang w:val="en-US" w:eastAsia="zh-CN"/>
        </w:rPr>
      </w:pPr>
    </w:p>
    <w:p>
      <w:pPr>
        <w:pStyle w:val="13"/>
        <w:rPr>
          <w:rFonts w:hint="default" w:ascii="Times New Roman Regular" w:hAnsi="Times New Roman Regular" w:eastAsia="仿宋" w:cs="Times New Roman Regular"/>
          <w:b w:val="0"/>
          <w:bCs w:val="0"/>
          <w:sz w:val="32"/>
          <w:szCs w:val="32"/>
          <w:lang w:val="en-US" w:eastAsia="zh-CN"/>
        </w:rPr>
      </w:pPr>
    </w:p>
    <w:p>
      <w:pPr>
        <w:pStyle w:val="13"/>
        <w:rPr>
          <w:rFonts w:hint="default" w:ascii="Times New Roman Regular" w:hAnsi="Times New Roman Regular" w:eastAsia="仿宋" w:cs="Times New Roman Regular"/>
          <w:b w:val="0"/>
          <w:bCs w:val="0"/>
          <w:sz w:val="32"/>
          <w:szCs w:val="32"/>
          <w:lang w:val="en-US" w:eastAsia="zh-CN"/>
        </w:rPr>
      </w:pPr>
    </w:p>
    <w:p>
      <w:pPr>
        <w:pStyle w:val="13"/>
        <w:rPr>
          <w:rFonts w:hint="default" w:ascii="Times New Roman Regular" w:hAnsi="Times New Roman Regular" w:eastAsia="仿宋" w:cs="Times New Roman Regular"/>
          <w:b w:val="0"/>
          <w:bCs w:val="0"/>
          <w:sz w:val="32"/>
          <w:szCs w:val="32"/>
          <w:lang w:val="en-US" w:eastAsia="zh-CN"/>
        </w:rPr>
      </w:pPr>
    </w:p>
    <w:p>
      <w:pPr>
        <w:pStyle w:val="13"/>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附件</w:t>
      </w:r>
      <w:r>
        <w:rPr>
          <w:rFonts w:hint="eastAsia" w:ascii="Times New Roman Regular" w:hAnsi="Times New Roman Regular" w:eastAsia="仿宋" w:cs="Times New Roman Regular"/>
          <w:b w:val="0"/>
          <w:bCs w:val="0"/>
          <w:sz w:val="32"/>
          <w:szCs w:val="32"/>
          <w:lang w:val="en-US" w:eastAsia="zh-CN"/>
        </w:rPr>
        <w:t>3</w:t>
      </w:r>
      <w:r>
        <w:rPr>
          <w:rFonts w:hint="default" w:ascii="Times New Roman Regular" w:hAnsi="Times New Roman Regular" w:eastAsia="仿宋" w:cs="Times New Roman Regular"/>
          <w:b w:val="0"/>
          <w:bCs w:val="0"/>
          <w:sz w:val="32"/>
          <w:szCs w:val="32"/>
          <w:lang w:val="en-US" w:eastAsia="zh-CN"/>
        </w:rPr>
        <w:t>：</w:t>
      </w:r>
    </w:p>
    <w:p>
      <w:pPr>
        <w:pStyle w:val="13"/>
        <w:jc w:val="center"/>
        <w:rPr>
          <w:rFonts w:hint="default" w:ascii="Times New Roman" w:hAnsi="Times New Roman" w:eastAsia="方正小标宋_GBK" w:cs="Times New Roman"/>
          <w:b w:val="0"/>
          <w:bCs w:val="0"/>
          <w:sz w:val="28"/>
          <w:szCs w:val="28"/>
          <w:lang w:val="en-US" w:eastAsia="zh-CN"/>
        </w:rPr>
      </w:pPr>
      <w:r>
        <w:rPr>
          <w:rFonts w:hint="default" w:ascii="Times New Roman" w:hAnsi="Times New Roman" w:eastAsia="方正小标宋_GBK" w:cs="Times New Roman"/>
          <w:b w:val="0"/>
          <w:bCs w:val="0"/>
          <w:sz w:val="32"/>
          <w:szCs w:val="32"/>
          <w:lang w:val="en-US" w:eastAsia="zh-CN"/>
        </w:rPr>
        <w:t>邵阳市北塔区医疗保障局2022年度部门整体支出绩效自评表</w:t>
      </w:r>
    </w:p>
    <w:tbl>
      <w:tblPr>
        <w:tblStyle w:val="18"/>
        <w:tblW w:w="9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108" w:type="dxa"/>
        </w:tblCellMar>
      </w:tblPr>
      <w:tblGrid>
        <w:gridCol w:w="612"/>
        <w:gridCol w:w="900"/>
        <w:gridCol w:w="1050"/>
        <w:gridCol w:w="1005"/>
        <w:gridCol w:w="1695"/>
        <w:gridCol w:w="1521"/>
        <w:gridCol w:w="1466"/>
        <w:gridCol w:w="732"/>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jc w:val="center"/>
        </w:trPr>
        <w:tc>
          <w:tcPr>
            <w:tcW w:w="612" w:type="dxa"/>
            <w:vMerge w:val="restart"/>
            <w:noWrap w:val="0"/>
            <w:textDirection w:val="tbRlV"/>
            <w:vAlign w:val="center"/>
          </w:tcPr>
          <w:p>
            <w:pPr>
              <w:widowControl/>
              <w:ind w:left="113" w:right="113"/>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部门资金（万元）</w:t>
            </w:r>
          </w:p>
        </w:tc>
        <w:tc>
          <w:tcPr>
            <w:tcW w:w="2955" w:type="dxa"/>
            <w:gridSpan w:val="3"/>
            <w:noWrap w:val="0"/>
            <w:vAlign w:val="center"/>
          </w:tcPr>
          <w:p>
            <w:pPr>
              <w:widowControl/>
              <w:jc w:val="center"/>
              <w:rPr>
                <w:rFonts w:hint="default" w:ascii="Times New Roman" w:hAnsi="Times New Roman" w:cs="Times New Roman" w:eastAsiaTheme="minorEastAsia"/>
                <w:color w:val="000000"/>
                <w:kern w:val="0"/>
                <w:sz w:val="21"/>
                <w:szCs w:val="21"/>
              </w:rPr>
            </w:pPr>
          </w:p>
        </w:tc>
        <w:tc>
          <w:tcPr>
            <w:tcW w:w="1695" w:type="dxa"/>
            <w:noWrap w:val="0"/>
            <w:vAlign w:val="center"/>
          </w:tcPr>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全年预算数</w:t>
            </w:r>
          </w:p>
        </w:tc>
        <w:tc>
          <w:tcPr>
            <w:tcW w:w="1521" w:type="dxa"/>
            <w:noWrap w:val="0"/>
            <w:vAlign w:val="center"/>
          </w:tcPr>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全年执行数</w:t>
            </w:r>
          </w:p>
        </w:tc>
        <w:tc>
          <w:tcPr>
            <w:tcW w:w="1466" w:type="dxa"/>
            <w:noWrap w:val="0"/>
            <w:vAlign w:val="center"/>
          </w:tcPr>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预算执行率</w:t>
            </w:r>
          </w:p>
        </w:tc>
        <w:tc>
          <w:tcPr>
            <w:tcW w:w="732" w:type="dxa"/>
            <w:noWrap w:val="0"/>
            <w:vAlign w:val="center"/>
          </w:tcPr>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分值</w:t>
            </w:r>
          </w:p>
        </w:tc>
        <w:tc>
          <w:tcPr>
            <w:tcW w:w="931" w:type="dxa"/>
            <w:noWrap w:val="0"/>
            <w:vAlign w:val="center"/>
          </w:tcPr>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454" w:hRule="atLeast"/>
          <w:jc w:val="center"/>
        </w:trPr>
        <w:tc>
          <w:tcPr>
            <w:tcW w:w="612" w:type="dxa"/>
            <w:vMerge w:val="continue"/>
            <w:noWrap w:val="0"/>
            <w:textDirection w:val="tbRlV"/>
            <w:vAlign w:val="center"/>
          </w:tcPr>
          <w:p>
            <w:pPr>
              <w:widowControl/>
              <w:ind w:left="113" w:right="113"/>
              <w:jc w:val="left"/>
              <w:rPr>
                <w:rFonts w:hint="default" w:ascii="Times New Roman" w:hAnsi="Times New Roman" w:cs="Times New Roman" w:eastAsiaTheme="minorEastAsia"/>
                <w:color w:val="000000"/>
                <w:kern w:val="0"/>
                <w:sz w:val="21"/>
                <w:szCs w:val="21"/>
              </w:rPr>
            </w:pPr>
          </w:p>
        </w:tc>
        <w:tc>
          <w:tcPr>
            <w:tcW w:w="2955" w:type="dxa"/>
            <w:gridSpan w:val="3"/>
            <w:noWrap w:val="0"/>
            <w:vAlign w:val="center"/>
          </w:tcPr>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年度资金总额　</w:t>
            </w:r>
          </w:p>
        </w:tc>
        <w:tc>
          <w:tcPr>
            <w:tcW w:w="1695" w:type="dxa"/>
            <w:noWrap w:val="0"/>
            <w:vAlign w:val="center"/>
          </w:tcPr>
          <w:p>
            <w:pPr>
              <w:widowControl/>
              <w:jc w:val="center"/>
              <w:rPr>
                <w:rFonts w:hint="default" w:ascii="Times New Roman" w:hAnsi="Times New Roman" w:cs="Times New Roman" w:eastAsiaTheme="minorEastAsia"/>
                <w:color w:val="000000"/>
                <w:kern w:val="0"/>
                <w:sz w:val="21"/>
                <w:szCs w:val="21"/>
                <w:lang w:val="en-US" w:eastAsia="zh-CN"/>
              </w:rPr>
            </w:pPr>
            <w:r>
              <w:rPr>
                <w:rFonts w:hint="default" w:ascii="Times New Roman" w:hAnsi="Times New Roman" w:cs="Times New Roman" w:eastAsiaTheme="minorEastAsia"/>
                <w:color w:val="000000"/>
                <w:kern w:val="0"/>
                <w:sz w:val="21"/>
                <w:szCs w:val="21"/>
                <w:lang w:val="en-US" w:eastAsia="zh-CN"/>
              </w:rPr>
              <w:t>401.17</w:t>
            </w:r>
          </w:p>
        </w:tc>
        <w:tc>
          <w:tcPr>
            <w:tcW w:w="1521" w:type="dxa"/>
            <w:noWrap w:val="0"/>
            <w:vAlign w:val="center"/>
          </w:tcPr>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lang w:val="en-US" w:eastAsia="zh-CN"/>
              </w:rPr>
              <w:t>401.17</w:t>
            </w:r>
          </w:p>
        </w:tc>
        <w:tc>
          <w:tcPr>
            <w:tcW w:w="1466" w:type="dxa"/>
            <w:noWrap w:val="0"/>
            <w:vAlign w:val="center"/>
          </w:tcPr>
          <w:p>
            <w:pPr>
              <w:widowControl/>
              <w:jc w:val="center"/>
              <w:rPr>
                <w:rFonts w:hint="default" w:ascii="Times New Roman" w:hAnsi="Times New Roman" w:cs="Times New Roman" w:eastAsiaTheme="minorEastAsia"/>
                <w:color w:val="000000"/>
                <w:kern w:val="0"/>
                <w:sz w:val="21"/>
                <w:szCs w:val="21"/>
                <w:lang w:val="en-US" w:eastAsia="zh-CN"/>
              </w:rPr>
            </w:pPr>
            <w:r>
              <w:rPr>
                <w:rFonts w:hint="default" w:ascii="Times New Roman" w:hAnsi="Times New Roman" w:cs="Times New Roman" w:eastAsiaTheme="minorEastAsia"/>
                <w:color w:val="000000"/>
                <w:kern w:val="0"/>
                <w:sz w:val="21"/>
                <w:szCs w:val="21"/>
                <w:lang w:val="en-US" w:eastAsia="zh-CN"/>
              </w:rPr>
              <w:t>100%</w:t>
            </w:r>
          </w:p>
        </w:tc>
        <w:tc>
          <w:tcPr>
            <w:tcW w:w="732" w:type="dxa"/>
            <w:noWrap w:val="0"/>
            <w:vAlign w:val="center"/>
          </w:tcPr>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10</w:t>
            </w:r>
          </w:p>
        </w:tc>
        <w:tc>
          <w:tcPr>
            <w:tcW w:w="931" w:type="dxa"/>
            <w:noWrap w:val="0"/>
            <w:vAlign w:val="center"/>
          </w:tcPr>
          <w:p>
            <w:pPr>
              <w:widowControl/>
              <w:jc w:val="center"/>
              <w:rPr>
                <w:rFonts w:hint="default" w:ascii="Times New Roman" w:hAnsi="Times New Roman" w:cs="Times New Roman" w:eastAsiaTheme="minorEastAsia"/>
                <w:color w:val="000000"/>
                <w:kern w:val="0"/>
                <w:sz w:val="21"/>
                <w:szCs w:val="21"/>
                <w:lang w:val="en-US" w:eastAsia="zh-CN"/>
              </w:rPr>
            </w:pPr>
            <w:r>
              <w:rPr>
                <w:rFonts w:hint="default" w:ascii="Times New Roman" w:hAnsi="Times New Roman" w:cs="Times New Roman" w:eastAsiaTheme="minorEastAsia"/>
                <w:color w:val="000000"/>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454" w:hRule="atLeast"/>
          <w:jc w:val="center"/>
        </w:trPr>
        <w:tc>
          <w:tcPr>
            <w:tcW w:w="612" w:type="dxa"/>
            <w:vMerge w:val="continue"/>
            <w:noWrap w:val="0"/>
            <w:textDirection w:val="tbRlV"/>
            <w:vAlign w:val="center"/>
          </w:tcPr>
          <w:p>
            <w:pPr>
              <w:widowControl/>
              <w:ind w:left="113" w:right="113"/>
              <w:jc w:val="left"/>
              <w:rPr>
                <w:rFonts w:hint="default" w:ascii="Times New Roman" w:hAnsi="Times New Roman" w:cs="Times New Roman" w:eastAsiaTheme="minorEastAsia"/>
                <w:color w:val="000000"/>
                <w:kern w:val="0"/>
                <w:sz w:val="21"/>
                <w:szCs w:val="21"/>
              </w:rPr>
            </w:pPr>
          </w:p>
        </w:tc>
        <w:tc>
          <w:tcPr>
            <w:tcW w:w="4650" w:type="dxa"/>
            <w:gridSpan w:val="4"/>
            <w:noWrap w:val="0"/>
            <w:vAlign w:val="center"/>
          </w:tcPr>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按收入性质分类</w:t>
            </w:r>
          </w:p>
        </w:tc>
        <w:tc>
          <w:tcPr>
            <w:tcW w:w="4650" w:type="dxa"/>
            <w:gridSpan w:val="4"/>
            <w:noWrap w:val="0"/>
            <w:vAlign w:val="center"/>
          </w:tcPr>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按支出性质分类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454" w:hRule="atLeast"/>
          <w:jc w:val="center"/>
        </w:trPr>
        <w:tc>
          <w:tcPr>
            <w:tcW w:w="612" w:type="dxa"/>
            <w:vMerge w:val="continue"/>
            <w:noWrap w:val="0"/>
            <w:textDirection w:val="tbRlV"/>
            <w:vAlign w:val="center"/>
          </w:tcPr>
          <w:p>
            <w:pPr>
              <w:widowControl/>
              <w:ind w:left="113" w:right="113"/>
              <w:jc w:val="left"/>
              <w:rPr>
                <w:rFonts w:hint="default" w:ascii="Times New Roman" w:hAnsi="Times New Roman" w:cs="Times New Roman" w:eastAsiaTheme="minorEastAsia"/>
                <w:color w:val="000000"/>
                <w:kern w:val="0"/>
                <w:sz w:val="21"/>
                <w:szCs w:val="21"/>
              </w:rPr>
            </w:pPr>
          </w:p>
        </w:tc>
        <w:tc>
          <w:tcPr>
            <w:tcW w:w="2955" w:type="dxa"/>
            <w:gridSpan w:val="3"/>
            <w:noWrap w:val="0"/>
            <w:vAlign w:val="center"/>
          </w:tcPr>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一般公共预算拨款</w:t>
            </w:r>
          </w:p>
        </w:tc>
        <w:tc>
          <w:tcPr>
            <w:tcW w:w="1695" w:type="dxa"/>
            <w:noWrap w:val="0"/>
            <w:vAlign w:val="center"/>
          </w:tcPr>
          <w:p>
            <w:pPr>
              <w:widowControl/>
              <w:jc w:val="center"/>
              <w:rPr>
                <w:rFonts w:hint="default" w:ascii="Times New Roman" w:hAnsi="Times New Roman" w:cs="Times New Roman" w:eastAsiaTheme="minorEastAsia"/>
                <w:color w:val="000000"/>
                <w:kern w:val="0"/>
                <w:sz w:val="21"/>
                <w:szCs w:val="21"/>
                <w:lang w:val="en-US" w:eastAsia="zh-CN"/>
              </w:rPr>
            </w:pPr>
            <w:r>
              <w:rPr>
                <w:rFonts w:hint="default" w:ascii="Times New Roman" w:hAnsi="Times New Roman" w:cs="Times New Roman" w:eastAsiaTheme="minorEastAsia"/>
                <w:color w:val="000000"/>
                <w:kern w:val="0"/>
                <w:sz w:val="21"/>
                <w:szCs w:val="21"/>
                <w:lang w:val="en-US" w:eastAsia="zh-CN"/>
              </w:rPr>
              <w:t>321.52</w:t>
            </w:r>
          </w:p>
        </w:tc>
        <w:tc>
          <w:tcPr>
            <w:tcW w:w="2987" w:type="dxa"/>
            <w:gridSpan w:val="2"/>
            <w:noWrap w:val="0"/>
            <w:vAlign w:val="center"/>
          </w:tcPr>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基本支出</w:t>
            </w:r>
          </w:p>
        </w:tc>
        <w:tc>
          <w:tcPr>
            <w:tcW w:w="1663" w:type="dxa"/>
            <w:gridSpan w:val="2"/>
            <w:noWrap w:val="0"/>
            <w:vAlign w:val="center"/>
          </w:tcPr>
          <w:p>
            <w:pPr>
              <w:widowControl/>
              <w:jc w:val="center"/>
              <w:rPr>
                <w:rFonts w:hint="default" w:ascii="Times New Roman" w:hAnsi="Times New Roman" w:cs="Times New Roman" w:eastAsiaTheme="minorEastAsia"/>
                <w:color w:val="000000"/>
                <w:kern w:val="0"/>
                <w:sz w:val="21"/>
                <w:szCs w:val="21"/>
                <w:lang w:val="en-US" w:eastAsia="zh-CN"/>
              </w:rPr>
            </w:pPr>
            <w:r>
              <w:rPr>
                <w:rFonts w:hint="default" w:ascii="Times New Roman" w:hAnsi="Times New Roman" w:cs="Times New Roman" w:eastAsiaTheme="minorEastAsia"/>
                <w:color w:val="000000"/>
                <w:kern w:val="0"/>
                <w:sz w:val="21"/>
                <w:szCs w:val="21"/>
                <w:lang w:val="en-US" w:eastAsia="zh-CN"/>
              </w:rPr>
              <w:t>337.97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454" w:hRule="atLeast"/>
          <w:jc w:val="center"/>
        </w:trPr>
        <w:tc>
          <w:tcPr>
            <w:tcW w:w="612" w:type="dxa"/>
            <w:vMerge w:val="continue"/>
            <w:noWrap w:val="0"/>
            <w:textDirection w:val="tbRlV"/>
            <w:vAlign w:val="center"/>
          </w:tcPr>
          <w:p>
            <w:pPr>
              <w:widowControl/>
              <w:ind w:left="113" w:right="113"/>
              <w:jc w:val="left"/>
              <w:rPr>
                <w:rFonts w:hint="default" w:ascii="Times New Roman" w:hAnsi="Times New Roman" w:cs="Times New Roman" w:eastAsiaTheme="minorEastAsia"/>
                <w:color w:val="000000"/>
                <w:kern w:val="0"/>
                <w:sz w:val="21"/>
                <w:szCs w:val="21"/>
              </w:rPr>
            </w:pPr>
          </w:p>
        </w:tc>
        <w:tc>
          <w:tcPr>
            <w:tcW w:w="2955" w:type="dxa"/>
            <w:gridSpan w:val="3"/>
            <w:noWrap w:val="0"/>
            <w:vAlign w:val="center"/>
          </w:tcPr>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政府性基金拨款</w:t>
            </w:r>
          </w:p>
        </w:tc>
        <w:tc>
          <w:tcPr>
            <w:tcW w:w="1695" w:type="dxa"/>
            <w:noWrap w:val="0"/>
            <w:vAlign w:val="center"/>
          </w:tcPr>
          <w:p>
            <w:pPr>
              <w:widowControl/>
              <w:jc w:val="center"/>
              <w:rPr>
                <w:rFonts w:hint="default" w:ascii="Times New Roman" w:hAnsi="Times New Roman" w:cs="Times New Roman" w:eastAsiaTheme="minorEastAsia"/>
                <w:color w:val="000000"/>
                <w:kern w:val="0"/>
                <w:sz w:val="21"/>
                <w:szCs w:val="21"/>
                <w:lang w:val="en-US" w:eastAsia="zh-CN"/>
              </w:rPr>
            </w:pPr>
          </w:p>
        </w:tc>
        <w:tc>
          <w:tcPr>
            <w:tcW w:w="2987" w:type="dxa"/>
            <w:gridSpan w:val="2"/>
            <w:noWrap w:val="0"/>
            <w:vAlign w:val="center"/>
          </w:tcPr>
          <w:p>
            <w:pPr>
              <w:widowControl/>
              <w:jc w:val="center"/>
              <w:textAlignment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lang w:bidi="ar"/>
              </w:rPr>
              <w:t>1.人员经费</w:t>
            </w:r>
          </w:p>
        </w:tc>
        <w:tc>
          <w:tcPr>
            <w:tcW w:w="1663" w:type="dxa"/>
            <w:gridSpan w:val="2"/>
            <w:noWrap w:val="0"/>
            <w:vAlign w:val="center"/>
          </w:tcPr>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lang w:val="en-US" w:eastAsia="zh-CN"/>
              </w:rPr>
              <w:t>183.36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454" w:hRule="atLeast"/>
          <w:jc w:val="center"/>
        </w:trPr>
        <w:tc>
          <w:tcPr>
            <w:tcW w:w="612" w:type="dxa"/>
            <w:vMerge w:val="continue"/>
            <w:noWrap w:val="0"/>
            <w:textDirection w:val="tbRlV"/>
            <w:vAlign w:val="center"/>
          </w:tcPr>
          <w:p>
            <w:pPr>
              <w:widowControl/>
              <w:ind w:left="113" w:right="113"/>
              <w:jc w:val="left"/>
              <w:rPr>
                <w:rFonts w:hint="default" w:ascii="Times New Roman" w:hAnsi="Times New Roman" w:cs="Times New Roman" w:eastAsiaTheme="minorEastAsia"/>
                <w:color w:val="000000"/>
                <w:kern w:val="0"/>
                <w:sz w:val="21"/>
                <w:szCs w:val="21"/>
              </w:rPr>
            </w:pPr>
          </w:p>
        </w:tc>
        <w:tc>
          <w:tcPr>
            <w:tcW w:w="2955" w:type="dxa"/>
            <w:gridSpan w:val="3"/>
            <w:noWrap w:val="0"/>
            <w:vAlign w:val="center"/>
          </w:tcPr>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纳入管理的非税收入拨款</w:t>
            </w:r>
          </w:p>
        </w:tc>
        <w:tc>
          <w:tcPr>
            <w:tcW w:w="1695" w:type="dxa"/>
            <w:noWrap w:val="0"/>
            <w:vAlign w:val="center"/>
          </w:tcPr>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　</w:t>
            </w:r>
          </w:p>
        </w:tc>
        <w:tc>
          <w:tcPr>
            <w:tcW w:w="2987" w:type="dxa"/>
            <w:gridSpan w:val="2"/>
            <w:noWrap w:val="0"/>
            <w:vAlign w:val="center"/>
          </w:tcPr>
          <w:p>
            <w:pPr>
              <w:widowControl/>
              <w:ind w:firstLine="420" w:firstLineChars="200"/>
              <w:jc w:val="center"/>
              <w:textAlignment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lang w:bidi="ar"/>
              </w:rPr>
              <w:t>2.公用经费</w:t>
            </w:r>
          </w:p>
        </w:tc>
        <w:tc>
          <w:tcPr>
            <w:tcW w:w="1663" w:type="dxa"/>
            <w:gridSpan w:val="2"/>
            <w:noWrap w:val="0"/>
            <w:vAlign w:val="center"/>
          </w:tcPr>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138.16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454" w:hRule="atLeast"/>
          <w:jc w:val="center"/>
        </w:trPr>
        <w:tc>
          <w:tcPr>
            <w:tcW w:w="612" w:type="dxa"/>
            <w:vMerge w:val="continue"/>
            <w:noWrap w:val="0"/>
            <w:textDirection w:val="tbRlV"/>
            <w:vAlign w:val="center"/>
          </w:tcPr>
          <w:p>
            <w:pPr>
              <w:widowControl/>
              <w:ind w:left="113" w:right="113"/>
              <w:jc w:val="left"/>
              <w:rPr>
                <w:rFonts w:hint="default" w:ascii="Times New Roman" w:hAnsi="Times New Roman" w:cs="Times New Roman" w:eastAsiaTheme="minorEastAsia"/>
                <w:color w:val="000000"/>
                <w:kern w:val="0"/>
                <w:sz w:val="21"/>
                <w:szCs w:val="21"/>
              </w:rPr>
            </w:pPr>
          </w:p>
        </w:tc>
        <w:tc>
          <w:tcPr>
            <w:tcW w:w="2955" w:type="dxa"/>
            <w:gridSpan w:val="3"/>
            <w:noWrap w:val="0"/>
            <w:vAlign w:val="center"/>
          </w:tcPr>
          <w:p>
            <w:pPr>
              <w:widowControl/>
              <w:jc w:val="center"/>
              <w:rPr>
                <w:rFonts w:hint="default" w:ascii="Times New Roman" w:hAnsi="Times New Roman" w:cs="Times New Roman" w:eastAsiaTheme="minorEastAsia"/>
                <w:color w:val="000000"/>
                <w:kern w:val="0"/>
                <w:sz w:val="21"/>
                <w:szCs w:val="21"/>
              </w:rPr>
            </w:pPr>
          </w:p>
        </w:tc>
        <w:tc>
          <w:tcPr>
            <w:tcW w:w="1695" w:type="dxa"/>
            <w:noWrap w:val="0"/>
            <w:vAlign w:val="center"/>
          </w:tcPr>
          <w:p>
            <w:pPr>
              <w:widowControl/>
              <w:jc w:val="center"/>
              <w:rPr>
                <w:rFonts w:hint="default" w:ascii="Times New Roman" w:hAnsi="Times New Roman" w:cs="Times New Roman" w:eastAsiaTheme="minorEastAsia"/>
                <w:color w:val="000000"/>
                <w:kern w:val="0"/>
                <w:sz w:val="21"/>
                <w:szCs w:val="21"/>
              </w:rPr>
            </w:pPr>
          </w:p>
        </w:tc>
        <w:tc>
          <w:tcPr>
            <w:tcW w:w="2987" w:type="dxa"/>
            <w:gridSpan w:val="2"/>
            <w:noWrap w:val="0"/>
            <w:vAlign w:val="center"/>
          </w:tcPr>
          <w:p>
            <w:pPr>
              <w:widowControl/>
              <w:jc w:val="right"/>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其中：三公经费</w:t>
            </w:r>
          </w:p>
        </w:tc>
        <w:tc>
          <w:tcPr>
            <w:tcW w:w="1663" w:type="dxa"/>
            <w:gridSpan w:val="2"/>
            <w:noWrap w:val="0"/>
            <w:vAlign w:val="center"/>
          </w:tcPr>
          <w:p>
            <w:pPr>
              <w:widowControl/>
              <w:jc w:val="center"/>
              <w:rPr>
                <w:rFonts w:hint="default" w:ascii="Times New Roman" w:hAnsi="Times New Roman" w:cs="Times New Roman"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454" w:hRule="atLeast"/>
          <w:jc w:val="center"/>
        </w:trPr>
        <w:tc>
          <w:tcPr>
            <w:tcW w:w="612" w:type="dxa"/>
            <w:vMerge w:val="continue"/>
            <w:noWrap w:val="0"/>
            <w:textDirection w:val="tbRlV"/>
            <w:vAlign w:val="center"/>
          </w:tcPr>
          <w:p>
            <w:pPr>
              <w:widowControl/>
              <w:ind w:left="113" w:right="113"/>
              <w:jc w:val="left"/>
              <w:rPr>
                <w:rFonts w:hint="default" w:ascii="Times New Roman" w:hAnsi="Times New Roman" w:cs="Times New Roman" w:eastAsiaTheme="minorEastAsia"/>
                <w:color w:val="000000"/>
                <w:kern w:val="0"/>
                <w:sz w:val="21"/>
                <w:szCs w:val="21"/>
              </w:rPr>
            </w:pPr>
          </w:p>
        </w:tc>
        <w:tc>
          <w:tcPr>
            <w:tcW w:w="2955" w:type="dxa"/>
            <w:gridSpan w:val="3"/>
            <w:noWrap w:val="0"/>
            <w:vAlign w:val="center"/>
          </w:tcPr>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其他资金</w:t>
            </w:r>
          </w:p>
        </w:tc>
        <w:tc>
          <w:tcPr>
            <w:tcW w:w="1695" w:type="dxa"/>
            <w:noWrap w:val="0"/>
            <w:vAlign w:val="center"/>
          </w:tcPr>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lang w:val="en-US" w:eastAsia="zh-CN"/>
              </w:rPr>
              <w:t>79.65</w:t>
            </w:r>
            <w:r>
              <w:rPr>
                <w:rFonts w:hint="default" w:ascii="Times New Roman" w:hAnsi="Times New Roman" w:cs="Times New Roman" w:eastAsiaTheme="minorEastAsia"/>
                <w:color w:val="000000"/>
                <w:kern w:val="0"/>
                <w:sz w:val="21"/>
                <w:szCs w:val="21"/>
              </w:rPr>
              <w:t>　</w:t>
            </w:r>
          </w:p>
        </w:tc>
        <w:tc>
          <w:tcPr>
            <w:tcW w:w="2987" w:type="dxa"/>
            <w:gridSpan w:val="2"/>
            <w:noWrap w:val="0"/>
            <w:vAlign w:val="center"/>
          </w:tcPr>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项目支出</w:t>
            </w:r>
          </w:p>
        </w:tc>
        <w:tc>
          <w:tcPr>
            <w:tcW w:w="1663" w:type="dxa"/>
            <w:gridSpan w:val="2"/>
            <w:noWrap w:val="0"/>
            <w:vAlign w:val="center"/>
          </w:tcPr>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lang w:val="en-US" w:eastAsia="zh-CN"/>
              </w:rPr>
              <w:t>63.20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482" w:hRule="atLeast"/>
          <w:jc w:val="center"/>
        </w:trPr>
        <w:tc>
          <w:tcPr>
            <w:tcW w:w="612" w:type="dxa"/>
            <w:vMerge w:val="restart"/>
            <w:noWrap w:val="0"/>
            <w:textDirection w:val="tbRlV"/>
            <w:vAlign w:val="center"/>
          </w:tcPr>
          <w:p>
            <w:pPr>
              <w:widowControl/>
              <w:ind w:left="113" w:right="113"/>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年度总体目标</w:t>
            </w:r>
          </w:p>
        </w:tc>
        <w:tc>
          <w:tcPr>
            <w:tcW w:w="4650" w:type="dxa"/>
            <w:gridSpan w:val="4"/>
            <w:noWrap w:val="0"/>
            <w:vAlign w:val="center"/>
          </w:tcPr>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年初预期（设定）目标　</w:t>
            </w:r>
          </w:p>
        </w:tc>
        <w:tc>
          <w:tcPr>
            <w:tcW w:w="4650" w:type="dxa"/>
            <w:gridSpan w:val="4"/>
            <w:noWrap w:val="0"/>
            <w:vAlign w:val="center"/>
          </w:tcPr>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1918" w:hRule="atLeast"/>
          <w:jc w:val="center"/>
        </w:trPr>
        <w:tc>
          <w:tcPr>
            <w:tcW w:w="612" w:type="dxa"/>
            <w:vMerge w:val="continue"/>
            <w:noWrap w:val="0"/>
            <w:textDirection w:val="tbRlV"/>
            <w:vAlign w:val="center"/>
          </w:tcPr>
          <w:p>
            <w:pPr>
              <w:widowControl/>
              <w:ind w:left="113" w:right="113"/>
              <w:jc w:val="left"/>
              <w:rPr>
                <w:rFonts w:hint="default" w:ascii="Times New Roman" w:hAnsi="Times New Roman" w:cs="Times New Roman" w:eastAsiaTheme="minorEastAsia"/>
                <w:color w:val="000000"/>
                <w:kern w:val="0"/>
                <w:sz w:val="21"/>
                <w:szCs w:val="21"/>
              </w:rPr>
            </w:pPr>
          </w:p>
        </w:tc>
        <w:tc>
          <w:tcPr>
            <w:tcW w:w="4650" w:type="dxa"/>
            <w:gridSpan w:val="4"/>
            <w:noWrap w:val="0"/>
            <w:vAlign w:val="center"/>
          </w:tcPr>
          <w:p>
            <w:pPr>
              <w:widowControl/>
              <w:jc w:val="left"/>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在本年度收支预算内，确保完成以下整体目标：</w:t>
            </w:r>
          </w:p>
          <w:p>
            <w:pPr>
              <w:widowControl/>
              <w:jc w:val="left"/>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目标1：人员经费按照相关政策及时发放到位</w:t>
            </w:r>
          </w:p>
          <w:p>
            <w:pPr>
              <w:widowControl/>
              <w:jc w:val="left"/>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目标2：严格控制三公经费，确保机关正常运行</w:t>
            </w:r>
          </w:p>
          <w:p>
            <w:pPr>
              <w:widowControl/>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目标3：做好社会保障工作</w:t>
            </w:r>
          </w:p>
        </w:tc>
        <w:tc>
          <w:tcPr>
            <w:tcW w:w="4650" w:type="dxa"/>
            <w:gridSpan w:val="4"/>
            <w:noWrap w:val="0"/>
            <w:vAlign w:val="center"/>
          </w:tcPr>
          <w:p>
            <w:pPr>
              <w:widowControl/>
              <w:jc w:val="left"/>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lang w:val="en-US" w:eastAsia="zh-CN"/>
              </w:rPr>
              <w:t>按照财政预算，严控三公经费，2022年本单位正常运行，人员相关经费按照政策及时发放到位。</w:t>
            </w:r>
            <w:r>
              <w:rPr>
                <w:rFonts w:hint="default" w:ascii="Times New Roman" w:hAnsi="Times New Roman" w:cs="Times New Roman" w:eastAsiaTheme="minorEastAsia"/>
                <w:color w:val="000000"/>
                <w:kern w:val="0"/>
                <w:sz w:val="21"/>
                <w:szCs w:val="21"/>
              </w:rPr>
              <w:t>　</w:t>
            </w:r>
          </w:p>
          <w:p>
            <w:pPr>
              <w:widowControl/>
              <w:jc w:val="center"/>
              <w:rPr>
                <w:rFonts w:hint="default" w:ascii="Times New Roman" w:hAnsi="Times New Roman" w:cs="Times New Roman" w:eastAsiaTheme="minorEastAsia"/>
                <w:color w:val="000000"/>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632" w:hRule="exact"/>
          <w:jc w:val="center"/>
        </w:trPr>
        <w:tc>
          <w:tcPr>
            <w:tcW w:w="612" w:type="dxa"/>
            <w:vMerge w:val="restart"/>
            <w:noWrap w:val="0"/>
            <w:textDirection w:val="tbRlV"/>
            <w:vAlign w:val="center"/>
          </w:tcPr>
          <w:p>
            <w:pPr>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绩效指标</w:t>
            </w:r>
          </w:p>
        </w:tc>
        <w:tc>
          <w:tcPr>
            <w:tcW w:w="900" w:type="dxa"/>
            <w:noWrap w:val="0"/>
            <w:vAlign w:val="center"/>
          </w:tcPr>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一级</w:t>
            </w:r>
          </w:p>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指标</w:t>
            </w:r>
          </w:p>
        </w:tc>
        <w:tc>
          <w:tcPr>
            <w:tcW w:w="1050" w:type="dxa"/>
            <w:noWrap w:val="0"/>
            <w:vAlign w:val="center"/>
          </w:tcPr>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二级指标</w:t>
            </w:r>
          </w:p>
        </w:tc>
        <w:tc>
          <w:tcPr>
            <w:tcW w:w="2700" w:type="dxa"/>
            <w:gridSpan w:val="2"/>
            <w:noWrap w:val="0"/>
            <w:vAlign w:val="center"/>
          </w:tcPr>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三级指标　</w:t>
            </w:r>
          </w:p>
        </w:tc>
        <w:tc>
          <w:tcPr>
            <w:tcW w:w="1521" w:type="dxa"/>
            <w:noWrap w:val="0"/>
            <w:vAlign w:val="center"/>
          </w:tcPr>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年度指标值</w:t>
            </w:r>
          </w:p>
        </w:tc>
        <w:tc>
          <w:tcPr>
            <w:tcW w:w="1466" w:type="dxa"/>
            <w:noWrap w:val="0"/>
            <w:vAlign w:val="center"/>
          </w:tcPr>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实际完成值</w:t>
            </w:r>
          </w:p>
        </w:tc>
        <w:tc>
          <w:tcPr>
            <w:tcW w:w="732" w:type="dxa"/>
            <w:noWrap w:val="0"/>
            <w:vAlign w:val="center"/>
          </w:tcPr>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分值</w:t>
            </w:r>
          </w:p>
        </w:tc>
        <w:tc>
          <w:tcPr>
            <w:tcW w:w="931" w:type="dxa"/>
            <w:noWrap w:val="0"/>
            <w:vAlign w:val="center"/>
          </w:tcPr>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794" w:hRule="exact"/>
          <w:jc w:val="center"/>
        </w:trPr>
        <w:tc>
          <w:tcPr>
            <w:tcW w:w="612" w:type="dxa"/>
            <w:vMerge w:val="continue"/>
            <w:noWrap w:val="0"/>
            <w:vAlign w:val="center"/>
          </w:tcPr>
          <w:p>
            <w:pPr>
              <w:widowControl/>
              <w:jc w:val="left"/>
              <w:rPr>
                <w:rFonts w:hint="default" w:ascii="Times New Roman" w:hAnsi="Times New Roman" w:cs="Times New Roman" w:eastAsiaTheme="minorEastAsia"/>
                <w:color w:val="000000"/>
                <w:kern w:val="0"/>
                <w:sz w:val="21"/>
                <w:szCs w:val="21"/>
              </w:rPr>
            </w:pPr>
          </w:p>
        </w:tc>
        <w:tc>
          <w:tcPr>
            <w:tcW w:w="900" w:type="dxa"/>
            <w:vMerge w:val="restart"/>
            <w:noWrap w:val="0"/>
            <w:vAlign w:val="center"/>
          </w:tcPr>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产出</w:t>
            </w:r>
          </w:p>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指标</w:t>
            </w:r>
          </w:p>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（50分）</w:t>
            </w:r>
          </w:p>
        </w:tc>
        <w:tc>
          <w:tcPr>
            <w:tcW w:w="1050" w:type="dxa"/>
            <w:noWrap w:val="0"/>
            <w:vAlign w:val="center"/>
          </w:tcPr>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数量指标</w:t>
            </w:r>
          </w:p>
        </w:tc>
        <w:tc>
          <w:tcPr>
            <w:tcW w:w="2700" w:type="dxa"/>
            <w:gridSpan w:val="2"/>
            <w:noWrap w:val="0"/>
            <w:vAlign w:val="center"/>
          </w:tcPr>
          <w:p>
            <w:pPr>
              <w:widowControl/>
              <w:jc w:val="center"/>
              <w:textAlignment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eastAsiaTheme="minorEastAsia"/>
                <w:color w:val="000000"/>
                <w:kern w:val="0"/>
                <w:sz w:val="21"/>
                <w:szCs w:val="21"/>
                <w:lang w:eastAsia="zh-CN"/>
              </w:rPr>
              <w:t>全区医保缴费人数</w:t>
            </w:r>
          </w:p>
        </w:tc>
        <w:tc>
          <w:tcPr>
            <w:tcW w:w="1521" w:type="dxa"/>
            <w:noWrap w:val="0"/>
            <w:vAlign w:val="center"/>
          </w:tcPr>
          <w:p>
            <w:pPr>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eastAsiaTheme="minorEastAsia"/>
                <w:color w:val="000000"/>
                <w:sz w:val="21"/>
                <w:szCs w:val="21"/>
                <w:lang w:val="en-US" w:eastAsia="zh-CN"/>
              </w:rPr>
              <w:t>75745人</w:t>
            </w:r>
          </w:p>
        </w:tc>
        <w:tc>
          <w:tcPr>
            <w:tcW w:w="1466" w:type="dxa"/>
            <w:noWrap w:val="0"/>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eastAsiaTheme="minorEastAsia"/>
                <w:color w:val="000000"/>
                <w:kern w:val="0"/>
                <w:sz w:val="21"/>
                <w:szCs w:val="21"/>
                <w:lang w:val="en-US" w:eastAsia="zh-CN"/>
              </w:rPr>
              <w:t>75745人</w:t>
            </w:r>
          </w:p>
        </w:tc>
        <w:tc>
          <w:tcPr>
            <w:tcW w:w="732" w:type="dxa"/>
            <w:noWrap w:val="0"/>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eastAsiaTheme="minorEastAsia"/>
                <w:color w:val="000000"/>
                <w:kern w:val="0"/>
                <w:sz w:val="21"/>
                <w:szCs w:val="21"/>
                <w:lang w:val="en-US" w:eastAsia="zh-CN"/>
              </w:rPr>
              <w:t>16</w:t>
            </w:r>
          </w:p>
        </w:tc>
        <w:tc>
          <w:tcPr>
            <w:tcW w:w="931" w:type="dxa"/>
            <w:noWrap w:val="0"/>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eastAsiaTheme="minorEastAsia"/>
                <w:color w:val="000000"/>
                <w:kern w:val="0"/>
                <w:sz w:val="21"/>
                <w:szCs w:val="21"/>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794" w:hRule="exact"/>
          <w:jc w:val="center"/>
        </w:trPr>
        <w:tc>
          <w:tcPr>
            <w:tcW w:w="612" w:type="dxa"/>
            <w:vMerge w:val="continue"/>
            <w:noWrap w:val="0"/>
            <w:vAlign w:val="center"/>
          </w:tcPr>
          <w:p>
            <w:pPr>
              <w:widowControl/>
              <w:jc w:val="left"/>
              <w:rPr>
                <w:rFonts w:hint="default" w:ascii="Times New Roman" w:hAnsi="Times New Roman" w:cs="Times New Roman" w:eastAsiaTheme="minorEastAsia"/>
                <w:color w:val="000000"/>
                <w:kern w:val="0"/>
                <w:sz w:val="21"/>
                <w:szCs w:val="21"/>
              </w:rPr>
            </w:pPr>
          </w:p>
        </w:tc>
        <w:tc>
          <w:tcPr>
            <w:tcW w:w="900" w:type="dxa"/>
            <w:vMerge w:val="continue"/>
            <w:noWrap w:val="0"/>
            <w:vAlign w:val="center"/>
          </w:tcPr>
          <w:p>
            <w:pPr>
              <w:widowControl/>
              <w:jc w:val="left"/>
              <w:rPr>
                <w:rFonts w:hint="default" w:ascii="Times New Roman" w:hAnsi="Times New Roman" w:cs="Times New Roman" w:eastAsiaTheme="minorEastAsia"/>
                <w:color w:val="000000"/>
                <w:kern w:val="0"/>
                <w:sz w:val="21"/>
                <w:szCs w:val="21"/>
              </w:rPr>
            </w:pPr>
          </w:p>
        </w:tc>
        <w:tc>
          <w:tcPr>
            <w:tcW w:w="1050" w:type="dxa"/>
            <w:vMerge w:val="restart"/>
            <w:noWrap w:val="0"/>
            <w:vAlign w:val="center"/>
          </w:tcPr>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质量指标</w:t>
            </w:r>
          </w:p>
        </w:tc>
        <w:tc>
          <w:tcPr>
            <w:tcW w:w="2700" w:type="dxa"/>
            <w:gridSpan w:val="2"/>
            <w:noWrap w:val="0"/>
            <w:vAlign w:val="center"/>
          </w:tcPr>
          <w:p>
            <w:pPr>
              <w:widowControl/>
              <w:jc w:val="center"/>
              <w:textAlignment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eastAsiaTheme="minorEastAsia"/>
                <w:color w:val="000000"/>
                <w:sz w:val="21"/>
                <w:szCs w:val="21"/>
                <w:lang w:eastAsia="zh-CN"/>
              </w:rPr>
              <w:t>特殊困难人群参保率</w:t>
            </w:r>
          </w:p>
        </w:tc>
        <w:tc>
          <w:tcPr>
            <w:tcW w:w="1521" w:type="dxa"/>
            <w:noWrap w:val="0"/>
            <w:vAlign w:val="center"/>
          </w:tcPr>
          <w:p>
            <w:pPr>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eastAsiaTheme="minorEastAsia"/>
                <w:color w:val="000000"/>
                <w:sz w:val="21"/>
                <w:szCs w:val="21"/>
              </w:rPr>
              <w:t>100%</w:t>
            </w:r>
          </w:p>
        </w:tc>
        <w:tc>
          <w:tcPr>
            <w:tcW w:w="1466" w:type="dxa"/>
            <w:noWrap w:val="0"/>
            <w:vAlign w:val="center"/>
          </w:tcPr>
          <w:p>
            <w:pPr>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eastAsiaTheme="minorEastAsia"/>
                <w:color w:val="000000"/>
                <w:sz w:val="21"/>
                <w:szCs w:val="21"/>
              </w:rPr>
              <w:t>100%</w:t>
            </w:r>
          </w:p>
        </w:tc>
        <w:tc>
          <w:tcPr>
            <w:tcW w:w="732" w:type="dxa"/>
            <w:noWrap w:val="0"/>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eastAsiaTheme="minorEastAsia"/>
                <w:color w:val="000000"/>
                <w:kern w:val="0"/>
                <w:sz w:val="21"/>
                <w:szCs w:val="21"/>
                <w:lang w:val="en-US" w:eastAsia="zh-CN"/>
              </w:rPr>
              <w:t>7</w:t>
            </w:r>
          </w:p>
        </w:tc>
        <w:tc>
          <w:tcPr>
            <w:tcW w:w="931" w:type="dxa"/>
            <w:noWrap w:val="0"/>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eastAsiaTheme="minorEastAsia"/>
                <w:color w:val="000000"/>
                <w:kern w:val="0"/>
                <w:sz w:val="21"/>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794" w:hRule="exact"/>
          <w:jc w:val="center"/>
        </w:trPr>
        <w:tc>
          <w:tcPr>
            <w:tcW w:w="612" w:type="dxa"/>
            <w:vMerge w:val="continue"/>
            <w:tcBorders>
              <w:top w:val="nil"/>
            </w:tcBorders>
            <w:noWrap w:val="0"/>
            <w:vAlign w:val="center"/>
          </w:tcPr>
          <w:p>
            <w:pPr>
              <w:widowControl/>
              <w:jc w:val="left"/>
              <w:rPr>
                <w:rFonts w:hint="default" w:ascii="Times New Roman" w:hAnsi="Times New Roman" w:cs="Times New Roman" w:eastAsiaTheme="minorEastAsia"/>
                <w:color w:val="000000"/>
                <w:kern w:val="0"/>
                <w:sz w:val="21"/>
                <w:szCs w:val="21"/>
              </w:rPr>
            </w:pPr>
          </w:p>
        </w:tc>
        <w:tc>
          <w:tcPr>
            <w:tcW w:w="900" w:type="dxa"/>
            <w:vMerge w:val="continue"/>
            <w:tcBorders>
              <w:top w:val="nil"/>
            </w:tcBorders>
            <w:noWrap w:val="0"/>
            <w:vAlign w:val="center"/>
          </w:tcPr>
          <w:p>
            <w:pPr>
              <w:widowControl/>
              <w:jc w:val="left"/>
              <w:rPr>
                <w:rFonts w:hint="default" w:ascii="Times New Roman" w:hAnsi="Times New Roman" w:cs="Times New Roman" w:eastAsiaTheme="minorEastAsia"/>
                <w:color w:val="000000"/>
                <w:kern w:val="0"/>
                <w:sz w:val="21"/>
                <w:szCs w:val="21"/>
              </w:rPr>
            </w:pPr>
          </w:p>
        </w:tc>
        <w:tc>
          <w:tcPr>
            <w:tcW w:w="1050" w:type="dxa"/>
            <w:vMerge w:val="continue"/>
            <w:tcBorders>
              <w:top w:val="nil"/>
            </w:tcBorders>
            <w:noWrap w:val="0"/>
            <w:vAlign w:val="center"/>
          </w:tcPr>
          <w:p>
            <w:pPr>
              <w:widowControl/>
              <w:jc w:val="left"/>
              <w:rPr>
                <w:rFonts w:hint="default" w:ascii="Times New Roman" w:hAnsi="Times New Roman" w:cs="Times New Roman" w:eastAsiaTheme="minorEastAsia"/>
                <w:color w:val="000000"/>
                <w:kern w:val="0"/>
                <w:sz w:val="21"/>
                <w:szCs w:val="21"/>
              </w:rPr>
            </w:pPr>
          </w:p>
        </w:tc>
        <w:tc>
          <w:tcPr>
            <w:tcW w:w="2700" w:type="dxa"/>
            <w:gridSpan w:val="2"/>
            <w:tcBorders>
              <w:top w:val="nil"/>
            </w:tcBorders>
            <w:noWrap w:val="0"/>
            <w:vAlign w:val="center"/>
          </w:tcPr>
          <w:p>
            <w:pPr>
              <w:widowControl/>
              <w:jc w:val="center"/>
              <w:textAlignment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eastAsiaTheme="minorEastAsia"/>
                <w:color w:val="000000"/>
                <w:kern w:val="0"/>
                <w:sz w:val="21"/>
                <w:szCs w:val="21"/>
                <w:lang w:val="en-US" w:eastAsia="zh-CN" w:bidi="ar-SA"/>
              </w:rPr>
              <w:t>全区统筹参保率</w:t>
            </w:r>
          </w:p>
        </w:tc>
        <w:tc>
          <w:tcPr>
            <w:tcW w:w="1521" w:type="dxa"/>
            <w:noWrap w:val="0"/>
            <w:vAlign w:val="center"/>
          </w:tcPr>
          <w:p>
            <w:pPr>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eastAsiaTheme="minorEastAsia"/>
                <w:color w:val="000000"/>
                <w:kern w:val="0"/>
                <w:sz w:val="21"/>
                <w:szCs w:val="21"/>
                <w:lang w:val="en-US" w:eastAsia="zh-CN" w:bidi="ar-SA"/>
              </w:rPr>
              <w:t>100%</w:t>
            </w:r>
          </w:p>
        </w:tc>
        <w:tc>
          <w:tcPr>
            <w:tcW w:w="1466" w:type="dxa"/>
            <w:noWrap w:val="0"/>
            <w:vAlign w:val="center"/>
          </w:tcPr>
          <w:p>
            <w:pPr>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eastAsiaTheme="minorEastAsia"/>
                <w:color w:val="000000"/>
                <w:kern w:val="0"/>
                <w:sz w:val="21"/>
                <w:szCs w:val="21"/>
                <w:lang w:val="en-US" w:eastAsia="zh-CN" w:bidi="ar-SA"/>
              </w:rPr>
              <w:t>低于100%</w:t>
            </w:r>
          </w:p>
        </w:tc>
        <w:tc>
          <w:tcPr>
            <w:tcW w:w="732" w:type="dxa"/>
            <w:noWrap w:val="0"/>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eastAsiaTheme="minorEastAsia"/>
                <w:color w:val="000000"/>
                <w:kern w:val="0"/>
                <w:sz w:val="21"/>
                <w:szCs w:val="21"/>
                <w:lang w:val="en-US" w:eastAsia="zh-CN" w:bidi="ar-SA"/>
              </w:rPr>
              <w:t>10</w:t>
            </w:r>
          </w:p>
        </w:tc>
        <w:tc>
          <w:tcPr>
            <w:tcW w:w="931" w:type="dxa"/>
            <w:noWrap w:val="0"/>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eastAsiaTheme="minorEastAsia"/>
                <w:color w:val="000000"/>
                <w:kern w:val="0"/>
                <w:sz w:val="21"/>
                <w:szCs w:val="21"/>
                <w:lang w:val="en-US" w:eastAsia="zh-CN" w:bidi="ar-S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794" w:hRule="exact"/>
          <w:jc w:val="center"/>
        </w:trPr>
        <w:tc>
          <w:tcPr>
            <w:tcW w:w="612" w:type="dxa"/>
            <w:vMerge w:val="continue"/>
            <w:noWrap w:val="0"/>
            <w:vAlign w:val="center"/>
          </w:tcPr>
          <w:p>
            <w:pPr>
              <w:widowControl/>
              <w:jc w:val="left"/>
              <w:rPr>
                <w:rFonts w:hint="default" w:ascii="Times New Roman" w:hAnsi="Times New Roman" w:cs="Times New Roman" w:eastAsiaTheme="minorEastAsia"/>
                <w:color w:val="000000"/>
                <w:kern w:val="0"/>
                <w:sz w:val="21"/>
                <w:szCs w:val="21"/>
              </w:rPr>
            </w:pPr>
          </w:p>
        </w:tc>
        <w:tc>
          <w:tcPr>
            <w:tcW w:w="900" w:type="dxa"/>
            <w:vMerge w:val="continue"/>
            <w:noWrap w:val="0"/>
            <w:vAlign w:val="center"/>
          </w:tcPr>
          <w:p>
            <w:pPr>
              <w:widowControl/>
              <w:jc w:val="left"/>
              <w:rPr>
                <w:rFonts w:hint="default" w:ascii="Times New Roman" w:hAnsi="Times New Roman" w:cs="Times New Roman" w:eastAsiaTheme="minorEastAsia"/>
                <w:color w:val="000000"/>
                <w:kern w:val="0"/>
                <w:sz w:val="21"/>
                <w:szCs w:val="21"/>
              </w:rPr>
            </w:pPr>
          </w:p>
        </w:tc>
        <w:tc>
          <w:tcPr>
            <w:tcW w:w="1050" w:type="dxa"/>
            <w:noWrap w:val="0"/>
            <w:vAlign w:val="center"/>
          </w:tcPr>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时效指标</w:t>
            </w:r>
          </w:p>
        </w:tc>
        <w:tc>
          <w:tcPr>
            <w:tcW w:w="2700" w:type="dxa"/>
            <w:gridSpan w:val="2"/>
            <w:noWrap w:val="0"/>
            <w:vAlign w:val="center"/>
          </w:tcPr>
          <w:p>
            <w:pPr>
              <w:widowControl/>
              <w:jc w:val="center"/>
              <w:textAlignment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eastAsiaTheme="minorEastAsia"/>
                <w:color w:val="000000"/>
                <w:sz w:val="21"/>
                <w:szCs w:val="21"/>
              </w:rPr>
              <w:t>重点工作办结率</w:t>
            </w:r>
          </w:p>
        </w:tc>
        <w:tc>
          <w:tcPr>
            <w:tcW w:w="1521" w:type="dxa"/>
            <w:noWrap w:val="0"/>
            <w:vAlign w:val="center"/>
          </w:tcPr>
          <w:p>
            <w:pPr>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eastAsiaTheme="minorEastAsia"/>
                <w:color w:val="000000"/>
                <w:sz w:val="21"/>
                <w:szCs w:val="21"/>
              </w:rPr>
              <w:t>按时办结100%</w:t>
            </w:r>
          </w:p>
        </w:tc>
        <w:tc>
          <w:tcPr>
            <w:tcW w:w="1466" w:type="dxa"/>
            <w:noWrap w:val="0"/>
            <w:vAlign w:val="center"/>
          </w:tcPr>
          <w:p>
            <w:pPr>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eastAsiaTheme="minorEastAsia"/>
                <w:color w:val="000000"/>
                <w:sz w:val="21"/>
                <w:szCs w:val="21"/>
              </w:rPr>
              <w:t>按时办</w:t>
            </w:r>
            <w:r>
              <w:rPr>
                <w:rFonts w:hint="default" w:ascii="Times New Roman" w:hAnsi="Times New Roman" w:cs="Times New Roman" w:eastAsiaTheme="minorEastAsia"/>
                <w:color w:val="000000"/>
                <w:sz w:val="21"/>
                <w:szCs w:val="21"/>
                <w:lang w:val="en-US" w:eastAsia="zh-CN"/>
              </w:rPr>
              <w:t>结</w:t>
            </w:r>
            <w:r>
              <w:rPr>
                <w:rFonts w:hint="default" w:ascii="Times New Roman" w:hAnsi="Times New Roman" w:cs="Times New Roman" w:eastAsiaTheme="minorEastAsia"/>
                <w:color w:val="000000"/>
                <w:sz w:val="21"/>
                <w:szCs w:val="21"/>
              </w:rPr>
              <w:t>100%</w:t>
            </w:r>
          </w:p>
        </w:tc>
        <w:tc>
          <w:tcPr>
            <w:tcW w:w="732" w:type="dxa"/>
            <w:noWrap w:val="0"/>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eastAsiaTheme="minorEastAsia"/>
                <w:color w:val="000000"/>
                <w:kern w:val="0"/>
                <w:sz w:val="21"/>
                <w:szCs w:val="21"/>
                <w:lang w:val="en-US" w:eastAsia="zh-CN"/>
              </w:rPr>
              <w:t>8</w:t>
            </w:r>
          </w:p>
        </w:tc>
        <w:tc>
          <w:tcPr>
            <w:tcW w:w="931" w:type="dxa"/>
            <w:noWrap w:val="0"/>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eastAsiaTheme="minorEastAsia"/>
                <w:color w:val="000000"/>
                <w:kern w:val="0"/>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794" w:hRule="exact"/>
          <w:jc w:val="center"/>
        </w:trPr>
        <w:tc>
          <w:tcPr>
            <w:tcW w:w="612" w:type="dxa"/>
            <w:vMerge w:val="continue"/>
            <w:tcBorders>
              <w:top w:val="nil"/>
            </w:tcBorders>
            <w:noWrap w:val="0"/>
            <w:vAlign w:val="center"/>
          </w:tcPr>
          <w:p>
            <w:pPr>
              <w:widowControl/>
              <w:jc w:val="left"/>
              <w:rPr>
                <w:rFonts w:hint="default" w:ascii="Times New Roman" w:hAnsi="Times New Roman" w:cs="Times New Roman" w:eastAsiaTheme="minorEastAsia"/>
                <w:color w:val="000000"/>
                <w:kern w:val="0"/>
                <w:sz w:val="21"/>
                <w:szCs w:val="21"/>
              </w:rPr>
            </w:pPr>
          </w:p>
        </w:tc>
        <w:tc>
          <w:tcPr>
            <w:tcW w:w="900" w:type="dxa"/>
            <w:vMerge w:val="continue"/>
            <w:tcBorders>
              <w:top w:val="nil"/>
            </w:tcBorders>
            <w:noWrap w:val="0"/>
            <w:vAlign w:val="center"/>
          </w:tcPr>
          <w:p>
            <w:pPr>
              <w:widowControl/>
              <w:jc w:val="left"/>
              <w:rPr>
                <w:rFonts w:hint="default" w:ascii="Times New Roman" w:hAnsi="Times New Roman" w:cs="Times New Roman" w:eastAsiaTheme="minorEastAsia"/>
                <w:color w:val="000000"/>
                <w:kern w:val="0"/>
                <w:sz w:val="21"/>
                <w:szCs w:val="21"/>
              </w:rPr>
            </w:pPr>
          </w:p>
        </w:tc>
        <w:tc>
          <w:tcPr>
            <w:tcW w:w="1050" w:type="dxa"/>
            <w:tcBorders>
              <w:top w:val="nil"/>
            </w:tcBorders>
            <w:noWrap w:val="0"/>
            <w:vAlign w:val="center"/>
          </w:tcPr>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成本指标</w:t>
            </w:r>
          </w:p>
        </w:tc>
        <w:tc>
          <w:tcPr>
            <w:tcW w:w="2700" w:type="dxa"/>
            <w:gridSpan w:val="2"/>
            <w:noWrap w:val="0"/>
            <w:vAlign w:val="center"/>
          </w:tcPr>
          <w:p>
            <w:pPr>
              <w:widowControl/>
              <w:jc w:val="center"/>
              <w:textAlignment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eastAsiaTheme="minorEastAsia"/>
                <w:color w:val="000000"/>
                <w:sz w:val="21"/>
                <w:szCs w:val="21"/>
              </w:rPr>
              <w:t>各项业务经费不超出预算，超支审批</w:t>
            </w:r>
          </w:p>
        </w:tc>
        <w:tc>
          <w:tcPr>
            <w:tcW w:w="1521" w:type="dxa"/>
            <w:noWrap w:val="0"/>
            <w:vAlign w:val="center"/>
          </w:tcPr>
          <w:p>
            <w:pPr>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eastAsiaTheme="minorEastAsia"/>
                <w:color w:val="000000"/>
                <w:sz w:val="21"/>
                <w:szCs w:val="21"/>
              </w:rPr>
              <w:t>100%</w:t>
            </w:r>
          </w:p>
        </w:tc>
        <w:tc>
          <w:tcPr>
            <w:tcW w:w="1466" w:type="dxa"/>
            <w:noWrap w:val="0"/>
            <w:vAlign w:val="center"/>
          </w:tcPr>
          <w:p>
            <w:pPr>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eastAsiaTheme="minorEastAsia"/>
                <w:color w:val="000000"/>
                <w:sz w:val="21"/>
                <w:szCs w:val="21"/>
              </w:rPr>
              <w:t>100%</w:t>
            </w:r>
          </w:p>
        </w:tc>
        <w:tc>
          <w:tcPr>
            <w:tcW w:w="732" w:type="dxa"/>
            <w:noWrap w:val="0"/>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eastAsiaTheme="minorEastAsia"/>
                <w:color w:val="000000"/>
                <w:kern w:val="0"/>
                <w:sz w:val="21"/>
                <w:szCs w:val="21"/>
                <w:lang w:val="en-US" w:eastAsia="zh-CN"/>
              </w:rPr>
              <w:t>9</w:t>
            </w:r>
          </w:p>
        </w:tc>
        <w:tc>
          <w:tcPr>
            <w:tcW w:w="931" w:type="dxa"/>
            <w:noWrap w:val="0"/>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eastAsiaTheme="minorEastAsia"/>
                <w:color w:val="000000"/>
                <w:kern w:val="0"/>
                <w:sz w:val="21"/>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691" w:hRule="exact"/>
          <w:jc w:val="center"/>
        </w:trPr>
        <w:tc>
          <w:tcPr>
            <w:tcW w:w="612" w:type="dxa"/>
            <w:vMerge w:val="restart"/>
            <w:noWrap w:val="0"/>
            <w:vAlign w:val="center"/>
          </w:tcPr>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绩效指标</w:t>
            </w:r>
          </w:p>
        </w:tc>
        <w:tc>
          <w:tcPr>
            <w:tcW w:w="900" w:type="dxa"/>
            <w:vMerge w:val="restart"/>
            <w:noWrap w:val="0"/>
            <w:vAlign w:val="center"/>
          </w:tcPr>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效益</w:t>
            </w:r>
          </w:p>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指标</w:t>
            </w:r>
          </w:p>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（30分）</w:t>
            </w:r>
          </w:p>
        </w:tc>
        <w:tc>
          <w:tcPr>
            <w:tcW w:w="1050" w:type="dxa"/>
            <w:noWrap w:val="0"/>
            <w:vAlign w:val="center"/>
          </w:tcPr>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经济效益指标</w:t>
            </w:r>
          </w:p>
        </w:tc>
        <w:tc>
          <w:tcPr>
            <w:tcW w:w="2700" w:type="dxa"/>
            <w:gridSpan w:val="2"/>
            <w:noWrap w:val="0"/>
            <w:vAlign w:val="center"/>
          </w:tcPr>
          <w:p>
            <w:pPr>
              <w:widowControl/>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sz w:val="21"/>
                <w:szCs w:val="21"/>
                <w:lang w:eastAsia="zh-CN"/>
              </w:rPr>
              <w:t>通过医保报销，提高居民可支配收入</w:t>
            </w:r>
          </w:p>
        </w:tc>
        <w:tc>
          <w:tcPr>
            <w:tcW w:w="1521" w:type="dxa"/>
            <w:noWrap w:val="0"/>
            <w:vAlign w:val="center"/>
          </w:tcPr>
          <w:p>
            <w:pPr>
              <w:widowControl/>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sz w:val="21"/>
                <w:szCs w:val="21"/>
              </w:rPr>
              <w:t>较上年有所</w:t>
            </w:r>
            <w:r>
              <w:rPr>
                <w:rFonts w:hint="default" w:ascii="Times New Roman" w:hAnsi="Times New Roman" w:cs="Times New Roman" w:eastAsiaTheme="minorEastAsia"/>
                <w:color w:val="000000"/>
                <w:sz w:val="21"/>
                <w:szCs w:val="21"/>
                <w:lang w:eastAsia="zh-CN"/>
              </w:rPr>
              <w:t>上升</w:t>
            </w:r>
          </w:p>
        </w:tc>
        <w:tc>
          <w:tcPr>
            <w:tcW w:w="1466" w:type="dxa"/>
            <w:noWrap w:val="0"/>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eastAsiaTheme="minorEastAsia"/>
                <w:color w:val="000000"/>
                <w:kern w:val="0"/>
                <w:sz w:val="21"/>
                <w:szCs w:val="21"/>
                <w:lang w:val="en-US" w:eastAsia="zh-CN"/>
              </w:rPr>
              <w:t xml:space="preserve">有所上升 </w:t>
            </w:r>
          </w:p>
        </w:tc>
        <w:tc>
          <w:tcPr>
            <w:tcW w:w="732" w:type="dxa"/>
            <w:noWrap w:val="0"/>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eastAsiaTheme="minorEastAsia"/>
                <w:color w:val="000000"/>
                <w:kern w:val="0"/>
                <w:sz w:val="21"/>
                <w:szCs w:val="21"/>
                <w:lang w:val="en-US" w:eastAsia="zh-CN"/>
              </w:rPr>
              <w:t>8</w:t>
            </w:r>
          </w:p>
        </w:tc>
        <w:tc>
          <w:tcPr>
            <w:tcW w:w="931" w:type="dxa"/>
            <w:noWrap w:val="0"/>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eastAsiaTheme="minorEastAsia"/>
                <w:color w:val="000000"/>
                <w:kern w:val="0"/>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1264" w:hRule="exact"/>
          <w:jc w:val="center"/>
        </w:trPr>
        <w:tc>
          <w:tcPr>
            <w:tcW w:w="612" w:type="dxa"/>
            <w:vMerge w:val="continue"/>
            <w:noWrap w:val="0"/>
            <w:vAlign w:val="center"/>
          </w:tcPr>
          <w:p>
            <w:pPr>
              <w:jc w:val="left"/>
              <w:rPr>
                <w:rFonts w:hint="default" w:ascii="Times New Roman" w:hAnsi="Times New Roman" w:cs="Times New Roman" w:eastAsiaTheme="minorEastAsia"/>
                <w:color w:val="000000"/>
                <w:kern w:val="0"/>
                <w:sz w:val="21"/>
                <w:szCs w:val="21"/>
              </w:rPr>
            </w:pPr>
          </w:p>
        </w:tc>
        <w:tc>
          <w:tcPr>
            <w:tcW w:w="900" w:type="dxa"/>
            <w:vMerge w:val="continue"/>
            <w:noWrap w:val="0"/>
            <w:vAlign w:val="center"/>
          </w:tcPr>
          <w:p>
            <w:pPr>
              <w:jc w:val="left"/>
              <w:rPr>
                <w:rFonts w:hint="default" w:ascii="Times New Roman" w:hAnsi="Times New Roman" w:cs="Times New Roman" w:eastAsiaTheme="minorEastAsia"/>
                <w:color w:val="000000"/>
                <w:kern w:val="0"/>
                <w:sz w:val="21"/>
                <w:szCs w:val="21"/>
              </w:rPr>
            </w:pPr>
          </w:p>
        </w:tc>
        <w:tc>
          <w:tcPr>
            <w:tcW w:w="1050" w:type="dxa"/>
            <w:vMerge w:val="restart"/>
            <w:noWrap w:val="0"/>
            <w:vAlign w:val="center"/>
          </w:tcPr>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社会效益指标</w:t>
            </w:r>
          </w:p>
        </w:tc>
        <w:tc>
          <w:tcPr>
            <w:tcW w:w="2700" w:type="dxa"/>
            <w:gridSpan w:val="2"/>
            <w:noWrap w:val="0"/>
            <w:vAlign w:val="center"/>
          </w:tcPr>
          <w:p>
            <w:pPr>
              <w:widowControl/>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sz w:val="21"/>
                <w:szCs w:val="21"/>
                <w:lang w:eastAsia="zh-CN"/>
              </w:rPr>
              <w:t>居民住院报销</w:t>
            </w:r>
          </w:p>
        </w:tc>
        <w:tc>
          <w:tcPr>
            <w:tcW w:w="1521" w:type="dxa"/>
            <w:noWrap w:val="0"/>
            <w:vAlign w:val="center"/>
          </w:tcPr>
          <w:p>
            <w:pPr>
              <w:widowControl/>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sz w:val="21"/>
                <w:szCs w:val="21"/>
                <w:lang w:eastAsia="zh-CN"/>
              </w:rPr>
              <w:t>保障全区医保居民住院报销</w:t>
            </w:r>
          </w:p>
        </w:tc>
        <w:tc>
          <w:tcPr>
            <w:tcW w:w="1466" w:type="dxa"/>
            <w:noWrap w:val="0"/>
            <w:vAlign w:val="center"/>
          </w:tcPr>
          <w:p>
            <w:pPr>
              <w:widowControl/>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sz w:val="21"/>
                <w:szCs w:val="21"/>
                <w:lang w:val="en-US" w:eastAsia="zh-CN"/>
              </w:rPr>
              <w:t>有所保障</w:t>
            </w:r>
          </w:p>
        </w:tc>
        <w:tc>
          <w:tcPr>
            <w:tcW w:w="732" w:type="dxa"/>
            <w:noWrap w:val="0"/>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eastAsiaTheme="minorEastAsia"/>
                <w:color w:val="000000"/>
                <w:kern w:val="0"/>
                <w:sz w:val="21"/>
                <w:szCs w:val="21"/>
                <w:lang w:val="en-US" w:eastAsia="zh-CN"/>
              </w:rPr>
              <w:t>5</w:t>
            </w:r>
          </w:p>
        </w:tc>
        <w:tc>
          <w:tcPr>
            <w:tcW w:w="931" w:type="dxa"/>
            <w:noWrap w:val="0"/>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eastAsiaTheme="minorEastAsia"/>
                <w:color w:val="000000"/>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1214" w:hRule="exact"/>
          <w:jc w:val="center"/>
        </w:trPr>
        <w:tc>
          <w:tcPr>
            <w:tcW w:w="612" w:type="dxa"/>
            <w:vMerge w:val="continue"/>
            <w:noWrap w:val="0"/>
            <w:vAlign w:val="center"/>
          </w:tcPr>
          <w:p>
            <w:pPr>
              <w:jc w:val="left"/>
              <w:rPr>
                <w:rFonts w:hint="default" w:ascii="Times New Roman" w:hAnsi="Times New Roman" w:cs="Times New Roman" w:eastAsiaTheme="minorEastAsia"/>
                <w:color w:val="000000"/>
                <w:kern w:val="0"/>
                <w:sz w:val="21"/>
                <w:szCs w:val="21"/>
              </w:rPr>
            </w:pPr>
          </w:p>
        </w:tc>
        <w:tc>
          <w:tcPr>
            <w:tcW w:w="900" w:type="dxa"/>
            <w:vMerge w:val="continue"/>
            <w:noWrap w:val="0"/>
            <w:vAlign w:val="center"/>
          </w:tcPr>
          <w:p>
            <w:pPr>
              <w:jc w:val="left"/>
              <w:rPr>
                <w:rFonts w:hint="default" w:ascii="Times New Roman" w:hAnsi="Times New Roman" w:cs="Times New Roman" w:eastAsiaTheme="minorEastAsia"/>
                <w:color w:val="000000"/>
                <w:kern w:val="0"/>
                <w:sz w:val="21"/>
                <w:szCs w:val="21"/>
              </w:rPr>
            </w:pPr>
          </w:p>
        </w:tc>
        <w:tc>
          <w:tcPr>
            <w:tcW w:w="1050" w:type="dxa"/>
            <w:vMerge w:val="continue"/>
            <w:noWrap w:val="0"/>
            <w:vAlign w:val="center"/>
          </w:tcPr>
          <w:p>
            <w:pPr>
              <w:widowControl/>
              <w:jc w:val="center"/>
              <w:rPr>
                <w:rFonts w:hint="default" w:ascii="Times New Roman" w:hAnsi="Times New Roman" w:cs="Times New Roman" w:eastAsiaTheme="minorEastAsia"/>
                <w:color w:val="000000"/>
                <w:kern w:val="0"/>
                <w:sz w:val="21"/>
                <w:szCs w:val="21"/>
              </w:rPr>
            </w:pPr>
          </w:p>
        </w:tc>
        <w:tc>
          <w:tcPr>
            <w:tcW w:w="2700" w:type="dxa"/>
            <w:gridSpan w:val="2"/>
            <w:noWrap w:val="0"/>
            <w:vAlign w:val="center"/>
          </w:tcPr>
          <w:p>
            <w:pPr>
              <w:widowControl/>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sz w:val="21"/>
                <w:szCs w:val="21"/>
                <w:lang w:eastAsia="zh-CN"/>
              </w:rPr>
              <w:t>大病保险补偿</w:t>
            </w:r>
          </w:p>
        </w:tc>
        <w:tc>
          <w:tcPr>
            <w:tcW w:w="1521" w:type="dxa"/>
            <w:noWrap w:val="0"/>
            <w:vAlign w:val="center"/>
          </w:tcPr>
          <w:p>
            <w:pPr>
              <w:widowControl/>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sz w:val="21"/>
                <w:szCs w:val="21"/>
                <w:lang w:eastAsia="zh-CN"/>
              </w:rPr>
              <w:t>进行大病保险补偿</w:t>
            </w:r>
          </w:p>
        </w:tc>
        <w:tc>
          <w:tcPr>
            <w:tcW w:w="1466" w:type="dxa"/>
            <w:noWrap w:val="0"/>
            <w:vAlign w:val="center"/>
          </w:tcPr>
          <w:p>
            <w:pPr>
              <w:widowControl/>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kern w:val="2"/>
                <w:sz w:val="21"/>
                <w:szCs w:val="21"/>
                <w:lang w:val="en-US" w:eastAsia="zh-CN" w:bidi="ar-SA"/>
              </w:rPr>
              <w:t>降低大病家庭医疗负担</w:t>
            </w:r>
          </w:p>
        </w:tc>
        <w:tc>
          <w:tcPr>
            <w:tcW w:w="732" w:type="dxa"/>
            <w:noWrap w:val="0"/>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eastAsiaTheme="minorEastAsia"/>
                <w:color w:val="000000"/>
                <w:kern w:val="0"/>
                <w:sz w:val="21"/>
                <w:szCs w:val="21"/>
                <w:lang w:val="en-US" w:eastAsia="zh-CN"/>
              </w:rPr>
              <w:t>4</w:t>
            </w:r>
          </w:p>
        </w:tc>
        <w:tc>
          <w:tcPr>
            <w:tcW w:w="931" w:type="dxa"/>
            <w:noWrap w:val="0"/>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eastAsiaTheme="minorEastAsia"/>
                <w:color w:val="000000"/>
                <w:kern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1046" w:hRule="exact"/>
          <w:jc w:val="center"/>
        </w:trPr>
        <w:tc>
          <w:tcPr>
            <w:tcW w:w="612" w:type="dxa"/>
            <w:vMerge w:val="continue"/>
            <w:noWrap w:val="0"/>
            <w:vAlign w:val="center"/>
          </w:tcPr>
          <w:p>
            <w:pPr>
              <w:jc w:val="left"/>
              <w:rPr>
                <w:rFonts w:hint="default" w:ascii="Times New Roman" w:hAnsi="Times New Roman" w:cs="Times New Roman" w:eastAsiaTheme="minorEastAsia"/>
                <w:color w:val="000000"/>
                <w:kern w:val="0"/>
                <w:sz w:val="21"/>
                <w:szCs w:val="21"/>
              </w:rPr>
            </w:pPr>
          </w:p>
        </w:tc>
        <w:tc>
          <w:tcPr>
            <w:tcW w:w="900" w:type="dxa"/>
            <w:vMerge w:val="continue"/>
            <w:noWrap w:val="0"/>
            <w:vAlign w:val="center"/>
          </w:tcPr>
          <w:p>
            <w:pPr>
              <w:jc w:val="left"/>
              <w:rPr>
                <w:rFonts w:hint="default" w:ascii="Times New Roman" w:hAnsi="Times New Roman" w:cs="Times New Roman" w:eastAsiaTheme="minorEastAsia"/>
                <w:color w:val="000000"/>
                <w:kern w:val="0"/>
                <w:sz w:val="21"/>
                <w:szCs w:val="21"/>
              </w:rPr>
            </w:pPr>
          </w:p>
        </w:tc>
        <w:tc>
          <w:tcPr>
            <w:tcW w:w="1050" w:type="dxa"/>
            <w:vMerge w:val="continue"/>
            <w:noWrap w:val="0"/>
            <w:vAlign w:val="center"/>
          </w:tcPr>
          <w:p>
            <w:pPr>
              <w:widowControl/>
              <w:jc w:val="center"/>
              <w:rPr>
                <w:rFonts w:hint="default" w:ascii="Times New Roman" w:hAnsi="Times New Roman" w:cs="Times New Roman" w:eastAsiaTheme="minorEastAsia"/>
                <w:color w:val="000000"/>
                <w:kern w:val="0"/>
                <w:sz w:val="21"/>
                <w:szCs w:val="21"/>
              </w:rPr>
            </w:pPr>
          </w:p>
        </w:tc>
        <w:tc>
          <w:tcPr>
            <w:tcW w:w="2700" w:type="dxa"/>
            <w:gridSpan w:val="2"/>
            <w:noWrap w:val="0"/>
            <w:vAlign w:val="center"/>
          </w:tcPr>
          <w:p>
            <w:pPr>
              <w:widowControl/>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kern w:val="2"/>
                <w:sz w:val="21"/>
                <w:szCs w:val="21"/>
                <w:lang w:val="en-US" w:eastAsia="zh-CN" w:bidi="ar-SA"/>
              </w:rPr>
              <w:t>医疗救助</w:t>
            </w:r>
          </w:p>
        </w:tc>
        <w:tc>
          <w:tcPr>
            <w:tcW w:w="1521" w:type="dxa"/>
            <w:noWrap w:val="0"/>
            <w:vAlign w:val="center"/>
          </w:tcPr>
          <w:p>
            <w:pPr>
              <w:widowControl/>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sz w:val="21"/>
                <w:szCs w:val="21"/>
                <w:lang w:eastAsia="zh-CN"/>
              </w:rPr>
              <w:t>对家庭困难住院对象进行救助</w:t>
            </w:r>
          </w:p>
        </w:tc>
        <w:tc>
          <w:tcPr>
            <w:tcW w:w="1466" w:type="dxa"/>
            <w:noWrap w:val="0"/>
            <w:vAlign w:val="center"/>
          </w:tcPr>
          <w:p>
            <w:pPr>
              <w:widowControl/>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sz w:val="21"/>
                <w:szCs w:val="21"/>
                <w:lang w:eastAsia="zh-CN"/>
              </w:rPr>
              <w:t>保障家庭困难住院对象医疗</w:t>
            </w:r>
          </w:p>
        </w:tc>
        <w:tc>
          <w:tcPr>
            <w:tcW w:w="732" w:type="dxa"/>
            <w:noWrap w:val="0"/>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eastAsiaTheme="minorEastAsia"/>
                <w:color w:val="000000"/>
                <w:kern w:val="0"/>
                <w:sz w:val="21"/>
                <w:szCs w:val="21"/>
                <w:lang w:val="en-US" w:eastAsia="zh-CN"/>
              </w:rPr>
              <w:t>4</w:t>
            </w:r>
          </w:p>
        </w:tc>
        <w:tc>
          <w:tcPr>
            <w:tcW w:w="931" w:type="dxa"/>
            <w:noWrap w:val="0"/>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eastAsiaTheme="minorEastAsia"/>
                <w:color w:val="000000"/>
                <w:kern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729" w:hRule="exact"/>
          <w:jc w:val="center"/>
        </w:trPr>
        <w:tc>
          <w:tcPr>
            <w:tcW w:w="612" w:type="dxa"/>
            <w:vMerge w:val="continue"/>
            <w:noWrap w:val="0"/>
            <w:vAlign w:val="center"/>
          </w:tcPr>
          <w:p>
            <w:pPr>
              <w:jc w:val="left"/>
              <w:rPr>
                <w:rFonts w:hint="default" w:ascii="Times New Roman" w:hAnsi="Times New Roman" w:cs="Times New Roman" w:eastAsiaTheme="minorEastAsia"/>
                <w:color w:val="000000"/>
                <w:kern w:val="0"/>
                <w:sz w:val="21"/>
                <w:szCs w:val="21"/>
              </w:rPr>
            </w:pPr>
          </w:p>
        </w:tc>
        <w:tc>
          <w:tcPr>
            <w:tcW w:w="900" w:type="dxa"/>
            <w:vMerge w:val="continue"/>
            <w:noWrap w:val="0"/>
            <w:vAlign w:val="center"/>
          </w:tcPr>
          <w:p>
            <w:pPr>
              <w:jc w:val="left"/>
              <w:rPr>
                <w:rFonts w:hint="default" w:ascii="Times New Roman" w:hAnsi="Times New Roman" w:cs="Times New Roman" w:eastAsiaTheme="minorEastAsia"/>
                <w:color w:val="000000"/>
                <w:kern w:val="0"/>
                <w:sz w:val="21"/>
                <w:szCs w:val="21"/>
              </w:rPr>
            </w:pPr>
          </w:p>
        </w:tc>
        <w:tc>
          <w:tcPr>
            <w:tcW w:w="1050" w:type="dxa"/>
            <w:vMerge w:val="restart"/>
            <w:noWrap w:val="0"/>
            <w:vAlign w:val="center"/>
          </w:tcPr>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生态效益指标</w:t>
            </w:r>
          </w:p>
        </w:tc>
        <w:tc>
          <w:tcPr>
            <w:tcW w:w="2700" w:type="dxa"/>
            <w:gridSpan w:val="2"/>
            <w:noWrap w:val="0"/>
            <w:vAlign w:val="center"/>
          </w:tcPr>
          <w:p>
            <w:pPr>
              <w:pStyle w:val="3"/>
              <w:ind w:left="0" w:leftChars="0" w:right="0" w:rightChars="0" w:firstLine="0" w:firstLineChars="0"/>
              <w:jc w:val="center"/>
              <w:rPr>
                <w:rFonts w:hint="default" w:ascii="Times New Roman" w:hAnsi="Times New Roman" w:cs="Times New Roman" w:eastAsiaTheme="minorEastAsia"/>
                <w:b/>
                <w:kern w:val="44"/>
                <w:sz w:val="21"/>
                <w:szCs w:val="21"/>
                <w:lang w:val="en-US" w:eastAsia="zh-CN" w:bidi="ar"/>
              </w:rPr>
            </w:pPr>
            <w:r>
              <w:rPr>
                <w:rFonts w:hint="default" w:ascii="Times New Roman" w:hAnsi="Times New Roman" w:cs="Times New Roman" w:eastAsiaTheme="minorEastAsia"/>
                <w:b w:val="0"/>
                <w:color w:val="000000"/>
                <w:kern w:val="2"/>
                <w:sz w:val="21"/>
                <w:szCs w:val="21"/>
                <w:lang w:val="en-US" w:eastAsia="zh-CN" w:bidi="ar-SA"/>
              </w:rPr>
              <w:t>生态文明</w:t>
            </w:r>
          </w:p>
        </w:tc>
        <w:tc>
          <w:tcPr>
            <w:tcW w:w="1521" w:type="dxa"/>
            <w:noWrap w:val="0"/>
            <w:vAlign w:val="center"/>
          </w:tcPr>
          <w:p>
            <w:pPr>
              <w:widowControl/>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sz w:val="21"/>
                <w:szCs w:val="21"/>
                <w:lang w:eastAsia="zh-CN"/>
              </w:rPr>
              <w:t>加强生态文明建设</w:t>
            </w:r>
          </w:p>
        </w:tc>
        <w:tc>
          <w:tcPr>
            <w:tcW w:w="1466" w:type="dxa"/>
            <w:noWrap w:val="0"/>
            <w:vAlign w:val="center"/>
          </w:tcPr>
          <w:p>
            <w:pPr>
              <w:widowControl/>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sz w:val="21"/>
                <w:szCs w:val="21"/>
                <w:lang w:val="en-US" w:eastAsia="zh-CN"/>
              </w:rPr>
              <w:t>有所提升</w:t>
            </w:r>
          </w:p>
        </w:tc>
        <w:tc>
          <w:tcPr>
            <w:tcW w:w="732" w:type="dxa"/>
            <w:noWrap w:val="0"/>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eastAsiaTheme="minorEastAsia"/>
                <w:color w:val="000000"/>
                <w:kern w:val="0"/>
                <w:sz w:val="21"/>
                <w:szCs w:val="21"/>
                <w:lang w:val="en-US" w:eastAsia="zh-CN"/>
              </w:rPr>
              <w:t>4</w:t>
            </w:r>
          </w:p>
        </w:tc>
        <w:tc>
          <w:tcPr>
            <w:tcW w:w="931" w:type="dxa"/>
            <w:noWrap w:val="0"/>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eastAsiaTheme="minorEastAsia"/>
                <w:color w:val="000000"/>
                <w:kern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1419" w:hRule="exact"/>
          <w:jc w:val="center"/>
        </w:trPr>
        <w:tc>
          <w:tcPr>
            <w:tcW w:w="612" w:type="dxa"/>
            <w:vMerge w:val="continue"/>
            <w:noWrap w:val="0"/>
            <w:vAlign w:val="center"/>
          </w:tcPr>
          <w:p>
            <w:pPr>
              <w:widowControl/>
              <w:jc w:val="left"/>
              <w:rPr>
                <w:rFonts w:hint="default" w:ascii="Times New Roman" w:hAnsi="Times New Roman" w:cs="Times New Roman" w:eastAsiaTheme="minorEastAsia"/>
                <w:color w:val="000000"/>
                <w:kern w:val="0"/>
                <w:sz w:val="21"/>
                <w:szCs w:val="21"/>
              </w:rPr>
            </w:pPr>
          </w:p>
        </w:tc>
        <w:tc>
          <w:tcPr>
            <w:tcW w:w="900" w:type="dxa"/>
            <w:vMerge w:val="continue"/>
            <w:noWrap w:val="0"/>
            <w:vAlign w:val="center"/>
          </w:tcPr>
          <w:p>
            <w:pPr>
              <w:widowControl/>
              <w:jc w:val="left"/>
              <w:rPr>
                <w:rFonts w:hint="default" w:ascii="Times New Roman" w:hAnsi="Times New Roman" w:cs="Times New Roman" w:eastAsiaTheme="minorEastAsia"/>
                <w:color w:val="000000"/>
                <w:kern w:val="0"/>
                <w:sz w:val="21"/>
                <w:szCs w:val="21"/>
              </w:rPr>
            </w:pPr>
          </w:p>
        </w:tc>
        <w:tc>
          <w:tcPr>
            <w:tcW w:w="1050" w:type="dxa"/>
            <w:vMerge w:val="restart"/>
            <w:tcBorders>
              <w:top w:val="nil"/>
            </w:tcBorders>
            <w:noWrap w:val="0"/>
            <w:vAlign w:val="center"/>
          </w:tcPr>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可持续影响指标</w:t>
            </w:r>
          </w:p>
        </w:tc>
        <w:tc>
          <w:tcPr>
            <w:tcW w:w="2700" w:type="dxa"/>
            <w:gridSpan w:val="2"/>
            <w:noWrap w:val="0"/>
            <w:vAlign w:val="center"/>
          </w:tcPr>
          <w:p>
            <w:pPr>
              <w:widowControl/>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sz w:val="21"/>
                <w:szCs w:val="21"/>
              </w:rPr>
              <w:t>文明环境</w:t>
            </w:r>
          </w:p>
        </w:tc>
        <w:tc>
          <w:tcPr>
            <w:tcW w:w="1521" w:type="dxa"/>
            <w:tcBorders>
              <w:bottom w:val="nil"/>
            </w:tcBorders>
            <w:noWrap w:val="0"/>
            <w:vAlign w:val="center"/>
          </w:tcPr>
          <w:p>
            <w:pPr>
              <w:widowControl/>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sz w:val="21"/>
                <w:szCs w:val="21"/>
                <w:lang w:eastAsia="zh-CN"/>
              </w:rPr>
              <w:t>加强文明建设</w:t>
            </w:r>
          </w:p>
        </w:tc>
        <w:tc>
          <w:tcPr>
            <w:tcW w:w="1466" w:type="dxa"/>
            <w:noWrap w:val="0"/>
            <w:vAlign w:val="center"/>
          </w:tcPr>
          <w:p>
            <w:pPr>
              <w:widowControl/>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sz w:val="21"/>
                <w:szCs w:val="21"/>
              </w:rPr>
              <w:t>民众思想文化素养</w:t>
            </w:r>
            <w:r>
              <w:rPr>
                <w:rFonts w:hint="default" w:ascii="Times New Roman" w:hAnsi="Times New Roman" w:cs="Times New Roman" w:eastAsiaTheme="minorEastAsia"/>
                <w:color w:val="000000"/>
                <w:sz w:val="21"/>
                <w:szCs w:val="21"/>
                <w:lang w:val="en-US" w:eastAsia="zh-CN"/>
              </w:rPr>
              <w:t>提高，文明环境持续加强</w:t>
            </w:r>
          </w:p>
        </w:tc>
        <w:tc>
          <w:tcPr>
            <w:tcW w:w="732" w:type="dxa"/>
            <w:noWrap w:val="0"/>
            <w:vAlign w:val="center"/>
          </w:tcPr>
          <w:p>
            <w:pPr>
              <w:widowControl/>
              <w:spacing w:line="280" w:lineRule="exact"/>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eastAsiaTheme="minorEastAsia"/>
                <w:color w:val="000000"/>
                <w:kern w:val="0"/>
                <w:sz w:val="21"/>
                <w:szCs w:val="21"/>
                <w:lang w:val="en-US" w:eastAsia="zh-CN"/>
              </w:rPr>
              <w:t>4</w:t>
            </w:r>
          </w:p>
        </w:tc>
        <w:tc>
          <w:tcPr>
            <w:tcW w:w="931" w:type="dxa"/>
            <w:noWrap w:val="0"/>
            <w:vAlign w:val="center"/>
          </w:tcPr>
          <w:p>
            <w:pPr>
              <w:widowControl/>
              <w:spacing w:line="280" w:lineRule="exact"/>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eastAsiaTheme="minorEastAsia"/>
                <w:color w:val="000000"/>
                <w:kern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571" w:hRule="exact"/>
          <w:jc w:val="center"/>
        </w:trPr>
        <w:tc>
          <w:tcPr>
            <w:tcW w:w="612" w:type="dxa"/>
            <w:vMerge w:val="continue"/>
            <w:noWrap w:val="0"/>
            <w:vAlign w:val="center"/>
          </w:tcPr>
          <w:p>
            <w:pPr>
              <w:widowControl/>
              <w:jc w:val="left"/>
              <w:rPr>
                <w:rFonts w:hint="default" w:ascii="Times New Roman" w:hAnsi="Times New Roman" w:cs="Times New Roman" w:eastAsiaTheme="minorEastAsia"/>
                <w:color w:val="000000"/>
                <w:kern w:val="0"/>
                <w:sz w:val="21"/>
                <w:szCs w:val="21"/>
              </w:rPr>
            </w:pPr>
          </w:p>
        </w:tc>
        <w:tc>
          <w:tcPr>
            <w:tcW w:w="900" w:type="dxa"/>
            <w:vMerge w:val="restart"/>
            <w:noWrap w:val="0"/>
            <w:vAlign w:val="center"/>
          </w:tcPr>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满意度</w:t>
            </w:r>
          </w:p>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指标</w:t>
            </w:r>
          </w:p>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（10分）</w:t>
            </w:r>
          </w:p>
        </w:tc>
        <w:tc>
          <w:tcPr>
            <w:tcW w:w="1050" w:type="dxa"/>
            <w:vMerge w:val="restart"/>
            <w:noWrap w:val="0"/>
            <w:vAlign w:val="center"/>
          </w:tcPr>
          <w:p>
            <w:pPr>
              <w:widowControl/>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社会公众或服务对象满意度指标</w:t>
            </w:r>
          </w:p>
        </w:tc>
        <w:tc>
          <w:tcPr>
            <w:tcW w:w="2700" w:type="dxa"/>
            <w:gridSpan w:val="2"/>
            <w:noWrap w:val="0"/>
            <w:vAlign w:val="center"/>
          </w:tcPr>
          <w:p>
            <w:pPr>
              <w:widowControl/>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sz w:val="21"/>
                <w:szCs w:val="21"/>
              </w:rPr>
              <w:t>干部职工满意度</w:t>
            </w:r>
          </w:p>
        </w:tc>
        <w:tc>
          <w:tcPr>
            <w:tcW w:w="1521" w:type="dxa"/>
            <w:noWrap w:val="0"/>
            <w:vAlign w:val="center"/>
          </w:tcPr>
          <w:p>
            <w:pPr>
              <w:widowControl/>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sz w:val="21"/>
                <w:szCs w:val="21"/>
              </w:rPr>
              <w:t>员工满意度≥95%</w:t>
            </w:r>
          </w:p>
        </w:tc>
        <w:tc>
          <w:tcPr>
            <w:tcW w:w="1466" w:type="dxa"/>
            <w:noWrap w:val="0"/>
            <w:vAlign w:val="center"/>
          </w:tcPr>
          <w:p>
            <w:pPr>
              <w:widowControl/>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sz w:val="21"/>
                <w:szCs w:val="21"/>
                <w:lang w:val="en-US" w:eastAsia="zh-CN"/>
              </w:rPr>
              <w:t>98%</w:t>
            </w:r>
          </w:p>
        </w:tc>
        <w:tc>
          <w:tcPr>
            <w:tcW w:w="732" w:type="dxa"/>
            <w:noWrap w:val="0"/>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eastAsiaTheme="minorEastAsia"/>
                <w:color w:val="000000"/>
                <w:kern w:val="0"/>
                <w:sz w:val="21"/>
                <w:szCs w:val="21"/>
                <w:lang w:val="en-US" w:eastAsia="zh-CN"/>
              </w:rPr>
              <w:t>5</w:t>
            </w:r>
          </w:p>
        </w:tc>
        <w:tc>
          <w:tcPr>
            <w:tcW w:w="931" w:type="dxa"/>
            <w:noWrap w:val="0"/>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eastAsiaTheme="minorEastAsia"/>
                <w:color w:val="000000"/>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883" w:hRule="exact"/>
          <w:jc w:val="center"/>
        </w:trPr>
        <w:tc>
          <w:tcPr>
            <w:tcW w:w="612" w:type="dxa"/>
            <w:vMerge w:val="continue"/>
            <w:noWrap w:val="0"/>
            <w:vAlign w:val="center"/>
          </w:tcPr>
          <w:p>
            <w:pPr>
              <w:widowControl/>
              <w:jc w:val="left"/>
              <w:rPr>
                <w:rFonts w:hint="default" w:ascii="Times New Roman" w:hAnsi="Times New Roman" w:cs="Times New Roman" w:eastAsiaTheme="minorEastAsia"/>
                <w:color w:val="000000"/>
                <w:kern w:val="0"/>
                <w:sz w:val="21"/>
                <w:szCs w:val="21"/>
              </w:rPr>
            </w:pPr>
          </w:p>
        </w:tc>
        <w:tc>
          <w:tcPr>
            <w:tcW w:w="900" w:type="dxa"/>
            <w:vMerge w:val="continue"/>
            <w:noWrap w:val="0"/>
            <w:vAlign w:val="center"/>
          </w:tcPr>
          <w:p>
            <w:pPr>
              <w:widowControl/>
              <w:jc w:val="left"/>
              <w:rPr>
                <w:rFonts w:hint="default" w:ascii="Times New Roman" w:hAnsi="Times New Roman" w:cs="Times New Roman" w:eastAsiaTheme="minorEastAsia"/>
                <w:color w:val="000000"/>
                <w:kern w:val="0"/>
                <w:sz w:val="21"/>
                <w:szCs w:val="21"/>
              </w:rPr>
            </w:pPr>
          </w:p>
        </w:tc>
        <w:tc>
          <w:tcPr>
            <w:tcW w:w="1050" w:type="dxa"/>
            <w:vMerge w:val="continue"/>
            <w:noWrap w:val="0"/>
            <w:vAlign w:val="center"/>
          </w:tcPr>
          <w:p>
            <w:pPr>
              <w:widowControl/>
              <w:jc w:val="left"/>
              <w:rPr>
                <w:rFonts w:hint="default" w:ascii="Times New Roman" w:hAnsi="Times New Roman" w:cs="Times New Roman" w:eastAsiaTheme="minorEastAsia"/>
                <w:color w:val="000000"/>
                <w:kern w:val="0"/>
                <w:sz w:val="21"/>
                <w:szCs w:val="21"/>
              </w:rPr>
            </w:pPr>
          </w:p>
        </w:tc>
        <w:tc>
          <w:tcPr>
            <w:tcW w:w="2700" w:type="dxa"/>
            <w:gridSpan w:val="2"/>
            <w:noWrap w:val="0"/>
            <w:vAlign w:val="center"/>
          </w:tcPr>
          <w:p>
            <w:pPr>
              <w:widowControl/>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sz w:val="21"/>
                <w:szCs w:val="21"/>
              </w:rPr>
              <w:t>社会公众</w:t>
            </w:r>
            <w:r>
              <w:rPr>
                <w:rFonts w:hint="default" w:ascii="Times New Roman" w:hAnsi="Times New Roman" w:cs="Times New Roman" w:eastAsiaTheme="minorEastAsia"/>
                <w:color w:val="000000"/>
                <w:sz w:val="21"/>
                <w:szCs w:val="21"/>
                <w:lang w:val="en-US" w:eastAsia="zh-CN"/>
              </w:rPr>
              <w:t>或</w:t>
            </w:r>
            <w:r>
              <w:rPr>
                <w:rFonts w:hint="default" w:ascii="Times New Roman" w:hAnsi="Times New Roman" w:cs="Times New Roman" w:eastAsiaTheme="minorEastAsia"/>
                <w:color w:val="000000"/>
                <w:sz w:val="21"/>
                <w:szCs w:val="21"/>
              </w:rPr>
              <w:t>服务对象满意度</w:t>
            </w:r>
          </w:p>
        </w:tc>
        <w:tc>
          <w:tcPr>
            <w:tcW w:w="1521" w:type="dxa"/>
            <w:noWrap w:val="0"/>
            <w:vAlign w:val="center"/>
          </w:tcPr>
          <w:p>
            <w:pPr>
              <w:widowControl/>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sz w:val="21"/>
                <w:szCs w:val="21"/>
              </w:rPr>
              <w:t>社会公众或服务对象满意度≥95%</w:t>
            </w:r>
          </w:p>
        </w:tc>
        <w:tc>
          <w:tcPr>
            <w:tcW w:w="1466" w:type="dxa"/>
            <w:noWrap w:val="0"/>
            <w:vAlign w:val="center"/>
          </w:tcPr>
          <w:p>
            <w:pPr>
              <w:widowControl/>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sz w:val="21"/>
                <w:szCs w:val="21"/>
                <w:lang w:val="en-US" w:eastAsia="zh-CN"/>
              </w:rPr>
              <w:t>98%</w:t>
            </w:r>
          </w:p>
        </w:tc>
        <w:tc>
          <w:tcPr>
            <w:tcW w:w="732" w:type="dxa"/>
            <w:noWrap w:val="0"/>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eastAsiaTheme="minorEastAsia"/>
                <w:color w:val="000000"/>
                <w:kern w:val="0"/>
                <w:sz w:val="21"/>
                <w:szCs w:val="21"/>
                <w:lang w:val="en-US" w:eastAsia="zh-CN"/>
              </w:rPr>
              <w:t>5</w:t>
            </w:r>
          </w:p>
        </w:tc>
        <w:tc>
          <w:tcPr>
            <w:tcW w:w="931" w:type="dxa"/>
            <w:noWrap w:val="0"/>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eastAsiaTheme="minorEastAsia"/>
                <w:color w:val="000000"/>
                <w:kern w:val="0"/>
                <w:sz w:val="21"/>
                <w:szCs w:val="21"/>
                <w:lang w:val="en-US" w:eastAsia="zh-CN"/>
              </w:rPr>
              <w:t>5</w:t>
            </w:r>
          </w:p>
        </w:tc>
      </w:tr>
    </w:tbl>
    <w:p>
      <w:pPr>
        <w:pStyle w:val="17"/>
        <w:ind w:left="0" w:leftChars="0" w:firstLine="0" w:firstLineChars="0"/>
        <w:rPr>
          <w:rFonts w:hint="default" w:ascii="Times New Roman Regular" w:hAnsi="Times New Roman Regular" w:eastAsia="仿宋" w:cs="Times New Roman Regular"/>
          <w:b w:val="0"/>
          <w:bCs w:val="0"/>
          <w:sz w:val="31"/>
          <w:szCs w:val="31"/>
          <w:lang w:val="en-US" w:eastAsia="zh-CN"/>
        </w:rPr>
      </w:pPr>
    </w:p>
    <w:p>
      <w:pPr>
        <w:pStyle w:val="17"/>
        <w:ind w:left="0" w:leftChars="0" w:firstLine="0" w:firstLineChars="0"/>
        <w:rPr>
          <w:rFonts w:hint="default" w:ascii="Times New Roman Regular" w:hAnsi="Times New Roman Regular" w:eastAsia="仿宋" w:cs="Times New Roman Regular"/>
          <w:b w:val="0"/>
          <w:bCs w:val="0"/>
          <w:sz w:val="31"/>
          <w:szCs w:val="31"/>
          <w:lang w:val="en-US" w:eastAsia="zh-CN"/>
        </w:rPr>
      </w:pPr>
    </w:p>
    <w:p>
      <w:pPr>
        <w:pStyle w:val="17"/>
        <w:ind w:left="0" w:leftChars="0" w:firstLine="0" w:firstLineChars="0"/>
        <w:rPr>
          <w:rFonts w:hint="default" w:ascii="Times New Roman Regular" w:hAnsi="Times New Roman Regular" w:eastAsia="仿宋" w:cs="Times New Roman Regular"/>
          <w:b w:val="0"/>
          <w:bCs w:val="0"/>
          <w:sz w:val="31"/>
          <w:szCs w:val="31"/>
          <w:lang w:val="en-US" w:eastAsia="zh-CN"/>
        </w:rPr>
      </w:pPr>
    </w:p>
    <w:p>
      <w:pPr>
        <w:pStyle w:val="17"/>
        <w:ind w:left="0" w:leftChars="0" w:firstLine="0" w:firstLineChars="0"/>
        <w:rPr>
          <w:rFonts w:hint="default" w:ascii="Times New Roman Regular" w:hAnsi="Times New Roman Regular" w:eastAsia="仿宋" w:cs="Times New Roman Regular"/>
          <w:b w:val="0"/>
          <w:bCs w:val="0"/>
          <w:sz w:val="31"/>
          <w:szCs w:val="31"/>
          <w:lang w:val="en-US" w:eastAsia="zh-CN"/>
        </w:rPr>
      </w:pPr>
    </w:p>
    <w:p>
      <w:pPr>
        <w:pStyle w:val="17"/>
        <w:ind w:left="0" w:leftChars="0" w:firstLine="0" w:firstLineChars="0"/>
        <w:rPr>
          <w:rFonts w:hint="default" w:ascii="Times New Roman Regular" w:hAnsi="Times New Roman Regular" w:eastAsia="仿宋" w:cs="Times New Roman Regular"/>
          <w:b w:val="0"/>
          <w:bCs w:val="0"/>
          <w:sz w:val="31"/>
          <w:szCs w:val="31"/>
          <w:lang w:val="en-US" w:eastAsia="zh-CN"/>
        </w:rPr>
      </w:pPr>
    </w:p>
    <w:p>
      <w:pPr>
        <w:pStyle w:val="17"/>
        <w:ind w:left="0" w:leftChars="0" w:firstLine="0" w:firstLineChars="0"/>
        <w:rPr>
          <w:rFonts w:hint="default" w:ascii="Times New Roman Regular" w:hAnsi="Times New Roman Regular" w:eastAsia="仿宋" w:cs="Times New Roman Regular"/>
          <w:b w:val="0"/>
          <w:bCs w:val="0"/>
          <w:sz w:val="31"/>
          <w:szCs w:val="31"/>
          <w:lang w:val="en-US" w:eastAsia="zh-CN"/>
        </w:rPr>
      </w:pPr>
    </w:p>
    <w:p>
      <w:pPr>
        <w:pStyle w:val="17"/>
        <w:ind w:left="0" w:leftChars="0" w:firstLine="0" w:firstLineChars="0"/>
        <w:rPr>
          <w:rFonts w:hint="default" w:ascii="Times New Roman Regular" w:hAnsi="Times New Roman Regular" w:eastAsia="仿宋" w:cs="Times New Roman Regular"/>
          <w:b w:val="0"/>
          <w:bCs w:val="0"/>
          <w:sz w:val="31"/>
          <w:szCs w:val="31"/>
          <w:lang w:val="en-US" w:eastAsia="zh-CN"/>
        </w:rPr>
      </w:pPr>
    </w:p>
    <w:p>
      <w:pPr>
        <w:pStyle w:val="17"/>
        <w:ind w:left="0" w:leftChars="0" w:firstLine="0" w:firstLineChars="0"/>
        <w:rPr>
          <w:rFonts w:hint="default" w:ascii="Times New Roman Regular" w:hAnsi="Times New Roman Regular" w:eastAsia="仿宋" w:cs="Times New Roman Regular"/>
          <w:b w:val="0"/>
          <w:bCs w:val="0"/>
          <w:sz w:val="31"/>
          <w:szCs w:val="31"/>
          <w:lang w:val="en-US" w:eastAsia="zh-CN"/>
        </w:rPr>
      </w:pPr>
    </w:p>
    <w:p>
      <w:pPr>
        <w:pStyle w:val="17"/>
        <w:ind w:left="0" w:leftChars="0" w:firstLine="0" w:firstLineChars="0"/>
        <w:rPr>
          <w:rFonts w:hint="default" w:ascii="Times New Roman Regular" w:hAnsi="Times New Roman Regular" w:eastAsia="仿宋" w:cs="Times New Roman Regular"/>
          <w:b w:val="0"/>
          <w:bCs w:val="0"/>
          <w:sz w:val="31"/>
          <w:szCs w:val="31"/>
          <w:lang w:val="en-US" w:eastAsia="zh-CN"/>
        </w:rPr>
      </w:pPr>
    </w:p>
    <w:p>
      <w:pPr>
        <w:pStyle w:val="17"/>
        <w:ind w:left="0" w:leftChars="0" w:firstLine="0" w:firstLineChars="0"/>
        <w:rPr>
          <w:rFonts w:hint="default" w:ascii="Times New Roman Regular" w:hAnsi="Times New Roman Regular" w:eastAsia="仿宋" w:cs="Times New Roman Regular"/>
          <w:b w:val="0"/>
          <w:bCs w:val="0"/>
          <w:sz w:val="31"/>
          <w:szCs w:val="31"/>
          <w:lang w:val="en-US" w:eastAsia="zh-CN"/>
        </w:rPr>
      </w:pPr>
    </w:p>
    <w:p>
      <w:pPr>
        <w:pStyle w:val="17"/>
        <w:ind w:left="0" w:leftChars="0" w:firstLine="0" w:firstLineChars="0"/>
        <w:rPr>
          <w:rFonts w:hint="default" w:ascii="Times New Roman Regular" w:hAnsi="Times New Roman Regular" w:eastAsia="仿宋" w:cs="Times New Roman Regular"/>
          <w:b w:val="0"/>
          <w:bCs w:val="0"/>
          <w:sz w:val="31"/>
          <w:szCs w:val="31"/>
          <w:lang w:val="en-US" w:eastAsia="zh-CN"/>
        </w:rPr>
      </w:pPr>
    </w:p>
    <w:p>
      <w:pPr>
        <w:pStyle w:val="17"/>
        <w:ind w:left="0" w:leftChars="0" w:firstLine="0" w:firstLineChars="0"/>
        <w:rPr>
          <w:rFonts w:hint="default" w:ascii="Times New Roman Regular" w:hAnsi="Times New Roman Regular" w:eastAsia="仿宋" w:cs="Times New Roman Regular"/>
          <w:b w:val="0"/>
          <w:bCs w:val="0"/>
          <w:sz w:val="31"/>
          <w:szCs w:val="31"/>
          <w:lang w:val="en-US" w:eastAsia="zh-CN"/>
        </w:rPr>
      </w:pPr>
    </w:p>
    <w:p>
      <w:pPr>
        <w:pStyle w:val="17"/>
        <w:ind w:left="0" w:leftChars="0" w:firstLine="0" w:firstLineChars="0"/>
        <w:rPr>
          <w:rFonts w:hint="default" w:ascii="Times New Roman Regular" w:hAnsi="Times New Roman Regular" w:eastAsia="仿宋" w:cs="Times New Roman Regular"/>
          <w:b w:val="0"/>
          <w:bCs w:val="0"/>
          <w:sz w:val="31"/>
          <w:szCs w:val="31"/>
          <w:lang w:val="en-US" w:eastAsia="zh-CN"/>
        </w:rPr>
      </w:pPr>
    </w:p>
    <w:p>
      <w:pPr>
        <w:pStyle w:val="13"/>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附件</w:t>
      </w:r>
      <w:r>
        <w:rPr>
          <w:rFonts w:hint="eastAsia" w:ascii="Times New Roman Regular" w:hAnsi="Times New Roman Regular" w:eastAsia="仿宋" w:cs="Times New Roman Regular"/>
          <w:b w:val="0"/>
          <w:bCs w:val="0"/>
          <w:sz w:val="32"/>
          <w:szCs w:val="32"/>
          <w:lang w:val="en-US" w:eastAsia="zh-CN"/>
        </w:rPr>
        <w:t>4</w:t>
      </w:r>
      <w:r>
        <w:rPr>
          <w:rFonts w:hint="default" w:ascii="Times New Roman Regular" w:hAnsi="Times New Roman Regular" w:eastAsia="仿宋" w:cs="Times New Roman Regular"/>
          <w:b w:val="0"/>
          <w:bCs w:val="0"/>
          <w:sz w:val="32"/>
          <w:szCs w:val="32"/>
          <w:lang w:val="en-US" w:eastAsia="zh-CN"/>
        </w:rPr>
        <w:t>：</w:t>
      </w:r>
    </w:p>
    <w:p>
      <w:pPr>
        <w:pStyle w:val="13"/>
        <w:rPr>
          <w:rFonts w:hint="default" w:ascii="Times New Roman" w:hAnsi="Times New Roman" w:eastAsia="方正小标宋_GBK" w:cs="Times New Roman"/>
          <w:b w:val="0"/>
          <w:bCs w:val="0"/>
          <w:sz w:val="28"/>
          <w:szCs w:val="28"/>
          <w:lang w:val="en-US" w:eastAsia="zh-CN"/>
        </w:rPr>
      </w:pPr>
      <w:r>
        <w:rPr>
          <w:rFonts w:hint="default" w:ascii="Times New Roman" w:hAnsi="Times New Roman" w:eastAsia="方正小标宋_GBK" w:cs="Times New Roman"/>
          <w:b w:val="0"/>
          <w:bCs w:val="0"/>
          <w:sz w:val="32"/>
          <w:szCs w:val="32"/>
          <w:lang w:val="en-US" w:eastAsia="zh-CN"/>
        </w:rPr>
        <w:t>邵阳市北塔区医疗保障局2022年度部门整体支出项目绩效自评表</w:t>
      </w:r>
    </w:p>
    <w:tbl>
      <w:tblPr>
        <w:tblStyle w:val="18"/>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0"/>
        <w:gridCol w:w="1014"/>
        <w:gridCol w:w="852"/>
        <w:gridCol w:w="1145"/>
        <w:gridCol w:w="1460"/>
        <w:gridCol w:w="1298"/>
        <w:gridCol w:w="710"/>
        <w:gridCol w:w="710"/>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3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rPr>
              <w:t>项目支</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rPr>
              <w:t>出名称</w:t>
            </w:r>
          </w:p>
        </w:tc>
        <w:tc>
          <w:tcPr>
            <w:tcW w:w="4463" w:type="pct"/>
            <w:gridSpan w:val="8"/>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lang w:eastAsia="zh-CN"/>
              </w:rPr>
              <w:t>医疗救助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3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rPr>
              <w:t>主管部门</w:t>
            </w:r>
          </w:p>
        </w:tc>
        <w:tc>
          <w:tcPr>
            <w:tcW w:w="2394" w:type="pct"/>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lang w:eastAsia="zh-CN"/>
              </w:rPr>
            </w:pPr>
            <w:r>
              <w:rPr>
                <w:rFonts w:hint="default" w:ascii="Times New Roman" w:hAnsi="Times New Roman" w:cs="Times New Roman" w:eastAsiaTheme="minorEastAsia"/>
                <w:b w:val="0"/>
                <w:bCs w:val="0"/>
                <w:color w:val="000000"/>
                <w:kern w:val="0"/>
                <w:sz w:val="21"/>
                <w:szCs w:val="21"/>
                <w:lang w:eastAsia="zh-CN"/>
              </w:rPr>
              <w:t>医疗保障局</w:t>
            </w:r>
          </w:p>
        </w:tc>
        <w:tc>
          <w:tcPr>
            <w:tcW w:w="692"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rPr>
              <w:t>实施单位</w:t>
            </w:r>
          </w:p>
        </w:tc>
        <w:tc>
          <w:tcPr>
            <w:tcW w:w="1376" w:type="pct"/>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lang w:eastAsia="zh-CN"/>
              </w:rPr>
            </w:pPr>
            <w:r>
              <w:rPr>
                <w:rFonts w:hint="default" w:ascii="Times New Roman" w:hAnsi="Times New Roman" w:cs="Times New Roman" w:eastAsiaTheme="minorEastAsia"/>
                <w:b w:val="0"/>
                <w:bCs w:val="0"/>
                <w:color w:val="000000"/>
                <w:kern w:val="0"/>
                <w:sz w:val="21"/>
                <w:szCs w:val="21"/>
                <w:lang w:eastAsia="zh-CN"/>
              </w:rPr>
              <w:t>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36"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rPr>
              <w:t>项目资金</w:t>
            </w:r>
            <w:r>
              <w:rPr>
                <w:rFonts w:hint="default" w:ascii="Times New Roman" w:hAnsi="Times New Roman" w:cs="Times New Roman" w:eastAsiaTheme="minorEastAsia"/>
                <w:b w:val="0"/>
                <w:bCs w:val="0"/>
                <w:color w:val="000000"/>
                <w:kern w:val="0"/>
                <w:sz w:val="21"/>
                <w:szCs w:val="21"/>
              </w:rPr>
              <w:br w:type="textWrapping"/>
            </w:r>
            <w:r>
              <w:rPr>
                <w:rFonts w:hint="default" w:ascii="Times New Roman" w:hAnsi="Times New Roman" w:cs="Times New Roman" w:eastAsiaTheme="minorEastAsia"/>
                <w:b w:val="0"/>
                <w:bCs w:val="0"/>
                <w:color w:val="000000"/>
                <w:kern w:val="0"/>
                <w:sz w:val="21"/>
                <w:szCs w:val="21"/>
              </w:rPr>
              <w:t>（万元）</w:t>
            </w:r>
          </w:p>
        </w:tc>
        <w:tc>
          <w:tcPr>
            <w:tcW w:w="999" w:type="pct"/>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rPr>
              <w:t>　</w:t>
            </w:r>
          </w:p>
        </w:tc>
        <w:tc>
          <w:tcPr>
            <w:tcW w:w="6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rPr>
              <w:t>年初</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rPr>
              <w:t>预算数</w:t>
            </w:r>
          </w:p>
        </w:tc>
        <w:tc>
          <w:tcPr>
            <w:tcW w:w="78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rPr>
              <w:t>全年</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rPr>
              <w:t>预算数</w:t>
            </w:r>
          </w:p>
        </w:tc>
        <w:tc>
          <w:tcPr>
            <w:tcW w:w="692"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全年</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执行数</w:t>
            </w:r>
          </w:p>
        </w:tc>
        <w:tc>
          <w:tcPr>
            <w:tcW w:w="380"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分值</w:t>
            </w:r>
          </w:p>
        </w:tc>
        <w:tc>
          <w:tcPr>
            <w:tcW w:w="380"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执行率</w:t>
            </w:r>
          </w:p>
        </w:tc>
        <w:tc>
          <w:tcPr>
            <w:tcW w:w="615"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eastAsiaTheme="minorEastAsia"/>
                <w:b w:val="0"/>
                <w:bCs w:val="0"/>
                <w:color w:val="000000"/>
                <w:kern w:val="0"/>
                <w:sz w:val="21"/>
                <w:szCs w:val="21"/>
              </w:rPr>
            </w:pPr>
          </w:p>
        </w:tc>
        <w:tc>
          <w:tcPr>
            <w:tcW w:w="999" w:type="pct"/>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rPr>
              <w:t>年度资金总额　</w:t>
            </w:r>
          </w:p>
        </w:tc>
        <w:tc>
          <w:tcPr>
            <w:tcW w:w="6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p>
        </w:tc>
        <w:tc>
          <w:tcPr>
            <w:tcW w:w="78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i w:val="0"/>
                <w:iCs w:val="0"/>
                <w:caps w:val="0"/>
                <w:color w:val="1E1E1E"/>
                <w:spacing w:val="0"/>
                <w:sz w:val="21"/>
                <w:szCs w:val="21"/>
                <w:shd w:val="clear" w:fill="FFFFFF"/>
              </w:rPr>
              <w:t>63.2</w:t>
            </w:r>
          </w:p>
        </w:tc>
        <w:tc>
          <w:tcPr>
            <w:tcW w:w="692"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i w:val="0"/>
                <w:iCs w:val="0"/>
                <w:caps w:val="0"/>
                <w:color w:val="1E1E1E"/>
                <w:spacing w:val="0"/>
                <w:sz w:val="21"/>
                <w:szCs w:val="21"/>
                <w:shd w:val="clear" w:fill="FFFFFF"/>
              </w:rPr>
              <w:t>63.2</w:t>
            </w:r>
          </w:p>
        </w:tc>
        <w:tc>
          <w:tcPr>
            <w:tcW w:w="38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lang w:val="en-US" w:eastAsia="zh-CN" w:bidi="ar-SA"/>
              </w:rPr>
            </w:pPr>
            <w:r>
              <w:rPr>
                <w:rFonts w:hint="default" w:ascii="Times New Roman" w:hAnsi="Times New Roman" w:cs="Times New Roman" w:eastAsiaTheme="minorEastAsia"/>
                <w:b w:val="0"/>
                <w:bCs w:val="0"/>
                <w:color w:val="000000"/>
                <w:kern w:val="0"/>
                <w:sz w:val="21"/>
                <w:szCs w:val="21"/>
                <w:lang w:val="en-US" w:eastAsia="zh-CN"/>
              </w:rPr>
              <w:t>10</w:t>
            </w:r>
          </w:p>
        </w:tc>
        <w:tc>
          <w:tcPr>
            <w:tcW w:w="38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lang w:val="en-US" w:eastAsia="zh-CN" w:bidi="ar-SA"/>
              </w:rPr>
            </w:pPr>
            <w:r>
              <w:rPr>
                <w:rFonts w:hint="default" w:ascii="Times New Roman" w:hAnsi="Times New Roman" w:cs="Times New Roman" w:eastAsiaTheme="minorEastAsia"/>
                <w:b w:val="0"/>
                <w:bCs w:val="0"/>
                <w:color w:val="000000"/>
                <w:kern w:val="0"/>
                <w:sz w:val="21"/>
                <w:szCs w:val="21"/>
                <w:lang w:val="en-US" w:eastAsia="zh-CN"/>
              </w:rPr>
              <w:t>100%</w:t>
            </w:r>
          </w:p>
        </w:tc>
        <w:tc>
          <w:tcPr>
            <w:tcW w:w="61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lang w:val="en-US" w:eastAsia="zh-CN" w:bidi="ar-SA"/>
              </w:rPr>
            </w:pPr>
            <w:r>
              <w:rPr>
                <w:rFonts w:hint="default" w:ascii="Times New Roman" w:hAnsi="Times New Roman" w:cs="Times New Roman" w:eastAsiaTheme="minorEastAsia"/>
                <w:b w:val="0"/>
                <w:bCs w:val="0"/>
                <w:color w:val="000000"/>
                <w:kern w:val="0"/>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eastAsiaTheme="minorEastAsia"/>
                <w:b w:val="0"/>
                <w:bCs w:val="0"/>
                <w:color w:val="000000"/>
                <w:kern w:val="0"/>
                <w:sz w:val="21"/>
                <w:szCs w:val="21"/>
              </w:rPr>
            </w:pPr>
          </w:p>
        </w:tc>
        <w:tc>
          <w:tcPr>
            <w:tcW w:w="999" w:type="pct"/>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rPr>
              <w:t>其中：当年财政拨款　</w:t>
            </w:r>
          </w:p>
        </w:tc>
        <w:tc>
          <w:tcPr>
            <w:tcW w:w="6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p>
        </w:tc>
        <w:tc>
          <w:tcPr>
            <w:tcW w:w="78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p>
        </w:tc>
        <w:tc>
          <w:tcPr>
            <w:tcW w:w="692"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p>
        </w:tc>
        <w:tc>
          <w:tcPr>
            <w:tcW w:w="38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p>
        </w:tc>
        <w:tc>
          <w:tcPr>
            <w:tcW w:w="38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p>
        </w:tc>
        <w:tc>
          <w:tcPr>
            <w:tcW w:w="61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jc w:val="center"/>
        </w:trPr>
        <w:tc>
          <w:tcPr>
            <w:tcW w:w="5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eastAsiaTheme="minorEastAsia"/>
                <w:b w:val="0"/>
                <w:bCs w:val="0"/>
                <w:color w:val="000000"/>
                <w:kern w:val="0"/>
                <w:sz w:val="21"/>
                <w:szCs w:val="21"/>
              </w:rPr>
            </w:pPr>
          </w:p>
        </w:tc>
        <w:tc>
          <w:tcPr>
            <w:tcW w:w="999" w:type="pct"/>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rPr>
              <w:t>上年结转资金　</w:t>
            </w:r>
          </w:p>
        </w:tc>
        <w:tc>
          <w:tcPr>
            <w:tcW w:w="6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p>
        </w:tc>
        <w:tc>
          <w:tcPr>
            <w:tcW w:w="78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p>
        </w:tc>
        <w:tc>
          <w:tcPr>
            <w:tcW w:w="692"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p>
        </w:tc>
        <w:tc>
          <w:tcPr>
            <w:tcW w:w="38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p>
        </w:tc>
        <w:tc>
          <w:tcPr>
            <w:tcW w:w="38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p>
        </w:tc>
        <w:tc>
          <w:tcPr>
            <w:tcW w:w="61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eastAsiaTheme="minorEastAsia"/>
                <w:b w:val="0"/>
                <w:bCs w:val="0"/>
                <w:color w:val="000000"/>
                <w:kern w:val="0"/>
                <w:sz w:val="21"/>
                <w:szCs w:val="21"/>
              </w:rPr>
            </w:pPr>
          </w:p>
        </w:tc>
        <w:tc>
          <w:tcPr>
            <w:tcW w:w="999" w:type="pct"/>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rPr>
              <w:t>其他资金</w:t>
            </w:r>
          </w:p>
        </w:tc>
        <w:tc>
          <w:tcPr>
            <w:tcW w:w="6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p>
        </w:tc>
        <w:tc>
          <w:tcPr>
            <w:tcW w:w="78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i w:val="0"/>
                <w:iCs w:val="0"/>
                <w:caps w:val="0"/>
                <w:color w:val="1E1E1E"/>
                <w:spacing w:val="0"/>
                <w:sz w:val="21"/>
                <w:szCs w:val="21"/>
                <w:shd w:val="clear" w:fill="FFFFFF"/>
              </w:rPr>
              <w:t>63.2</w:t>
            </w:r>
          </w:p>
        </w:tc>
        <w:tc>
          <w:tcPr>
            <w:tcW w:w="692"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i w:val="0"/>
                <w:iCs w:val="0"/>
                <w:caps w:val="0"/>
                <w:color w:val="1E1E1E"/>
                <w:spacing w:val="0"/>
                <w:sz w:val="21"/>
                <w:szCs w:val="21"/>
                <w:shd w:val="clear" w:fill="FFFFFF"/>
              </w:rPr>
              <w:t>63.2</w:t>
            </w:r>
          </w:p>
        </w:tc>
        <w:tc>
          <w:tcPr>
            <w:tcW w:w="38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lang w:val="en-US" w:eastAsia="zh-CN"/>
              </w:rPr>
            </w:pPr>
          </w:p>
        </w:tc>
        <w:tc>
          <w:tcPr>
            <w:tcW w:w="38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lang w:val="en-US" w:eastAsia="zh-CN"/>
              </w:rPr>
            </w:pPr>
          </w:p>
        </w:tc>
        <w:tc>
          <w:tcPr>
            <w:tcW w:w="61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36"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rPr>
              <w:t>年度总体目标</w:t>
            </w:r>
          </w:p>
        </w:tc>
        <w:tc>
          <w:tcPr>
            <w:tcW w:w="2394" w:type="pct"/>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rPr>
              <w:t>预期目标</w:t>
            </w:r>
          </w:p>
        </w:tc>
        <w:tc>
          <w:tcPr>
            <w:tcW w:w="2069" w:type="pct"/>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eastAsiaTheme="minorEastAsia"/>
                <w:b w:val="0"/>
                <w:bCs w:val="0"/>
                <w:color w:val="000000"/>
                <w:kern w:val="0"/>
                <w:sz w:val="21"/>
                <w:szCs w:val="21"/>
              </w:rPr>
            </w:pPr>
          </w:p>
        </w:tc>
        <w:tc>
          <w:tcPr>
            <w:tcW w:w="2394" w:type="pct"/>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lang w:eastAsia="zh-CN"/>
              </w:rPr>
            </w:pPr>
            <w:r>
              <w:rPr>
                <w:rFonts w:hint="default" w:ascii="Times New Roman" w:hAnsi="Times New Roman" w:cs="Times New Roman" w:eastAsiaTheme="minorEastAsia"/>
                <w:b w:val="0"/>
                <w:bCs w:val="0"/>
                <w:color w:val="000000"/>
                <w:kern w:val="0"/>
                <w:sz w:val="21"/>
                <w:szCs w:val="21"/>
                <w:lang w:eastAsia="zh-CN"/>
              </w:rPr>
              <w:t>对家庭困难住院对象进行救助。</w:t>
            </w:r>
          </w:p>
        </w:tc>
        <w:tc>
          <w:tcPr>
            <w:tcW w:w="2069" w:type="pct"/>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lang w:eastAsia="zh-CN"/>
              </w:rPr>
              <w:t>对家庭困难住院对象进行救助。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36"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rPr>
              <w:t>标</w:t>
            </w:r>
          </w:p>
        </w:tc>
        <w:tc>
          <w:tcPr>
            <w:tcW w:w="543"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一级指标</w:t>
            </w:r>
          </w:p>
        </w:tc>
        <w:tc>
          <w:tcPr>
            <w:tcW w:w="456"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二级指标</w:t>
            </w:r>
          </w:p>
        </w:tc>
        <w:tc>
          <w:tcPr>
            <w:tcW w:w="613"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三级指标</w:t>
            </w:r>
          </w:p>
        </w:tc>
        <w:tc>
          <w:tcPr>
            <w:tcW w:w="780"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年度</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指标值</w:t>
            </w:r>
          </w:p>
        </w:tc>
        <w:tc>
          <w:tcPr>
            <w:tcW w:w="692"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实际</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完成值</w:t>
            </w:r>
          </w:p>
        </w:tc>
        <w:tc>
          <w:tcPr>
            <w:tcW w:w="380"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分值</w:t>
            </w:r>
          </w:p>
        </w:tc>
        <w:tc>
          <w:tcPr>
            <w:tcW w:w="380"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得分</w:t>
            </w:r>
          </w:p>
        </w:tc>
        <w:tc>
          <w:tcPr>
            <w:tcW w:w="615"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偏差原因</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分析及</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36" w:type="pct"/>
            <w:vMerge w:val="continue"/>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eastAsiaTheme="minorEastAsia"/>
                <w:b w:val="0"/>
                <w:bCs w:val="0"/>
                <w:color w:val="000000"/>
                <w:kern w:val="0"/>
                <w:sz w:val="21"/>
                <w:szCs w:val="21"/>
              </w:rPr>
            </w:pPr>
          </w:p>
        </w:tc>
        <w:tc>
          <w:tcPr>
            <w:tcW w:w="543"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Times New Roman" w:hAnsi="Times New Roman" w:cs="Times New Roman" w:eastAsiaTheme="minorEastAsia"/>
                <w:b w:val="0"/>
                <w:bCs w:val="0"/>
                <w:color w:val="000000"/>
                <w:kern w:val="0"/>
                <w:sz w:val="21"/>
                <w:szCs w:val="21"/>
                <w:lang w:eastAsia="zh-CN"/>
              </w:rPr>
            </w:pPr>
            <w:r>
              <w:rPr>
                <w:rFonts w:hint="default" w:ascii="Times New Roman" w:hAnsi="Times New Roman" w:cs="Times New Roman" w:eastAsiaTheme="minorEastAsia"/>
                <w:b w:val="0"/>
                <w:bCs w:val="0"/>
                <w:color w:val="000000"/>
                <w:kern w:val="0"/>
                <w:sz w:val="21"/>
                <w:szCs w:val="21"/>
              </w:rPr>
              <w:t>产出指标</w:t>
            </w:r>
            <w:r>
              <w:rPr>
                <w:rFonts w:hint="eastAsia" w:ascii="Times New Roman" w:hAnsi="Times New Roman" w:cs="Times New Roman"/>
                <w:b w:val="0"/>
                <w:bCs w:val="0"/>
                <w:color w:val="000000"/>
                <w:kern w:val="0"/>
                <w:sz w:val="21"/>
                <w:szCs w:val="21"/>
                <w:lang w:eastAsia="zh-CN"/>
              </w:rPr>
              <w:t>（</w:t>
            </w:r>
            <w:r>
              <w:rPr>
                <w:rFonts w:hint="default" w:ascii="Times New Roman" w:hAnsi="Times New Roman" w:cs="Times New Roman" w:eastAsiaTheme="minorEastAsia"/>
                <w:b w:val="0"/>
                <w:bCs w:val="0"/>
                <w:color w:val="000000"/>
                <w:kern w:val="0"/>
                <w:sz w:val="21"/>
                <w:szCs w:val="21"/>
              </w:rPr>
              <w:t>50分</w:t>
            </w:r>
            <w:r>
              <w:rPr>
                <w:rFonts w:hint="eastAsia" w:ascii="Times New Roman" w:hAnsi="Times New Roman" w:cs="Times New Roman"/>
                <w:b w:val="0"/>
                <w:bCs w:val="0"/>
                <w:color w:val="000000"/>
                <w:kern w:val="0"/>
                <w:sz w:val="21"/>
                <w:szCs w:val="21"/>
                <w:lang w:eastAsia="zh-CN"/>
              </w:rPr>
              <w:t>）</w:t>
            </w:r>
          </w:p>
        </w:tc>
        <w:tc>
          <w:tcPr>
            <w:tcW w:w="45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rPr>
              <w:t>数量指标</w:t>
            </w:r>
          </w:p>
        </w:tc>
        <w:tc>
          <w:tcPr>
            <w:tcW w:w="6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lang w:eastAsia="zh-CN"/>
              </w:rPr>
            </w:pPr>
            <w:r>
              <w:rPr>
                <w:rFonts w:hint="default" w:ascii="Times New Roman" w:hAnsi="Times New Roman" w:cs="Times New Roman" w:eastAsiaTheme="minorEastAsia"/>
                <w:b w:val="0"/>
                <w:bCs w:val="0"/>
                <w:color w:val="000000"/>
                <w:kern w:val="0"/>
                <w:sz w:val="21"/>
                <w:szCs w:val="21"/>
                <w:lang w:eastAsia="zh-CN"/>
              </w:rPr>
              <w:t>医疗救助</w:t>
            </w:r>
          </w:p>
        </w:tc>
        <w:tc>
          <w:tcPr>
            <w:tcW w:w="78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i w:val="0"/>
                <w:iCs w:val="0"/>
                <w:caps w:val="0"/>
                <w:color w:val="1E1E1E"/>
                <w:spacing w:val="0"/>
                <w:sz w:val="21"/>
                <w:szCs w:val="21"/>
                <w:shd w:val="clear" w:fill="FFFFFF"/>
              </w:rPr>
              <w:t>63.2</w:t>
            </w:r>
            <w:r>
              <w:rPr>
                <w:rFonts w:hint="default" w:ascii="Times New Roman" w:hAnsi="Times New Roman" w:cs="Times New Roman" w:eastAsiaTheme="minorEastAsia"/>
                <w:b w:val="0"/>
                <w:bCs w:val="0"/>
                <w:i w:val="0"/>
                <w:iCs w:val="0"/>
                <w:caps w:val="0"/>
                <w:color w:val="1E1E1E"/>
                <w:spacing w:val="0"/>
                <w:sz w:val="21"/>
                <w:szCs w:val="21"/>
                <w:shd w:val="clear" w:fill="FFFFFF"/>
                <w:lang w:eastAsia="zh-CN"/>
              </w:rPr>
              <w:t>万元</w:t>
            </w:r>
          </w:p>
        </w:tc>
        <w:tc>
          <w:tcPr>
            <w:tcW w:w="692"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lang w:val="en-US" w:eastAsia="zh-CN" w:bidi="ar-SA"/>
              </w:rPr>
            </w:pPr>
            <w:r>
              <w:rPr>
                <w:rFonts w:hint="default" w:ascii="Times New Roman" w:hAnsi="Times New Roman" w:cs="Times New Roman" w:eastAsiaTheme="minorEastAsia"/>
                <w:b w:val="0"/>
                <w:bCs w:val="0"/>
                <w:i w:val="0"/>
                <w:iCs w:val="0"/>
                <w:caps w:val="0"/>
                <w:color w:val="1E1E1E"/>
                <w:spacing w:val="0"/>
                <w:sz w:val="21"/>
                <w:szCs w:val="21"/>
                <w:shd w:val="clear" w:fill="FFFFFF"/>
              </w:rPr>
              <w:t>63.2</w:t>
            </w:r>
            <w:r>
              <w:rPr>
                <w:rFonts w:hint="default" w:ascii="Times New Roman" w:hAnsi="Times New Roman" w:cs="Times New Roman" w:eastAsiaTheme="minorEastAsia"/>
                <w:b w:val="0"/>
                <w:bCs w:val="0"/>
                <w:i w:val="0"/>
                <w:iCs w:val="0"/>
                <w:caps w:val="0"/>
                <w:color w:val="1E1E1E"/>
                <w:spacing w:val="0"/>
                <w:sz w:val="21"/>
                <w:szCs w:val="21"/>
                <w:shd w:val="clear" w:fill="FFFFFF"/>
                <w:lang w:eastAsia="zh-CN"/>
              </w:rPr>
              <w:t>万元</w:t>
            </w:r>
          </w:p>
        </w:tc>
        <w:tc>
          <w:tcPr>
            <w:tcW w:w="38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lang w:val="en-US" w:eastAsia="zh-CN"/>
              </w:rPr>
            </w:pPr>
            <w:r>
              <w:rPr>
                <w:rFonts w:hint="default" w:ascii="Times New Roman" w:hAnsi="Times New Roman" w:cs="Times New Roman" w:eastAsiaTheme="minorEastAsia"/>
                <w:b w:val="0"/>
                <w:bCs w:val="0"/>
                <w:color w:val="000000"/>
                <w:kern w:val="0"/>
                <w:sz w:val="21"/>
                <w:szCs w:val="21"/>
                <w:lang w:val="en-US" w:eastAsia="zh-CN"/>
              </w:rPr>
              <w:t>16</w:t>
            </w:r>
          </w:p>
        </w:tc>
        <w:tc>
          <w:tcPr>
            <w:tcW w:w="38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lang w:val="en-US" w:eastAsia="zh-CN"/>
              </w:rPr>
            </w:pPr>
            <w:r>
              <w:rPr>
                <w:rFonts w:hint="default" w:ascii="Times New Roman" w:hAnsi="Times New Roman" w:cs="Times New Roman" w:eastAsiaTheme="minorEastAsia"/>
                <w:b w:val="0"/>
                <w:bCs w:val="0"/>
                <w:color w:val="000000"/>
                <w:kern w:val="0"/>
                <w:sz w:val="21"/>
                <w:szCs w:val="21"/>
                <w:lang w:val="en-US" w:eastAsia="zh-CN"/>
              </w:rPr>
              <w:t>16</w:t>
            </w:r>
          </w:p>
        </w:tc>
        <w:tc>
          <w:tcPr>
            <w:tcW w:w="61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36" w:type="pct"/>
            <w:vMerge w:val="continue"/>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eastAsiaTheme="minorEastAsia"/>
                <w:b w:val="0"/>
                <w:bCs w:val="0"/>
                <w:color w:val="000000"/>
                <w:kern w:val="0"/>
                <w:sz w:val="21"/>
                <w:szCs w:val="21"/>
              </w:rPr>
            </w:pPr>
          </w:p>
        </w:tc>
        <w:tc>
          <w:tcPr>
            <w:tcW w:w="543" w:type="pct"/>
            <w:vMerge w:val="continue"/>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p>
        </w:tc>
        <w:tc>
          <w:tcPr>
            <w:tcW w:w="45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rPr>
              <w:t>质量指标</w:t>
            </w:r>
          </w:p>
        </w:tc>
        <w:tc>
          <w:tcPr>
            <w:tcW w:w="613"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sz w:val="21"/>
                <w:szCs w:val="21"/>
                <w:lang w:eastAsia="zh-CN"/>
              </w:rPr>
            </w:pPr>
            <w:r>
              <w:rPr>
                <w:rFonts w:hint="default" w:ascii="Times New Roman" w:hAnsi="Times New Roman" w:cs="Times New Roman" w:eastAsiaTheme="minorEastAsia"/>
                <w:b w:val="0"/>
                <w:bCs w:val="0"/>
                <w:sz w:val="21"/>
                <w:szCs w:val="21"/>
                <w:lang w:eastAsia="zh-CN"/>
              </w:rPr>
              <w:t>困难医疗救助率</w:t>
            </w:r>
          </w:p>
        </w:tc>
        <w:tc>
          <w:tcPr>
            <w:tcW w:w="780"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救助困难家庭</w:t>
            </w:r>
          </w:p>
        </w:tc>
        <w:tc>
          <w:tcPr>
            <w:tcW w:w="692"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对报送困难家庭进行医疗救助</w:t>
            </w:r>
          </w:p>
        </w:tc>
        <w:tc>
          <w:tcPr>
            <w:tcW w:w="38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lang w:val="en-US" w:eastAsia="zh-CN"/>
              </w:rPr>
            </w:pPr>
            <w:r>
              <w:rPr>
                <w:rFonts w:hint="default" w:ascii="Times New Roman" w:hAnsi="Times New Roman" w:cs="Times New Roman" w:eastAsiaTheme="minorEastAsia"/>
                <w:b w:val="0"/>
                <w:bCs w:val="0"/>
                <w:color w:val="000000"/>
                <w:kern w:val="0"/>
                <w:sz w:val="21"/>
                <w:szCs w:val="21"/>
                <w:lang w:val="en-US" w:eastAsia="zh-CN"/>
              </w:rPr>
              <w:t>17</w:t>
            </w:r>
          </w:p>
        </w:tc>
        <w:tc>
          <w:tcPr>
            <w:tcW w:w="38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lang w:val="en-US" w:eastAsia="zh-CN"/>
              </w:rPr>
            </w:pPr>
            <w:r>
              <w:rPr>
                <w:rFonts w:hint="default" w:ascii="Times New Roman" w:hAnsi="Times New Roman" w:cs="Times New Roman" w:eastAsiaTheme="minorEastAsia"/>
                <w:b w:val="0"/>
                <w:bCs w:val="0"/>
                <w:color w:val="000000"/>
                <w:kern w:val="0"/>
                <w:sz w:val="21"/>
                <w:szCs w:val="21"/>
                <w:lang w:val="en-US" w:eastAsia="zh-CN"/>
              </w:rPr>
              <w:t>15</w:t>
            </w:r>
          </w:p>
        </w:tc>
        <w:tc>
          <w:tcPr>
            <w:tcW w:w="61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36" w:type="pct"/>
            <w:vMerge w:val="continue"/>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eastAsiaTheme="minorEastAsia"/>
                <w:b w:val="0"/>
                <w:bCs w:val="0"/>
                <w:color w:val="000000"/>
                <w:kern w:val="0"/>
                <w:sz w:val="21"/>
                <w:szCs w:val="21"/>
              </w:rPr>
            </w:pPr>
          </w:p>
        </w:tc>
        <w:tc>
          <w:tcPr>
            <w:tcW w:w="543" w:type="pct"/>
            <w:vMerge w:val="continue"/>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p>
        </w:tc>
        <w:tc>
          <w:tcPr>
            <w:tcW w:w="45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rPr>
              <w:t>时效指标</w:t>
            </w:r>
          </w:p>
        </w:tc>
        <w:tc>
          <w:tcPr>
            <w:tcW w:w="613"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lang w:eastAsia="zh-CN"/>
              </w:rPr>
            </w:pPr>
            <w:r>
              <w:rPr>
                <w:rFonts w:hint="default" w:ascii="Times New Roman" w:hAnsi="Times New Roman" w:cs="Times New Roman" w:eastAsiaTheme="minorEastAsia"/>
                <w:b w:val="0"/>
                <w:bCs w:val="0"/>
                <w:color w:val="000000"/>
                <w:kern w:val="0"/>
                <w:sz w:val="21"/>
                <w:szCs w:val="21"/>
                <w:lang w:eastAsia="zh-CN"/>
              </w:rPr>
              <w:t>医疗救助</w:t>
            </w:r>
          </w:p>
        </w:tc>
        <w:tc>
          <w:tcPr>
            <w:tcW w:w="78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sz w:val="21"/>
                <w:szCs w:val="21"/>
              </w:rPr>
              <w:t>重点工作办结率</w:t>
            </w:r>
          </w:p>
        </w:tc>
        <w:tc>
          <w:tcPr>
            <w:tcW w:w="692"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sz w:val="21"/>
                <w:szCs w:val="21"/>
              </w:rPr>
              <w:t>按时办结100%</w:t>
            </w:r>
          </w:p>
        </w:tc>
        <w:tc>
          <w:tcPr>
            <w:tcW w:w="380"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lang w:eastAsia="zh-CN"/>
              </w:rPr>
            </w:pPr>
            <w:r>
              <w:rPr>
                <w:rFonts w:hint="default" w:ascii="Times New Roman" w:hAnsi="Times New Roman" w:cs="Times New Roman" w:eastAsiaTheme="minorEastAsia"/>
                <w:b w:val="0"/>
                <w:bCs w:val="0"/>
                <w:color w:val="000000"/>
                <w:sz w:val="21"/>
                <w:szCs w:val="21"/>
                <w:lang w:val="en-US" w:eastAsia="zh-CN"/>
              </w:rPr>
              <w:t>8</w:t>
            </w:r>
          </w:p>
        </w:tc>
        <w:tc>
          <w:tcPr>
            <w:tcW w:w="38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lang w:val="en-US" w:eastAsia="zh-CN"/>
              </w:rPr>
              <w:t>8</w:t>
            </w:r>
          </w:p>
        </w:tc>
        <w:tc>
          <w:tcPr>
            <w:tcW w:w="61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36" w:type="pct"/>
            <w:vMerge w:val="continue"/>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eastAsiaTheme="minorEastAsia"/>
                <w:b w:val="0"/>
                <w:bCs w:val="0"/>
                <w:color w:val="000000"/>
                <w:kern w:val="0"/>
                <w:sz w:val="21"/>
                <w:szCs w:val="21"/>
              </w:rPr>
            </w:pPr>
          </w:p>
        </w:tc>
        <w:tc>
          <w:tcPr>
            <w:tcW w:w="543" w:type="pct"/>
            <w:vMerge w:val="continue"/>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p>
        </w:tc>
        <w:tc>
          <w:tcPr>
            <w:tcW w:w="45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rPr>
              <w:t>成本指标</w:t>
            </w:r>
          </w:p>
        </w:tc>
        <w:tc>
          <w:tcPr>
            <w:tcW w:w="6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lang w:eastAsia="zh-CN"/>
              </w:rPr>
            </w:pPr>
            <w:r>
              <w:rPr>
                <w:rFonts w:hint="default" w:ascii="Times New Roman" w:hAnsi="Times New Roman" w:cs="Times New Roman" w:eastAsiaTheme="minorEastAsia"/>
                <w:b w:val="0"/>
                <w:bCs w:val="0"/>
                <w:color w:val="000000"/>
                <w:kern w:val="0"/>
                <w:sz w:val="21"/>
                <w:szCs w:val="21"/>
                <w:lang w:eastAsia="zh-CN"/>
              </w:rPr>
              <w:t>救助金额</w:t>
            </w:r>
          </w:p>
        </w:tc>
        <w:tc>
          <w:tcPr>
            <w:tcW w:w="78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sz w:val="21"/>
                <w:szCs w:val="21"/>
                <w:lang w:eastAsia="zh-CN"/>
              </w:rPr>
              <w:t>医疗救助</w:t>
            </w:r>
            <w:r>
              <w:rPr>
                <w:rFonts w:hint="default" w:ascii="Times New Roman" w:hAnsi="Times New Roman" w:cs="Times New Roman" w:eastAsiaTheme="minorEastAsia"/>
                <w:b w:val="0"/>
                <w:bCs w:val="0"/>
                <w:color w:val="000000"/>
                <w:sz w:val="21"/>
                <w:szCs w:val="21"/>
              </w:rPr>
              <w:t>费不超出预算</w:t>
            </w:r>
          </w:p>
        </w:tc>
        <w:tc>
          <w:tcPr>
            <w:tcW w:w="692"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sz w:val="21"/>
                <w:szCs w:val="21"/>
              </w:rPr>
              <w:t>100%</w:t>
            </w:r>
          </w:p>
        </w:tc>
        <w:tc>
          <w:tcPr>
            <w:tcW w:w="380"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lang w:eastAsia="zh-CN"/>
              </w:rPr>
            </w:pPr>
            <w:r>
              <w:rPr>
                <w:rFonts w:hint="default" w:ascii="Times New Roman" w:hAnsi="Times New Roman" w:cs="Times New Roman" w:eastAsiaTheme="minorEastAsia"/>
                <w:b w:val="0"/>
                <w:bCs w:val="0"/>
                <w:color w:val="000000"/>
                <w:sz w:val="21"/>
                <w:szCs w:val="21"/>
                <w:lang w:val="en-US" w:eastAsia="zh-CN"/>
              </w:rPr>
              <w:t>9</w:t>
            </w:r>
          </w:p>
        </w:tc>
        <w:tc>
          <w:tcPr>
            <w:tcW w:w="38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lang w:val="en-US" w:eastAsia="zh-CN"/>
              </w:rPr>
              <w:t>9</w:t>
            </w:r>
          </w:p>
        </w:tc>
        <w:tc>
          <w:tcPr>
            <w:tcW w:w="61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36" w:type="pct"/>
            <w:vMerge w:val="continue"/>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eastAsiaTheme="minorEastAsia"/>
                <w:b w:val="0"/>
                <w:bCs w:val="0"/>
                <w:color w:val="000000"/>
                <w:kern w:val="0"/>
                <w:sz w:val="21"/>
                <w:szCs w:val="21"/>
              </w:rPr>
            </w:pPr>
          </w:p>
        </w:tc>
        <w:tc>
          <w:tcPr>
            <w:tcW w:w="543"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rPr>
              <w:t>效益指标（30分）</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p>
        </w:tc>
        <w:tc>
          <w:tcPr>
            <w:tcW w:w="45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rPr>
              <w:t>经济效</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rPr>
              <w:t>益指标</w:t>
            </w:r>
          </w:p>
        </w:tc>
        <w:tc>
          <w:tcPr>
            <w:tcW w:w="613"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lang w:eastAsia="zh-CN"/>
              </w:rPr>
            </w:pPr>
            <w:r>
              <w:rPr>
                <w:rFonts w:hint="default" w:ascii="Times New Roman" w:hAnsi="Times New Roman" w:cs="Times New Roman" w:eastAsiaTheme="minorEastAsia"/>
                <w:b w:val="0"/>
                <w:bCs w:val="0"/>
                <w:sz w:val="21"/>
                <w:szCs w:val="21"/>
                <w:lang w:eastAsia="zh-CN"/>
              </w:rPr>
              <w:t>过救助提高居民可支配收入水平</w:t>
            </w:r>
          </w:p>
        </w:tc>
        <w:tc>
          <w:tcPr>
            <w:tcW w:w="78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sz w:val="21"/>
                <w:szCs w:val="21"/>
                <w:lang w:eastAsia="zh-CN"/>
              </w:rPr>
              <w:t>通过救助提高居民可支配收入水平</w:t>
            </w:r>
          </w:p>
        </w:tc>
        <w:tc>
          <w:tcPr>
            <w:tcW w:w="692"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sz w:val="21"/>
                <w:szCs w:val="21"/>
                <w:lang w:eastAsia="zh-CN"/>
              </w:rPr>
              <w:t>可支配水平提高</w:t>
            </w:r>
          </w:p>
        </w:tc>
        <w:tc>
          <w:tcPr>
            <w:tcW w:w="38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lang w:val="en-US" w:eastAsia="zh-CN"/>
              </w:rPr>
            </w:pPr>
            <w:r>
              <w:rPr>
                <w:rFonts w:hint="default" w:ascii="Times New Roman" w:hAnsi="Times New Roman" w:cs="Times New Roman" w:eastAsiaTheme="minorEastAsia"/>
                <w:b w:val="0"/>
                <w:bCs w:val="0"/>
                <w:color w:val="000000"/>
                <w:kern w:val="0"/>
                <w:sz w:val="21"/>
                <w:szCs w:val="21"/>
                <w:lang w:val="en-US" w:eastAsia="zh-CN"/>
              </w:rPr>
              <w:t>15</w:t>
            </w:r>
          </w:p>
        </w:tc>
        <w:tc>
          <w:tcPr>
            <w:tcW w:w="38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lang w:val="en-US"/>
              </w:rPr>
            </w:pPr>
            <w:r>
              <w:rPr>
                <w:rFonts w:hint="default" w:ascii="Times New Roman" w:hAnsi="Times New Roman" w:cs="Times New Roman" w:eastAsiaTheme="minorEastAsia"/>
                <w:b w:val="0"/>
                <w:bCs w:val="0"/>
                <w:color w:val="000000"/>
                <w:kern w:val="0"/>
                <w:sz w:val="21"/>
                <w:szCs w:val="21"/>
                <w:lang w:val="en-US" w:eastAsia="zh-CN"/>
              </w:rPr>
              <w:t>14</w:t>
            </w:r>
          </w:p>
        </w:tc>
        <w:tc>
          <w:tcPr>
            <w:tcW w:w="61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eastAsiaTheme="minorEastAsia"/>
                <w:b w:val="0"/>
                <w:bCs w:val="0"/>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36" w:type="pct"/>
            <w:vMerge w:val="continue"/>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eastAsiaTheme="minorEastAsia"/>
                <w:b w:val="0"/>
                <w:bCs w:val="0"/>
                <w:color w:val="000000"/>
                <w:kern w:val="0"/>
                <w:sz w:val="21"/>
                <w:szCs w:val="21"/>
              </w:rPr>
            </w:pPr>
          </w:p>
        </w:tc>
        <w:tc>
          <w:tcPr>
            <w:tcW w:w="543" w:type="pct"/>
            <w:vMerge w:val="continue"/>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p>
        </w:tc>
        <w:tc>
          <w:tcPr>
            <w:tcW w:w="45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rPr>
              <w:t>社会效</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rPr>
              <w:t>益指标</w:t>
            </w:r>
          </w:p>
        </w:tc>
        <w:tc>
          <w:tcPr>
            <w:tcW w:w="613"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sz w:val="21"/>
                <w:szCs w:val="21"/>
                <w:lang w:eastAsia="zh-CN"/>
              </w:rPr>
            </w:pPr>
            <w:r>
              <w:rPr>
                <w:rFonts w:hint="default" w:ascii="Times New Roman" w:hAnsi="Times New Roman" w:cs="Times New Roman" w:eastAsiaTheme="minorEastAsia"/>
                <w:b w:val="0"/>
                <w:bCs w:val="0"/>
                <w:sz w:val="21"/>
                <w:szCs w:val="21"/>
                <w:lang w:eastAsia="zh-CN"/>
              </w:rPr>
              <w:t>保障困难家庭住院</w:t>
            </w:r>
          </w:p>
        </w:tc>
        <w:tc>
          <w:tcPr>
            <w:tcW w:w="780"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sz w:val="21"/>
                <w:szCs w:val="21"/>
                <w:lang w:eastAsia="zh-CN"/>
              </w:rPr>
            </w:pPr>
            <w:r>
              <w:rPr>
                <w:rFonts w:hint="default" w:ascii="Times New Roman" w:hAnsi="Times New Roman" w:cs="Times New Roman" w:eastAsiaTheme="minorEastAsia"/>
                <w:b w:val="0"/>
                <w:bCs w:val="0"/>
                <w:sz w:val="21"/>
                <w:szCs w:val="21"/>
                <w:lang w:eastAsia="zh-CN"/>
              </w:rPr>
              <w:t>降低困难家庭住院难度</w:t>
            </w:r>
          </w:p>
        </w:tc>
        <w:tc>
          <w:tcPr>
            <w:tcW w:w="692"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sz w:val="21"/>
                <w:szCs w:val="21"/>
                <w:lang w:eastAsia="zh-CN"/>
              </w:rPr>
              <w:t>困难家庭住院难度有所降低</w:t>
            </w:r>
          </w:p>
        </w:tc>
        <w:tc>
          <w:tcPr>
            <w:tcW w:w="38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lang w:val="en-US" w:eastAsia="zh-CN"/>
              </w:rPr>
            </w:pPr>
            <w:r>
              <w:rPr>
                <w:rFonts w:hint="default" w:ascii="Times New Roman" w:hAnsi="Times New Roman" w:cs="Times New Roman" w:eastAsiaTheme="minorEastAsia"/>
                <w:b w:val="0"/>
                <w:bCs w:val="0"/>
                <w:color w:val="000000"/>
                <w:kern w:val="0"/>
                <w:sz w:val="21"/>
                <w:szCs w:val="21"/>
                <w:lang w:val="en-US" w:eastAsia="zh-CN"/>
              </w:rPr>
              <w:t>7</w:t>
            </w:r>
          </w:p>
        </w:tc>
        <w:tc>
          <w:tcPr>
            <w:tcW w:w="38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lang w:val="en-US" w:eastAsia="zh-CN"/>
              </w:rPr>
            </w:pPr>
            <w:r>
              <w:rPr>
                <w:rFonts w:hint="default" w:ascii="Times New Roman" w:hAnsi="Times New Roman" w:cs="Times New Roman" w:eastAsiaTheme="minorEastAsia"/>
                <w:b w:val="0"/>
                <w:bCs w:val="0"/>
                <w:color w:val="000000"/>
                <w:kern w:val="0"/>
                <w:sz w:val="21"/>
                <w:szCs w:val="21"/>
                <w:lang w:val="en-US" w:eastAsia="zh-CN"/>
              </w:rPr>
              <w:t>7</w:t>
            </w:r>
          </w:p>
        </w:tc>
        <w:tc>
          <w:tcPr>
            <w:tcW w:w="61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36" w:type="pct"/>
            <w:vMerge w:val="continue"/>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eastAsiaTheme="minorEastAsia"/>
                <w:b w:val="0"/>
                <w:bCs w:val="0"/>
                <w:color w:val="000000"/>
                <w:kern w:val="0"/>
                <w:sz w:val="21"/>
                <w:szCs w:val="21"/>
              </w:rPr>
            </w:pPr>
          </w:p>
        </w:tc>
        <w:tc>
          <w:tcPr>
            <w:tcW w:w="543" w:type="pct"/>
            <w:vMerge w:val="continue"/>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p>
        </w:tc>
        <w:tc>
          <w:tcPr>
            <w:tcW w:w="45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rPr>
              <w:t>生态效</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rPr>
              <w:t>益指标</w:t>
            </w:r>
          </w:p>
        </w:tc>
        <w:tc>
          <w:tcPr>
            <w:tcW w:w="613"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sz w:val="21"/>
                <w:szCs w:val="21"/>
                <w:lang w:eastAsia="zh-CN"/>
              </w:rPr>
            </w:pPr>
            <w:r>
              <w:rPr>
                <w:rFonts w:hint="default" w:ascii="Times New Roman" w:hAnsi="Times New Roman" w:cs="Times New Roman" w:eastAsiaTheme="minorEastAsia"/>
                <w:b w:val="0"/>
                <w:bCs w:val="0"/>
                <w:sz w:val="21"/>
                <w:szCs w:val="21"/>
                <w:lang w:eastAsia="zh-CN"/>
              </w:rPr>
              <w:t>生态可持续发展</w:t>
            </w:r>
          </w:p>
        </w:tc>
        <w:tc>
          <w:tcPr>
            <w:tcW w:w="780"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eastAsia="zh-CN"/>
              </w:rPr>
              <w:t>生态可持续发展</w:t>
            </w:r>
          </w:p>
        </w:tc>
        <w:tc>
          <w:tcPr>
            <w:tcW w:w="692"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eastAsia="zh-CN"/>
              </w:rPr>
              <w:t>生态可持续发展</w:t>
            </w:r>
          </w:p>
        </w:tc>
        <w:tc>
          <w:tcPr>
            <w:tcW w:w="38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lang w:val="en-US" w:eastAsia="zh-CN"/>
              </w:rPr>
            </w:pPr>
            <w:r>
              <w:rPr>
                <w:rFonts w:hint="default" w:ascii="Times New Roman" w:hAnsi="Times New Roman" w:cs="Times New Roman" w:eastAsiaTheme="minorEastAsia"/>
                <w:b w:val="0"/>
                <w:bCs w:val="0"/>
                <w:color w:val="000000"/>
                <w:kern w:val="0"/>
                <w:sz w:val="21"/>
                <w:szCs w:val="21"/>
                <w:lang w:val="en-US" w:eastAsia="zh-CN"/>
              </w:rPr>
              <w:t>4</w:t>
            </w:r>
          </w:p>
        </w:tc>
        <w:tc>
          <w:tcPr>
            <w:tcW w:w="38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lang w:val="en-US" w:eastAsia="zh-CN"/>
              </w:rPr>
            </w:pPr>
            <w:r>
              <w:rPr>
                <w:rFonts w:hint="default" w:ascii="Times New Roman" w:hAnsi="Times New Roman" w:cs="Times New Roman" w:eastAsiaTheme="minorEastAsia"/>
                <w:b w:val="0"/>
                <w:bCs w:val="0"/>
                <w:color w:val="000000"/>
                <w:kern w:val="0"/>
                <w:sz w:val="21"/>
                <w:szCs w:val="21"/>
                <w:lang w:val="en-US" w:eastAsia="zh-CN"/>
              </w:rPr>
              <w:t>4</w:t>
            </w:r>
          </w:p>
        </w:tc>
        <w:tc>
          <w:tcPr>
            <w:tcW w:w="61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p>
        </w:tc>
        <w:tc>
          <w:tcPr>
            <w:tcW w:w="543"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p>
        </w:tc>
        <w:tc>
          <w:tcPr>
            <w:tcW w:w="45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rPr>
              <w:t>可持续影响指标</w:t>
            </w:r>
          </w:p>
        </w:tc>
        <w:tc>
          <w:tcPr>
            <w:tcW w:w="613"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sz w:val="21"/>
                <w:szCs w:val="21"/>
                <w:lang w:eastAsia="zh-CN"/>
              </w:rPr>
            </w:pPr>
            <w:r>
              <w:rPr>
                <w:rFonts w:hint="default" w:ascii="Times New Roman" w:hAnsi="Times New Roman" w:cs="Times New Roman" w:eastAsiaTheme="minorEastAsia"/>
                <w:b w:val="0"/>
                <w:bCs w:val="0"/>
                <w:sz w:val="21"/>
                <w:szCs w:val="21"/>
                <w:lang w:eastAsia="zh-CN"/>
              </w:rPr>
              <w:t>文明建设</w:t>
            </w:r>
          </w:p>
        </w:tc>
        <w:tc>
          <w:tcPr>
            <w:tcW w:w="780"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sz w:val="21"/>
                <w:szCs w:val="21"/>
                <w:lang w:eastAsia="zh-CN"/>
              </w:rPr>
            </w:pPr>
            <w:r>
              <w:rPr>
                <w:rFonts w:hint="default" w:ascii="Times New Roman" w:hAnsi="Times New Roman" w:cs="Times New Roman" w:eastAsiaTheme="minorEastAsia"/>
                <w:b w:val="0"/>
                <w:bCs w:val="0"/>
                <w:sz w:val="21"/>
                <w:szCs w:val="21"/>
                <w:lang w:eastAsia="zh-CN"/>
              </w:rPr>
              <w:t>提高全区文明建设水平</w:t>
            </w:r>
          </w:p>
        </w:tc>
        <w:tc>
          <w:tcPr>
            <w:tcW w:w="692"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sz w:val="21"/>
                <w:szCs w:val="21"/>
                <w:lang w:eastAsia="zh-CN"/>
              </w:rPr>
            </w:pPr>
            <w:r>
              <w:rPr>
                <w:rFonts w:hint="default" w:ascii="Times New Roman" w:hAnsi="Times New Roman" w:cs="Times New Roman" w:eastAsiaTheme="minorEastAsia"/>
                <w:b w:val="0"/>
                <w:bCs w:val="0"/>
                <w:sz w:val="21"/>
                <w:szCs w:val="21"/>
                <w:lang w:eastAsia="zh-CN"/>
              </w:rPr>
              <w:t>文明建设水平有所提升</w:t>
            </w:r>
          </w:p>
        </w:tc>
        <w:tc>
          <w:tcPr>
            <w:tcW w:w="38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lang w:val="en-US" w:eastAsia="zh-CN"/>
              </w:rPr>
            </w:pPr>
            <w:r>
              <w:rPr>
                <w:rFonts w:hint="default" w:ascii="Times New Roman" w:hAnsi="Times New Roman" w:cs="Times New Roman" w:eastAsiaTheme="minorEastAsia"/>
                <w:b w:val="0"/>
                <w:bCs w:val="0"/>
                <w:color w:val="000000"/>
                <w:kern w:val="0"/>
                <w:sz w:val="21"/>
                <w:szCs w:val="21"/>
                <w:lang w:val="en-US" w:eastAsia="zh-CN"/>
              </w:rPr>
              <w:t>4</w:t>
            </w:r>
          </w:p>
        </w:tc>
        <w:tc>
          <w:tcPr>
            <w:tcW w:w="38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lang w:val="en-US" w:eastAsia="zh-CN"/>
              </w:rPr>
            </w:pPr>
            <w:r>
              <w:rPr>
                <w:rFonts w:hint="default" w:ascii="Times New Roman" w:hAnsi="Times New Roman" w:cs="Times New Roman" w:eastAsiaTheme="minorEastAsia"/>
                <w:b w:val="0"/>
                <w:bCs w:val="0"/>
                <w:color w:val="000000"/>
                <w:kern w:val="0"/>
                <w:sz w:val="21"/>
                <w:szCs w:val="21"/>
                <w:lang w:val="en-US" w:eastAsia="zh-CN"/>
              </w:rPr>
              <w:t>4</w:t>
            </w:r>
          </w:p>
        </w:tc>
        <w:tc>
          <w:tcPr>
            <w:tcW w:w="61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36" w:type="pct"/>
            <w:vMerge w:val="continue"/>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eastAsiaTheme="minorEastAsia"/>
                <w:b w:val="0"/>
                <w:bCs w:val="0"/>
                <w:color w:val="000000"/>
                <w:kern w:val="0"/>
                <w:sz w:val="21"/>
                <w:szCs w:val="21"/>
              </w:rPr>
            </w:pPr>
          </w:p>
        </w:tc>
        <w:tc>
          <w:tcPr>
            <w:tcW w:w="54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rPr>
              <w:t>满意度</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rPr>
              <w:t>指标</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rPr>
              <w:t>（10分）</w:t>
            </w:r>
          </w:p>
        </w:tc>
        <w:tc>
          <w:tcPr>
            <w:tcW w:w="45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rPr>
              <w:t>服务对象满意度指标</w:t>
            </w:r>
          </w:p>
        </w:tc>
        <w:tc>
          <w:tcPr>
            <w:tcW w:w="6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sz w:val="21"/>
                <w:szCs w:val="21"/>
              </w:rPr>
              <w:t>社会公众</w:t>
            </w:r>
            <w:r>
              <w:rPr>
                <w:rFonts w:hint="default" w:ascii="Times New Roman" w:hAnsi="Times New Roman" w:cs="Times New Roman" w:eastAsiaTheme="minorEastAsia"/>
                <w:b w:val="0"/>
                <w:bCs w:val="0"/>
                <w:color w:val="000000"/>
                <w:sz w:val="21"/>
                <w:szCs w:val="21"/>
                <w:lang w:val="en-US" w:eastAsia="zh-CN"/>
              </w:rPr>
              <w:t>或</w:t>
            </w:r>
            <w:r>
              <w:rPr>
                <w:rFonts w:hint="default" w:ascii="Times New Roman" w:hAnsi="Times New Roman" w:cs="Times New Roman" w:eastAsiaTheme="minorEastAsia"/>
                <w:b w:val="0"/>
                <w:bCs w:val="0"/>
                <w:color w:val="000000"/>
                <w:sz w:val="21"/>
                <w:szCs w:val="21"/>
              </w:rPr>
              <w:t>服务对象满意度</w:t>
            </w:r>
          </w:p>
        </w:tc>
        <w:tc>
          <w:tcPr>
            <w:tcW w:w="78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sz w:val="21"/>
                <w:szCs w:val="21"/>
              </w:rPr>
              <w:t>社会公众或服务对象满意度≥95%</w:t>
            </w:r>
          </w:p>
        </w:tc>
        <w:tc>
          <w:tcPr>
            <w:tcW w:w="692"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sz w:val="21"/>
                <w:szCs w:val="21"/>
                <w:lang w:val="en-US" w:eastAsia="zh-CN"/>
              </w:rPr>
              <w:t>98%</w:t>
            </w:r>
          </w:p>
        </w:tc>
        <w:tc>
          <w:tcPr>
            <w:tcW w:w="38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lang w:val="en-US" w:eastAsia="zh-CN"/>
              </w:rPr>
            </w:pPr>
            <w:r>
              <w:rPr>
                <w:rFonts w:hint="default" w:ascii="Times New Roman" w:hAnsi="Times New Roman" w:cs="Times New Roman" w:eastAsiaTheme="minorEastAsia"/>
                <w:b w:val="0"/>
                <w:bCs w:val="0"/>
                <w:color w:val="000000"/>
                <w:kern w:val="0"/>
                <w:sz w:val="21"/>
                <w:szCs w:val="21"/>
                <w:lang w:val="en-US" w:eastAsia="zh-CN"/>
              </w:rPr>
              <w:t>10</w:t>
            </w:r>
          </w:p>
        </w:tc>
        <w:tc>
          <w:tcPr>
            <w:tcW w:w="38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lang w:val="en-US" w:eastAsia="zh-CN"/>
              </w:rPr>
            </w:pPr>
            <w:r>
              <w:rPr>
                <w:rFonts w:hint="default" w:ascii="Times New Roman" w:hAnsi="Times New Roman" w:cs="Times New Roman" w:eastAsiaTheme="minorEastAsia"/>
                <w:b w:val="0"/>
                <w:bCs w:val="0"/>
                <w:color w:val="000000"/>
                <w:kern w:val="0"/>
                <w:sz w:val="21"/>
                <w:szCs w:val="21"/>
                <w:lang w:val="en-US" w:eastAsia="zh-CN"/>
              </w:rPr>
              <w:t>10</w:t>
            </w:r>
          </w:p>
        </w:tc>
        <w:tc>
          <w:tcPr>
            <w:tcW w:w="61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623" w:type="pct"/>
            <w:gridSpan w:val="6"/>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rPr>
              <w:t>总分</w:t>
            </w:r>
          </w:p>
        </w:tc>
        <w:tc>
          <w:tcPr>
            <w:tcW w:w="38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rPr>
              <w:t>100</w:t>
            </w:r>
          </w:p>
        </w:tc>
        <w:tc>
          <w:tcPr>
            <w:tcW w:w="38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eastAsiaTheme="minorEastAsia"/>
                <w:b w:val="0"/>
                <w:bCs w:val="0"/>
                <w:color w:val="000000"/>
                <w:kern w:val="0"/>
                <w:sz w:val="21"/>
                <w:szCs w:val="21"/>
                <w:lang w:val="en-US" w:eastAsia="zh-CN"/>
              </w:rPr>
            </w:pPr>
            <w:r>
              <w:rPr>
                <w:rFonts w:hint="default" w:ascii="Times New Roman" w:hAnsi="Times New Roman" w:cs="Times New Roman" w:eastAsiaTheme="minorEastAsia"/>
                <w:b w:val="0"/>
                <w:bCs w:val="0"/>
                <w:color w:val="000000"/>
                <w:kern w:val="0"/>
                <w:sz w:val="21"/>
                <w:szCs w:val="21"/>
              </w:rPr>
              <w:t>　</w:t>
            </w:r>
            <w:r>
              <w:rPr>
                <w:rFonts w:hint="default" w:ascii="Times New Roman" w:hAnsi="Times New Roman" w:cs="Times New Roman" w:eastAsiaTheme="minorEastAsia"/>
                <w:b w:val="0"/>
                <w:bCs w:val="0"/>
                <w:color w:val="000000"/>
                <w:kern w:val="0"/>
                <w:sz w:val="21"/>
                <w:szCs w:val="21"/>
                <w:lang w:val="en-US" w:eastAsia="zh-CN"/>
              </w:rPr>
              <w:t>95</w:t>
            </w:r>
          </w:p>
        </w:tc>
        <w:tc>
          <w:tcPr>
            <w:tcW w:w="61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eastAsiaTheme="minorEastAsia"/>
                <w:b w:val="0"/>
                <w:bCs w:val="0"/>
                <w:color w:val="000000"/>
                <w:kern w:val="0"/>
                <w:sz w:val="21"/>
                <w:szCs w:val="21"/>
              </w:rPr>
            </w:pPr>
            <w:r>
              <w:rPr>
                <w:rFonts w:hint="default" w:ascii="Times New Roman" w:hAnsi="Times New Roman" w:cs="Times New Roman" w:eastAsiaTheme="minorEastAsia"/>
                <w:b w:val="0"/>
                <w:bCs w:val="0"/>
                <w:color w:val="000000"/>
                <w:kern w:val="0"/>
                <w:sz w:val="21"/>
                <w:szCs w:val="21"/>
              </w:rPr>
              <w:t>　</w:t>
            </w:r>
          </w:p>
        </w:tc>
      </w:tr>
    </w:tbl>
    <w:p>
      <w:pPr>
        <w:pStyle w:val="17"/>
        <w:keepNext w:val="0"/>
        <w:keepLines w:val="0"/>
        <w:pageBreakBefore w:val="0"/>
        <w:widowControl w:val="0"/>
        <w:kinsoku/>
        <w:wordWrap/>
        <w:overflowPunct/>
        <w:topLinePunct w:val="0"/>
        <w:autoSpaceDE/>
        <w:autoSpaceDN/>
        <w:bidi w:val="0"/>
        <w:adjustRightInd w:val="0"/>
        <w:snapToGrid w:val="0"/>
        <w:spacing w:line="20" w:lineRule="atLeast"/>
        <w:ind w:left="0" w:leftChars="0" w:firstLine="0" w:firstLineChars="0"/>
        <w:textAlignment w:val="auto"/>
        <w:rPr>
          <w:rFonts w:hint="default" w:ascii="Times New Roman Regular" w:hAnsi="Times New Roman Regular" w:eastAsia="仿宋" w:cs="Times New Roman Regular"/>
          <w:b w:val="0"/>
          <w:bCs w:val="0"/>
          <w:sz w:val="31"/>
          <w:szCs w:val="31"/>
          <w:lang w:val="en-US" w:eastAsia="zh-CN"/>
        </w:rPr>
      </w:pPr>
    </w:p>
    <w:sectPr>
      <w:headerReference r:id="rId7" w:type="default"/>
      <w:pgSz w:w="11906" w:h="16838"/>
      <w:pgMar w:top="986" w:right="1389" w:bottom="986" w:left="1389" w:header="227"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方正大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OH7cf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E4ftx90CAAAmBgAADgAAAAAAAAABACAAAAAfAQAAZHJzL2Uyb0RvYy54bWxQSwUG&#10;AAAAAAYABgBZAQAAbgY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thickThinLargeGap" w:color="auto" w:sz="4" w:space="1"/>
      </w:pBdr>
      <w:tabs>
        <w:tab w:val="left" w:pos="420"/>
        <w:tab w:val="right" w:pos="9746"/>
      </w:tabs>
      <w:jc w:val="left"/>
      <w:rPr>
        <w:rFonts w:hint="default"/>
        <w:sz w:val="21"/>
        <w:szCs w:val="21"/>
        <w:lang w:val="en-US"/>
      </w:rPr>
    </w:pPr>
    <w:r>
      <w:rPr>
        <w:rFonts w:hint="eastAsia" w:ascii="楷体" w:hAnsi="楷体" w:eastAsia="楷体" w:cs="楷体"/>
        <w:b/>
        <w:bCs/>
        <w:i/>
        <w:iCs/>
        <w:sz w:val="21"/>
        <w:szCs w:val="21"/>
        <w:lang w:val="en-US" w:eastAsia="zh-CN"/>
      </w:rPr>
      <w:drawing>
        <wp:inline distT="0" distB="0" distL="114300" distR="114300">
          <wp:extent cx="213995" cy="215900"/>
          <wp:effectExtent l="0" t="0" r="5080" b="3175"/>
          <wp:docPr id="8"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logo"/>
                  <pic:cNvPicPr>
                    <a:picLocks noChangeAspect="1"/>
                  </pic:cNvPicPr>
                </pic:nvPicPr>
                <pic:blipFill>
                  <a:blip r:embed="rId1"/>
                  <a:stretch>
                    <a:fillRect/>
                  </a:stretch>
                </pic:blipFill>
                <pic:spPr>
                  <a:xfrm>
                    <a:off x="0" y="0"/>
                    <a:ext cx="213995" cy="215900"/>
                  </a:xfrm>
                  <a:prstGeom prst="rect">
                    <a:avLst/>
                  </a:prstGeom>
                  <a:noFill/>
                  <a:ln>
                    <a:noFill/>
                  </a:ln>
                </pic:spPr>
              </pic:pic>
            </a:graphicData>
          </a:graphic>
        </wp:inline>
      </w:drawing>
    </w:r>
    <w:r>
      <w:rPr>
        <w:rFonts w:hint="eastAsia" w:ascii="楷体" w:hAnsi="楷体" w:eastAsia="楷体" w:cs="楷体"/>
        <w:b/>
        <w:bCs/>
        <w:i/>
        <w:iCs/>
        <w:sz w:val="21"/>
        <w:szCs w:val="21"/>
        <w:lang w:val="en-US" w:eastAsia="zh-CN"/>
      </w:rPr>
      <w:t xml:space="preserve"> </w:t>
    </w:r>
    <w:r>
      <w:rPr>
        <w:rFonts w:hint="eastAsia" w:ascii="宋体" w:hAnsi="宋体" w:eastAsia="宋体" w:cs="宋体"/>
        <w:b/>
        <w:bCs/>
        <w:i w:val="0"/>
        <w:iCs w:val="0"/>
        <w:sz w:val="16"/>
        <w:szCs w:val="16"/>
        <w:lang w:val="en-US" w:eastAsia="zh-CN"/>
      </w:rPr>
      <w:t>湖南财正会计师事务所（普通合伙）            邵阳市北塔区医疗保障局</w:t>
    </w:r>
    <w:r>
      <w:rPr>
        <w:rFonts w:hint="default" w:ascii="Times New Roman" w:hAnsi="Times New Roman" w:eastAsia="宋体" w:cs="Times New Roman"/>
        <w:b w:val="0"/>
        <w:bCs w:val="0"/>
        <w:i w:val="0"/>
        <w:iCs w:val="0"/>
        <w:sz w:val="16"/>
        <w:szCs w:val="16"/>
        <w:lang w:val="en-US" w:eastAsia="zh-CN"/>
      </w:rPr>
      <w:t>2022</w:t>
    </w:r>
    <w:r>
      <w:rPr>
        <w:rFonts w:hint="eastAsia" w:ascii="宋体" w:hAnsi="宋体" w:eastAsia="宋体" w:cs="宋体"/>
        <w:b/>
        <w:bCs/>
        <w:i w:val="0"/>
        <w:iCs w:val="0"/>
        <w:sz w:val="16"/>
        <w:szCs w:val="16"/>
        <w:lang w:val="en-US" w:eastAsia="zh-CN"/>
      </w:rPr>
      <w:t>年度部门整体支出绩效评价报告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thickThinLargeGap" w:color="auto" w:sz="4" w:space="1"/>
      </w:pBdr>
      <w:tabs>
        <w:tab w:val="left" w:pos="420"/>
        <w:tab w:val="right" w:pos="9746"/>
      </w:tabs>
      <w:jc w:val="left"/>
      <w:rPr>
        <w:rFonts w:hint="default"/>
        <w:sz w:val="21"/>
        <w:szCs w:val="21"/>
        <w:lang w:val="en-US"/>
      </w:rPr>
    </w:pPr>
    <w:r>
      <w:rPr>
        <w:rFonts w:hint="eastAsia" w:ascii="楷体" w:hAnsi="楷体" w:eastAsia="楷体" w:cs="楷体"/>
        <w:b/>
        <w:bCs/>
        <w:i/>
        <w:iCs/>
        <w:sz w:val="21"/>
        <w:szCs w:val="21"/>
        <w:lang w:val="en-US" w:eastAsia="zh-CN"/>
      </w:rPr>
      <w:drawing>
        <wp:inline distT="0" distB="0" distL="114300" distR="114300">
          <wp:extent cx="213995" cy="215900"/>
          <wp:effectExtent l="0" t="0" r="5080" b="3175"/>
          <wp:docPr id="9"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logo"/>
                  <pic:cNvPicPr>
                    <a:picLocks noChangeAspect="1"/>
                  </pic:cNvPicPr>
                </pic:nvPicPr>
                <pic:blipFill>
                  <a:blip r:embed="rId1"/>
                  <a:stretch>
                    <a:fillRect/>
                  </a:stretch>
                </pic:blipFill>
                <pic:spPr>
                  <a:xfrm>
                    <a:off x="0" y="0"/>
                    <a:ext cx="213995" cy="215900"/>
                  </a:xfrm>
                  <a:prstGeom prst="rect">
                    <a:avLst/>
                  </a:prstGeom>
                  <a:noFill/>
                  <a:ln>
                    <a:noFill/>
                  </a:ln>
                </pic:spPr>
              </pic:pic>
            </a:graphicData>
          </a:graphic>
        </wp:inline>
      </w:drawing>
    </w:r>
    <w:r>
      <w:rPr>
        <w:rFonts w:hint="eastAsia" w:ascii="楷体" w:hAnsi="楷体" w:eastAsia="楷体" w:cs="楷体"/>
        <w:b/>
        <w:bCs/>
        <w:i/>
        <w:iCs/>
        <w:sz w:val="21"/>
        <w:szCs w:val="21"/>
        <w:lang w:val="en-US" w:eastAsia="zh-CN"/>
      </w:rPr>
      <w:t xml:space="preserve"> </w:t>
    </w:r>
    <w:r>
      <w:rPr>
        <w:rFonts w:hint="eastAsia" w:ascii="宋体" w:hAnsi="宋体" w:eastAsia="宋体" w:cs="宋体"/>
        <w:b/>
        <w:bCs/>
        <w:i w:val="0"/>
        <w:iCs w:val="0"/>
        <w:sz w:val="16"/>
        <w:szCs w:val="16"/>
        <w:lang w:val="en-US" w:eastAsia="zh-CN"/>
      </w:rPr>
      <w:t>湖南财正会计师事务所（普通合伙）                                                                                       邵阳市北塔区医疗保障局</w:t>
    </w:r>
    <w:r>
      <w:rPr>
        <w:rFonts w:hint="default" w:ascii="Times New Roman" w:hAnsi="Times New Roman" w:eastAsia="宋体" w:cs="Times New Roman"/>
        <w:b w:val="0"/>
        <w:bCs w:val="0"/>
        <w:i w:val="0"/>
        <w:iCs w:val="0"/>
        <w:sz w:val="16"/>
        <w:szCs w:val="16"/>
        <w:lang w:val="en-US" w:eastAsia="zh-CN"/>
      </w:rPr>
      <w:t>2022</w:t>
    </w:r>
    <w:r>
      <w:rPr>
        <w:rFonts w:hint="eastAsia" w:ascii="宋体" w:hAnsi="宋体" w:eastAsia="宋体" w:cs="宋体"/>
        <w:b/>
        <w:bCs/>
        <w:i w:val="0"/>
        <w:iCs w:val="0"/>
        <w:sz w:val="16"/>
        <w:szCs w:val="16"/>
        <w:lang w:val="en-US" w:eastAsia="zh-CN"/>
      </w:rPr>
      <w:t>年度部门整体支出绩效评价报告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thickThinLargeGap" w:color="auto" w:sz="4" w:space="1"/>
      </w:pBdr>
      <w:tabs>
        <w:tab w:val="left" w:pos="420"/>
        <w:tab w:val="right" w:pos="9746"/>
      </w:tabs>
      <w:jc w:val="left"/>
      <w:rPr>
        <w:rFonts w:hint="default"/>
        <w:sz w:val="21"/>
        <w:szCs w:val="21"/>
        <w:lang w:val="en-US"/>
      </w:rPr>
    </w:pPr>
    <w:r>
      <w:rPr>
        <w:rFonts w:hint="eastAsia" w:ascii="楷体" w:hAnsi="楷体" w:eastAsia="楷体" w:cs="楷体"/>
        <w:b/>
        <w:bCs/>
        <w:i/>
        <w:iCs/>
        <w:sz w:val="21"/>
        <w:szCs w:val="21"/>
        <w:lang w:val="en-US" w:eastAsia="zh-CN"/>
      </w:rPr>
      <w:drawing>
        <wp:inline distT="0" distB="0" distL="114300" distR="114300">
          <wp:extent cx="213995" cy="215900"/>
          <wp:effectExtent l="0" t="0" r="5080" b="3175"/>
          <wp:docPr id="2"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
                  <pic:cNvPicPr>
                    <a:picLocks noChangeAspect="1"/>
                  </pic:cNvPicPr>
                </pic:nvPicPr>
                <pic:blipFill>
                  <a:blip r:embed="rId1"/>
                  <a:stretch>
                    <a:fillRect/>
                  </a:stretch>
                </pic:blipFill>
                <pic:spPr>
                  <a:xfrm>
                    <a:off x="0" y="0"/>
                    <a:ext cx="213995" cy="215900"/>
                  </a:xfrm>
                  <a:prstGeom prst="rect">
                    <a:avLst/>
                  </a:prstGeom>
                  <a:noFill/>
                  <a:ln>
                    <a:noFill/>
                  </a:ln>
                </pic:spPr>
              </pic:pic>
            </a:graphicData>
          </a:graphic>
        </wp:inline>
      </w:drawing>
    </w:r>
    <w:r>
      <w:rPr>
        <w:rFonts w:hint="eastAsia" w:ascii="楷体" w:hAnsi="楷体" w:eastAsia="楷体" w:cs="楷体"/>
        <w:b/>
        <w:bCs/>
        <w:i/>
        <w:iCs/>
        <w:sz w:val="21"/>
        <w:szCs w:val="21"/>
        <w:lang w:val="en-US" w:eastAsia="zh-CN"/>
      </w:rPr>
      <w:t xml:space="preserve"> </w:t>
    </w:r>
    <w:r>
      <w:rPr>
        <w:rFonts w:hint="eastAsia" w:ascii="宋体" w:hAnsi="宋体" w:eastAsia="宋体" w:cs="宋体"/>
        <w:b/>
        <w:bCs/>
        <w:i w:val="0"/>
        <w:iCs w:val="0"/>
        <w:sz w:val="16"/>
        <w:szCs w:val="16"/>
        <w:lang w:val="en-US" w:eastAsia="zh-CN"/>
      </w:rPr>
      <w:t>湖南财正会计师事务所（普通合伙）                     邵阳市北塔区医疗保障局</w:t>
    </w:r>
    <w:r>
      <w:rPr>
        <w:rFonts w:hint="default" w:ascii="Times New Roman" w:hAnsi="Times New Roman" w:eastAsia="宋体" w:cs="Times New Roman"/>
        <w:b w:val="0"/>
        <w:bCs w:val="0"/>
        <w:i w:val="0"/>
        <w:iCs w:val="0"/>
        <w:sz w:val="16"/>
        <w:szCs w:val="16"/>
        <w:lang w:val="en-US" w:eastAsia="zh-CN"/>
      </w:rPr>
      <w:t>2022</w:t>
    </w:r>
    <w:r>
      <w:rPr>
        <w:rFonts w:hint="eastAsia" w:ascii="宋体" w:hAnsi="宋体" w:eastAsia="宋体" w:cs="宋体"/>
        <w:b/>
        <w:bCs/>
        <w:i w:val="0"/>
        <w:iCs w:val="0"/>
        <w:sz w:val="16"/>
        <w:szCs w:val="16"/>
        <w:lang w:val="en-US" w:eastAsia="zh-CN"/>
      </w:rPr>
      <w:t>年度部门整体支出绩效评价报告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wZmM1NmQ5MmM2YjMyZmMwZTU5NWJjNzEzM2VlNGQifQ=="/>
  </w:docVars>
  <w:rsids>
    <w:rsidRoot w:val="00000000"/>
    <w:rsid w:val="003449EF"/>
    <w:rsid w:val="003D21B2"/>
    <w:rsid w:val="00A83AD0"/>
    <w:rsid w:val="00D42B17"/>
    <w:rsid w:val="00D64AE1"/>
    <w:rsid w:val="00F700A8"/>
    <w:rsid w:val="01031033"/>
    <w:rsid w:val="01070A50"/>
    <w:rsid w:val="01141165"/>
    <w:rsid w:val="015107AC"/>
    <w:rsid w:val="015D63FC"/>
    <w:rsid w:val="01722330"/>
    <w:rsid w:val="019138A1"/>
    <w:rsid w:val="0194120E"/>
    <w:rsid w:val="01941529"/>
    <w:rsid w:val="01B54127"/>
    <w:rsid w:val="01DD36AA"/>
    <w:rsid w:val="01DE3C65"/>
    <w:rsid w:val="01FD29C4"/>
    <w:rsid w:val="01FD7E4B"/>
    <w:rsid w:val="02092C94"/>
    <w:rsid w:val="021653B1"/>
    <w:rsid w:val="023A2E4D"/>
    <w:rsid w:val="024C0DD3"/>
    <w:rsid w:val="02533F0F"/>
    <w:rsid w:val="02A767F1"/>
    <w:rsid w:val="02B4470B"/>
    <w:rsid w:val="02BD79F4"/>
    <w:rsid w:val="02D3485F"/>
    <w:rsid w:val="030A17AF"/>
    <w:rsid w:val="034C2738"/>
    <w:rsid w:val="035B53EC"/>
    <w:rsid w:val="037B7F18"/>
    <w:rsid w:val="039E5752"/>
    <w:rsid w:val="03A04F32"/>
    <w:rsid w:val="03CD3298"/>
    <w:rsid w:val="0486237A"/>
    <w:rsid w:val="049329AF"/>
    <w:rsid w:val="049F51EA"/>
    <w:rsid w:val="04A44EF6"/>
    <w:rsid w:val="04CB4231"/>
    <w:rsid w:val="04D46306"/>
    <w:rsid w:val="04EF3743"/>
    <w:rsid w:val="04F33A06"/>
    <w:rsid w:val="05310411"/>
    <w:rsid w:val="0580501B"/>
    <w:rsid w:val="05A16753"/>
    <w:rsid w:val="05E30782"/>
    <w:rsid w:val="05FD4158"/>
    <w:rsid w:val="06021276"/>
    <w:rsid w:val="060317A8"/>
    <w:rsid w:val="061D0ABC"/>
    <w:rsid w:val="06540256"/>
    <w:rsid w:val="0664493D"/>
    <w:rsid w:val="06BE710D"/>
    <w:rsid w:val="06DC2725"/>
    <w:rsid w:val="06ED486D"/>
    <w:rsid w:val="06F2601B"/>
    <w:rsid w:val="07283BBC"/>
    <w:rsid w:val="072B6F49"/>
    <w:rsid w:val="07342561"/>
    <w:rsid w:val="07372051"/>
    <w:rsid w:val="073E6F3C"/>
    <w:rsid w:val="07667BB2"/>
    <w:rsid w:val="078828AD"/>
    <w:rsid w:val="07BE1E2B"/>
    <w:rsid w:val="082223BA"/>
    <w:rsid w:val="087A7807"/>
    <w:rsid w:val="08A22B63"/>
    <w:rsid w:val="08E41D65"/>
    <w:rsid w:val="09AF2373"/>
    <w:rsid w:val="09C825A5"/>
    <w:rsid w:val="0A41622F"/>
    <w:rsid w:val="0A4C309B"/>
    <w:rsid w:val="0A7964DD"/>
    <w:rsid w:val="0AB32F67"/>
    <w:rsid w:val="0AC2018B"/>
    <w:rsid w:val="0AD86622"/>
    <w:rsid w:val="0AFA5870"/>
    <w:rsid w:val="0B1F5477"/>
    <w:rsid w:val="0B271B04"/>
    <w:rsid w:val="0B440899"/>
    <w:rsid w:val="0B4B7E79"/>
    <w:rsid w:val="0B554854"/>
    <w:rsid w:val="0B7D3DAB"/>
    <w:rsid w:val="0B8F4572"/>
    <w:rsid w:val="0BC419DA"/>
    <w:rsid w:val="0C8373CF"/>
    <w:rsid w:val="0CB51A76"/>
    <w:rsid w:val="0D5E4A89"/>
    <w:rsid w:val="0D614217"/>
    <w:rsid w:val="0DA91778"/>
    <w:rsid w:val="0DB53CD0"/>
    <w:rsid w:val="0DBC0BBA"/>
    <w:rsid w:val="0DF57489"/>
    <w:rsid w:val="0E625C06"/>
    <w:rsid w:val="0E871098"/>
    <w:rsid w:val="0EAE1417"/>
    <w:rsid w:val="0F3E4E43"/>
    <w:rsid w:val="0F503CB0"/>
    <w:rsid w:val="0FAF0E26"/>
    <w:rsid w:val="0FD038C7"/>
    <w:rsid w:val="0FDD4B1F"/>
    <w:rsid w:val="0FE8038D"/>
    <w:rsid w:val="10262C63"/>
    <w:rsid w:val="103435D2"/>
    <w:rsid w:val="105709C9"/>
    <w:rsid w:val="10B23618"/>
    <w:rsid w:val="10B77D5F"/>
    <w:rsid w:val="10BA0895"/>
    <w:rsid w:val="10C84C25"/>
    <w:rsid w:val="10D64689"/>
    <w:rsid w:val="11075191"/>
    <w:rsid w:val="11145517"/>
    <w:rsid w:val="111D5D5A"/>
    <w:rsid w:val="111E1B8C"/>
    <w:rsid w:val="1162031D"/>
    <w:rsid w:val="11A036CE"/>
    <w:rsid w:val="123A47A4"/>
    <w:rsid w:val="125F76F2"/>
    <w:rsid w:val="12962DFA"/>
    <w:rsid w:val="12A10652"/>
    <w:rsid w:val="12C125EC"/>
    <w:rsid w:val="12FB1166"/>
    <w:rsid w:val="12FE566B"/>
    <w:rsid w:val="134F2A5F"/>
    <w:rsid w:val="13616C00"/>
    <w:rsid w:val="13A30C34"/>
    <w:rsid w:val="13AD711E"/>
    <w:rsid w:val="13E21B19"/>
    <w:rsid w:val="144831DD"/>
    <w:rsid w:val="14494352"/>
    <w:rsid w:val="14520243"/>
    <w:rsid w:val="148443FC"/>
    <w:rsid w:val="14A867BA"/>
    <w:rsid w:val="14C83B63"/>
    <w:rsid w:val="14E56EB1"/>
    <w:rsid w:val="151A3A77"/>
    <w:rsid w:val="156644E7"/>
    <w:rsid w:val="157601E9"/>
    <w:rsid w:val="158D5230"/>
    <w:rsid w:val="159927CF"/>
    <w:rsid w:val="15D95C1C"/>
    <w:rsid w:val="15DF178B"/>
    <w:rsid w:val="16223ECC"/>
    <w:rsid w:val="1625781F"/>
    <w:rsid w:val="162D4C24"/>
    <w:rsid w:val="16445B83"/>
    <w:rsid w:val="165A5414"/>
    <w:rsid w:val="16704559"/>
    <w:rsid w:val="167D1103"/>
    <w:rsid w:val="16A3500D"/>
    <w:rsid w:val="16C17241"/>
    <w:rsid w:val="16FB6BF7"/>
    <w:rsid w:val="170F4451"/>
    <w:rsid w:val="174001E4"/>
    <w:rsid w:val="176B182A"/>
    <w:rsid w:val="17740758"/>
    <w:rsid w:val="179A45B6"/>
    <w:rsid w:val="17A75370"/>
    <w:rsid w:val="17B7378B"/>
    <w:rsid w:val="17BA172D"/>
    <w:rsid w:val="17DF2A99"/>
    <w:rsid w:val="17EA4F97"/>
    <w:rsid w:val="17F17FFA"/>
    <w:rsid w:val="181F0F4A"/>
    <w:rsid w:val="18334F9A"/>
    <w:rsid w:val="183C062F"/>
    <w:rsid w:val="185C1EE0"/>
    <w:rsid w:val="185E6EB6"/>
    <w:rsid w:val="18AE6DE7"/>
    <w:rsid w:val="18CC15ED"/>
    <w:rsid w:val="18E84F59"/>
    <w:rsid w:val="190C4F45"/>
    <w:rsid w:val="1969191D"/>
    <w:rsid w:val="196B4518"/>
    <w:rsid w:val="198A392A"/>
    <w:rsid w:val="19A20B4F"/>
    <w:rsid w:val="19B72B7E"/>
    <w:rsid w:val="19C5236C"/>
    <w:rsid w:val="19FB6F0E"/>
    <w:rsid w:val="1A00180A"/>
    <w:rsid w:val="1A21439C"/>
    <w:rsid w:val="1AB1581F"/>
    <w:rsid w:val="1AC0098C"/>
    <w:rsid w:val="1AFD2812"/>
    <w:rsid w:val="1B0758FD"/>
    <w:rsid w:val="1B204EAB"/>
    <w:rsid w:val="1B2472E9"/>
    <w:rsid w:val="1B423001"/>
    <w:rsid w:val="1B813443"/>
    <w:rsid w:val="1C60574F"/>
    <w:rsid w:val="1C754516"/>
    <w:rsid w:val="1C96585A"/>
    <w:rsid w:val="1CAA0778"/>
    <w:rsid w:val="1CC64099"/>
    <w:rsid w:val="1CE9788F"/>
    <w:rsid w:val="1D226B12"/>
    <w:rsid w:val="1D496DC2"/>
    <w:rsid w:val="1DA17DCD"/>
    <w:rsid w:val="1E073968"/>
    <w:rsid w:val="1E2E729A"/>
    <w:rsid w:val="1E591960"/>
    <w:rsid w:val="1E5D6DE0"/>
    <w:rsid w:val="1E5E4D57"/>
    <w:rsid w:val="1E69544E"/>
    <w:rsid w:val="1EC30786"/>
    <w:rsid w:val="1ED16490"/>
    <w:rsid w:val="1EF77EF6"/>
    <w:rsid w:val="1EFF4D1E"/>
    <w:rsid w:val="1F4D78E4"/>
    <w:rsid w:val="1F503DF8"/>
    <w:rsid w:val="1F5E41C7"/>
    <w:rsid w:val="1FA228EE"/>
    <w:rsid w:val="2034767B"/>
    <w:rsid w:val="20710D0B"/>
    <w:rsid w:val="20954610"/>
    <w:rsid w:val="20F72930"/>
    <w:rsid w:val="21352A19"/>
    <w:rsid w:val="21985D98"/>
    <w:rsid w:val="21A26717"/>
    <w:rsid w:val="21C32917"/>
    <w:rsid w:val="21FF14CD"/>
    <w:rsid w:val="223E5BEA"/>
    <w:rsid w:val="22433200"/>
    <w:rsid w:val="2267625F"/>
    <w:rsid w:val="22A85759"/>
    <w:rsid w:val="22E845A7"/>
    <w:rsid w:val="22F10B70"/>
    <w:rsid w:val="23027D5E"/>
    <w:rsid w:val="2303007B"/>
    <w:rsid w:val="239758BD"/>
    <w:rsid w:val="23AF6E65"/>
    <w:rsid w:val="23E50309"/>
    <w:rsid w:val="24197AF2"/>
    <w:rsid w:val="24233E34"/>
    <w:rsid w:val="243A0633"/>
    <w:rsid w:val="2496290D"/>
    <w:rsid w:val="24B12ABC"/>
    <w:rsid w:val="24B228BF"/>
    <w:rsid w:val="25441520"/>
    <w:rsid w:val="254D7F7A"/>
    <w:rsid w:val="25D41548"/>
    <w:rsid w:val="25D66AB7"/>
    <w:rsid w:val="25E371D4"/>
    <w:rsid w:val="26095B77"/>
    <w:rsid w:val="26154EB4"/>
    <w:rsid w:val="264D28A0"/>
    <w:rsid w:val="26521602"/>
    <w:rsid w:val="26A338B2"/>
    <w:rsid w:val="26CA167A"/>
    <w:rsid w:val="271C503E"/>
    <w:rsid w:val="27201D62"/>
    <w:rsid w:val="27472FDF"/>
    <w:rsid w:val="27612030"/>
    <w:rsid w:val="27624C01"/>
    <w:rsid w:val="276F7F3A"/>
    <w:rsid w:val="27A110F5"/>
    <w:rsid w:val="27AC7A9A"/>
    <w:rsid w:val="27D55D47"/>
    <w:rsid w:val="27E15995"/>
    <w:rsid w:val="27F07987"/>
    <w:rsid w:val="27FD4DB1"/>
    <w:rsid w:val="281D55C8"/>
    <w:rsid w:val="28CF4308"/>
    <w:rsid w:val="28DD7B11"/>
    <w:rsid w:val="29354D1A"/>
    <w:rsid w:val="293D2493"/>
    <w:rsid w:val="296C5733"/>
    <w:rsid w:val="29AA1DB7"/>
    <w:rsid w:val="29B641A3"/>
    <w:rsid w:val="29FA2D3E"/>
    <w:rsid w:val="29FD282F"/>
    <w:rsid w:val="2A0F07CB"/>
    <w:rsid w:val="2A42251A"/>
    <w:rsid w:val="2A672779"/>
    <w:rsid w:val="2ACF5971"/>
    <w:rsid w:val="2AF46052"/>
    <w:rsid w:val="2BB60EE7"/>
    <w:rsid w:val="2BC538CE"/>
    <w:rsid w:val="2BC64379"/>
    <w:rsid w:val="2BD903BF"/>
    <w:rsid w:val="2BF0285A"/>
    <w:rsid w:val="2C025EDA"/>
    <w:rsid w:val="2C153E60"/>
    <w:rsid w:val="2C2B7E03"/>
    <w:rsid w:val="2C817A09"/>
    <w:rsid w:val="2C877DC8"/>
    <w:rsid w:val="2CD8457F"/>
    <w:rsid w:val="2D293ED8"/>
    <w:rsid w:val="2D4B16D2"/>
    <w:rsid w:val="2D616BC2"/>
    <w:rsid w:val="2E9F3EB4"/>
    <w:rsid w:val="2EB3170E"/>
    <w:rsid w:val="2F0D5D93"/>
    <w:rsid w:val="2F406891"/>
    <w:rsid w:val="2FD91648"/>
    <w:rsid w:val="2FE21531"/>
    <w:rsid w:val="2FE91CEC"/>
    <w:rsid w:val="2FFFDD82"/>
    <w:rsid w:val="30634296"/>
    <w:rsid w:val="306E0B42"/>
    <w:rsid w:val="307B199E"/>
    <w:rsid w:val="30A36FF1"/>
    <w:rsid w:val="30BC4A8F"/>
    <w:rsid w:val="30C23098"/>
    <w:rsid w:val="30EB45DA"/>
    <w:rsid w:val="30FF1132"/>
    <w:rsid w:val="30FF63EF"/>
    <w:rsid w:val="310D4304"/>
    <w:rsid w:val="312525F7"/>
    <w:rsid w:val="314D2F38"/>
    <w:rsid w:val="317E24A7"/>
    <w:rsid w:val="318A2BFA"/>
    <w:rsid w:val="31AF08B2"/>
    <w:rsid w:val="31CC4FC0"/>
    <w:rsid w:val="31EF4AA0"/>
    <w:rsid w:val="31F7433A"/>
    <w:rsid w:val="3253409F"/>
    <w:rsid w:val="325E6415"/>
    <w:rsid w:val="32803FFD"/>
    <w:rsid w:val="328A4FE6"/>
    <w:rsid w:val="32953ED5"/>
    <w:rsid w:val="32C75788"/>
    <w:rsid w:val="33193D6E"/>
    <w:rsid w:val="3321758E"/>
    <w:rsid w:val="33916868"/>
    <w:rsid w:val="33CB74FA"/>
    <w:rsid w:val="342C7F98"/>
    <w:rsid w:val="344D7F0F"/>
    <w:rsid w:val="345E3ECA"/>
    <w:rsid w:val="346F60D7"/>
    <w:rsid w:val="34894BBA"/>
    <w:rsid w:val="34A02734"/>
    <w:rsid w:val="34B044FD"/>
    <w:rsid w:val="34F34F5A"/>
    <w:rsid w:val="34F82570"/>
    <w:rsid w:val="352300D8"/>
    <w:rsid w:val="3546372A"/>
    <w:rsid w:val="355E0625"/>
    <w:rsid w:val="35B71AE4"/>
    <w:rsid w:val="35BE2E72"/>
    <w:rsid w:val="35D8677A"/>
    <w:rsid w:val="360B0496"/>
    <w:rsid w:val="36211653"/>
    <w:rsid w:val="36780E50"/>
    <w:rsid w:val="36BF4B72"/>
    <w:rsid w:val="36C62378"/>
    <w:rsid w:val="36E91C82"/>
    <w:rsid w:val="36F92F47"/>
    <w:rsid w:val="376A752C"/>
    <w:rsid w:val="38031EDD"/>
    <w:rsid w:val="38033923"/>
    <w:rsid w:val="38051BB9"/>
    <w:rsid w:val="38080D1C"/>
    <w:rsid w:val="3819279E"/>
    <w:rsid w:val="38366EFB"/>
    <w:rsid w:val="383E029A"/>
    <w:rsid w:val="384B29B7"/>
    <w:rsid w:val="38BC1BDC"/>
    <w:rsid w:val="38E87BBB"/>
    <w:rsid w:val="390239BE"/>
    <w:rsid w:val="390E32F6"/>
    <w:rsid w:val="3914549F"/>
    <w:rsid w:val="392D1322"/>
    <w:rsid w:val="39AB434B"/>
    <w:rsid w:val="39B4157B"/>
    <w:rsid w:val="39BD44BE"/>
    <w:rsid w:val="39E41149"/>
    <w:rsid w:val="39EB26A4"/>
    <w:rsid w:val="39FC6ECE"/>
    <w:rsid w:val="3A3F654C"/>
    <w:rsid w:val="3A5A25A6"/>
    <w:rsid w:val="3A726921"/>
    <w:rsid w:val="3AD575DA"/>
    <w:rsid w:val="3AEE41FA"/>
    <w:rsid w:val="3B7010B2"/>
    <w:rsid w:val="3BAF0C04"/>
    <w:rsid w:val="3C030EA1"/>
    <w:rsid w:val="3C073192"/>
    <w:rsid w:val="3C0B3260"/>
    <w:rsid w:val="3C237ED3"/>
    <w:rsid w:val="3C26744A"/>
    <w:rsid w:val="3C2C3893"/>
    <w:rsid w:val="3C430575"/>
    <w:rsid w:val="3C4349FB"/>
    <w:rsid w:val="3C5B6705"/>
    <w:rsid w:val="3CB472A8"/>
    <w:rsid w:val="3CE44D6B"/>
    <w:rsid w:val="3D0D1C09"/>
    <w:rsid w:val="3D101FEB"/>
    <w:rsid w:val="3D1B75AF"/>
    <w:rsid w:val="3D251A29"/>
    <w:rsid w:val="3DE03BA2"/>
    <w:rsid w:val="3DE96EFA"/>
    <w:rsid w:val="3E1C107E"/>
    <w:rsid w:val="3EB9054F"/>
    <w:rsid w:val="3EC86B10"/>
    <w:rsid w:val="3ED41E38"/>
    <w:rsid w:val="3EEECE1A"/>
    <w:rsid w:val="3F9904AC"/>
    <w:rsid w:val="3FF35426"/>
    <w:rsid w:val="401C181E"/>
    <w:rsid w:val="40560AE5"/>
    <w:rsid w:val="409E1999"/>
    <w:rsid w:val="40CD48B8"/>
    <w:rsid w:val="40E340D5"/>
    <w:rsid w:val="40F005A0"/>
    <w:rsid w:val="41063629"/>
    <w:rsid w:val="414C1C7A"/>
    <w:rsid w:val="41582048"/>
    <w:rsid w:val="41653AC2"/>
    <w:rsid w:val="41797F24"/>
    <w:rsid w:val="41A25F3E"/>
    <w:rsid w:val="41A270E3"/>
    <w:rsid w:val="41AC70DE"/>
    <w:rsid w:val="41B0748D"/>
    <w:rsid w:val="41F2582A"/>
    <w:rsid w:val="42003582"/>
    <w:rsid w:val="42EF1C2D"/>
    <w:rsid w:val="432B3B11"/>
    <w:rsid w:val="43503F67"/>
    <w:rsid w:val="43807133"/>
    <w:rsid w:val="438644B5"/>
    <w:rsid w:val="44544A76"/>
    <w:rsid w:val="448E1010"/>
    <w:rsid w:val="44E4666D"/>
    <w:rsid w:val="44EE42A1"/>
    <w:rsid w:val="45877724"/>
    <w:rsid w:val="45AC4E6E"/>
    <w:rsid w:val="45B20519"/>
    <w:rsid w:val="45F90867"/>
    <w:rsid w:val="460C7193"/>
    <w:rsid w:val="4642189D"/>
    <w:rsid w:val="467852BF"/>
    <w:rsid w:val="46805F22"/>
    <w:rsid w:val="4683047E"/>
    <w:rsid w:val="47541888"/>
    <w:rsid w:val="479A2668"/>
    <w:rsid w:val="47AA2B40"/>
    <w:rsid w:val="47AC326C"/>
    <w:rsid w:val="47C415B1"/>
    <w:rsid w:val="48DF33D4"/>
    <w:rsid w:val="492F31C0"/>
    <w:rsid w:val="49301E81"/>
    <w:rsid w:val="494557C4"/>
    <w:rsid w:val="49966F85"/>
    <w:rsid w:val="49C8593B"/>
    <w:rsid w:val="4A110D60"/>
    <w:rsid w:val="4A7D10F6"/>
    <w:rsid w:val="4AAC42E7"/>
    <w:rsid w:val="4AD221CC"/>
    <w:rsid w:val="4AD64F49"/>
    <w:rsid w:val="4B5D6832"/>
    <w:rsid w:val="4B9934BC"/>
    <w:rsid w:val="4BA234C7"/>
    <w:rsid w:val="4BBC0E50"/>
    <w:rsid w:val="4BE62CCB"/>
    <w:rsid w:val="4BEF12BE"/>
    <w:rsid w:val="4C34368B"/>
    <w:rsid w:val="4CB701C3"/>
    <w:rsid w:val="4CBE72DA"/>
    <w:rsid w:val="4CF542D3"/>
    <w:rsid w:val="4D021D86"/>
    <w:rsid w:val="4D066599"/>
    <w:rsid w:val="4D1220A6"/>
    <w:rsid w:val="4D9218E1"/>
    <w:rsid w:val="4DC4504D"/>
    <w:rsid w:val="4DC64B62"/>
    <w:rsid w:val="4DC95567"/>
    <w:rsid w:val="4DD42A2F"/>
    <w:rsid w:val="4E2078E8"/>
    <w:rsid w:val="4E3C6D60"/>
    <w:rsid w:val="4E4C6AC5"/>
    <w:rsid w:val="4E5E7C38"/>
    <w:rsid w:val="4E685B94"/>
    <w:rsid w:val="4E8005CA"/>
    <w:rsid w:val="4F226D6F"/>
    <w:rsid w:val="4F6E725F"/>
    <w:rsid w:val="4FC43C9F"/>
    <w:rsid w:val="4FD176D0"/>
    <w:rsid w:val="4FE51205"/>
    <w:rsid w:val="4FF43314"/>
    <w:rsid w:val="5026374E"/>
    <w:rsid w:val="505910FD"/>
    <w:rsid w:val="505D1E8E"/>
    <w:rsid w:val="507E55A3"/>
    <w:rsid w:val="50877CF3"/>
    <w:rsid w:val="508D5E0B"/>
    <w:rsid w:val="509B1CB1"/>
    <w:rsid w:val="50B37D27"/>
    <w:rsid w:val="50BE1397"/>
    <w:rsid w:val="50C40DD7"/>
    <w:rsid w:val="50EA2AF2"/>
    <w:rsid w:val="518A2886"/>
    <w:rsid w:val="519F0328"/>
    <w:rsid w:val="51EE6435"/>
    <w:rsid w:val="5273781C"/>
    <w:rsid w:val="528D62B1"/>
    <w:rsid w:val="52F925D0"/>
    <w:rsid w:val="532E399E"/>
    <w:rsid w:val="53344B2D"/>
    <w:rsid w:val="53364538"/>
    <w:rsid w:val="53782DBB"/>
    <w:rsid w:val="53AE40CE"/>
    <w:rsid w:val="540006A2"/>
    <w:rsid w:val="54024923"/>
    <w:rsid w:val="5474356A"/>
    <w:rsid w:val="54C54DE0"/>
    <w:rsid w:val="54F503EE"/>
    <w:rsid w:val="550B7056"/>
    <w:rsid w:val="55364B38"/>
    <w:rsid w:val="555D52FB"/>
    <w:rsid w:val="559534D4"/>
    <w:rsid w:val="55A84374"/>
    <w:rsid w:val="55AB1785"/>
    <w:rsid w:val="55E04545"/>
    <w:rsid w:val="55EA5046"/>
    <w:rsid w:val="561D19DF"/>
    <w:rsid w:val="56200FBF"/>
    <w:rsid w:val="562821FE"/>
    <w:rsid w:val="565418A0"/>
    <w:rsid w:val="568832FC"/>
    <w:rsid w:val="56A44031"/>
    <w:rsid w:val="56A85AB0"/>
    <w:rsid w:val="56B714EC"/>
    <w:rsid w:val="56DC53F6"/>
    <w:rsid w:val="56FC2A7A"/>
    <w:rsid w:val="57047689"/>
    <w:rsid w:val="572333E8"/>
    <w:rsid w:val="57533BD6"/>
    <w:rsid w:val="57713D91"/>
    <w:rsid w:val="579E28D1"/>
    <w:rsid w:val="57AC6B77"/>
    <w:rsid w:val="57F77651"/>
    <w:rsid w:val="581F1BD6"/>
    <w:rsid w:val="583E7E63"/>
    <w:rsid w:val="584056FE"/>
    <w:rsid w:val="5846521D"/>
    <w:rsid w:val="584766AC"/>
    <w:rsid w:val="58887411"/>
    <w:rsid w:val="58F632BA"/>
    <w:rsid w:val="594B0611"/>
    <w:rsid w:val="59653481"/>
    <w:rsid w:val="59C44A38"/>
    <w:rsid w:val="59D16D68"/>
    <w:rsid w:val="59FA694D"/>
    <w:rsid w:val="5A8C6946"/>
    <w:rsid w:val="5AEB5C08"/>
    <w:rsid w:val="5AFB5A70"/>
    <w:rsid w:val="5B043B8C"/>
    <w:rsid w:val="5B700A53"/>
    <w:rsid w:val="5B914A01"/>
    <w:rsid w:val="5B9F1014"/>
    <w:rsid w:val="5BF27270"/>
    <w:rsid w:val="5C0E0752"/>
    <w:rsid w:val="5C0F4C20"/>
    <w:rsid w:val="5C383A38"/>
    <w:rsid w:val="5C9F6485"/>
    <w:rsid w:val="5CC02802"/>
    <w:rsid w:val="5D0E613A"/>
    <w:rsid w:val="5D4635C9"/>
    <w:rsid w:val="5D535CE6"/>
    <w:rsid w:val="5D70031C"/>
    <w:rsid w:val="5D791FAA"/>
    <w:rsid w:val="5DAE574E"/>
    <w:rsid w:val="5DEA2501"/>
    <w:rsid w:val="5E331DA0"/>
    <w:rsid w:val="5E4D76A5"/>
    <w:rsid w:val="5E5166CA"/>
    <w:rsid w:val="5E780E5B"/>
    <w:rsid w:val="5EB50A07"/>
    <w:rsid w:val="5EC2182D"/>
    <w:rsid w:val="5EE412EC"/>
    <w:rsid w:val="5EE94600"/>
    <w:rsid w:val="5F36141C"/>
    <w:rsid w:val="5F447FDD"/>
    <w:rsid w:val="5F60062F"/>
    <w:rsid w:val="5F70492E"/>
    <w:rsid w:val="5F721217"/>
    <w:rsid w:val="5F8B1768"/>
    <w:rsid w:val="5F985888"/>
    <w:rsid w:val="5FC34395"/>
    <w:rsid w:val="5FF94923"/>
    <w:rsid w:val="602337DF"/>
    <w:rsid w:val="60563B24"/>
    <w:rsid w:val="60827C2A"/>
    <w:rsid w:val="60CA4515"/>
    <w:rsid w:val="61110B23"/>
    <w:rsid w:val="61164429"/>
    <w:rsid w:val="614C769B"/>
    <w:rsid w:val="616D0E9D"/>
    <w:rsid w:val="6181227D"/>
    <w:rsid w:val="61D95824"/>
    <w:rsid w:val="61DF4F25"/>
    <w:rsid w:val="622639C9"/>
    <w:rsid w:val="623615CA"/>
    <w:rsid w:val="6239194F"/>
    <w:rsid w:val="623B528F"/>
    <w:rsid w:val="624E2A9B"/>
    <w:rsid w:val="62824F6D"/>
    <w:rsid w:val="62AF7F3F"/>
    <w:rsid w:val="62B337E3"/>
    <w:rsid w:val="62CF7BBD"/>
    <w:rsid w:val="630272DB"/>
    <w:rsid w:val="63270E30"/>
    <w:rsid w:val="634702E2"/>
    <w:rsid w:val="63617B43"/>
    <w:rsid w:val="63857C95"/>
    <w:rsid w:val="641E63C8"/>
    <w:rsid w:val="649102B0"/>
    <w:rsid w:val="64A659DF"/>
    <w:rsid w:val="64AD2180"/>
    <w:rsid w:val="64AF5EF8"/>
    <w:rsid w:val="64BA66CA"/>
    <w:rsid w:val="64C34049"/>
    <w:rsid w:val="65513A47"/>
    <w:rsid w:val="658E038D"/>
    <w:rsid w:val="659C3ABC"/>
    <w:rsid w:val="659F2386"/>
    <w:rsid w:val="661F2C0A"/>
    <w:rsid w:val="661F4759"/>
    <w:rsid w:val="66402BC6"/>
    <w:rsid w:val="66835660"/>
    <w:rsid w:val="66AF21DF"/>
    <w:rsid w:val="66D86EEC"/>
    <w:rsid w:val="67034F8B"/>
    <w:rsid w:val="673B1CC5"/>
    <w:rsid w:val="67691A21"/>
    <w:rsid w:val="6795184E"/>
    <w:rsid w:val="679F2254"/>
    <w:rsid w:val="67CA42A6"/>
    <w:rsid w:val="67D320AA"/>
    <w:rsid w:val="68150176"/>
    <w:rsid w:val="683913C9"/>
    <w:rsid w:val="683A27FC"/>
    <w:rsid w:val="688431F8"/>
    <w:rsid w:val="68B27D65"/>
    <w:rsid w:val="693B3D95"/>
    <w:rsid w:val="69C2588F"/>
    <w:rsid w:val="69DF38CB"/>
    <w:rsid w:val="69EF4666"/>
    <w:rsid w:val="69FC6B39"/>
    <w:rsid w:val="6A190855"/>
    <w:rsid w:val="6A1D029D"/>
    <w:rsid w:val="6A2309CD"/>
    <w:rsid w:val="6A582B8E"/>
    <w:rsid w:val="6A615EE7"/>
    <w:rsid w:val="6A701C86"/>
    <w:rsid w:val="6AA933EA"/>
    <w:rsid w:val="6AFF6C91"/>
    <w:rsid w:val="6B5748D8"/>
    <w:rsid w:val="6B881251"/>
    <w:rsid w:val="6B916DF5"/>
    <w:rsid w:val="6C103720"/>
    <w:rsid w:val="6C1C5489"/>
    <w:rsid w:val="6C2F7E97"/>
    <w:rsid w:val="6C3F5DB4"/>
    <w:rsid w:val="6CC0205D"/>
    <w:rsid w:val="6CC91D04"/>
    <w:rsid w:val="6CEC143C"/>
    <w:rsid w:val="6D09032B"/>
    <w:rsid w:val="6D0931DE"/>
    <w:rsid w:val="6D404752"/>
    <w:rsid w:val="6D6668C3"/>
    <w:rsid w:val="6D7B106D"/>
    <w:rsid w:val="6D9051A0"/>
    <w:rsid w:val="6D9914F3"/>
    <w:rsid w:val="6DB279DA"/>
    <w:rsid w:val="6E393953"/>
    <w:rsid w:val="6E410F16"/>
    <w:rsid w:val="6E644211"/>
    <w:rsid w:val="6E7B0A0C"/>
    <w:rsid w:val="6EA21699"/>
    <w:rsid w:val="6EEF24A9"/>
    <w:rsid w:val="6F027AF7"/>
    <w:rsid w:val="6F26325B"/>
    <w:rsid w:val="6F6C2268"/>
    <w:rsid w:val="6F6F69B0"/>
    <w:rsid w:val="6F8F06D9"/>
    <w:rsid w:val="6F9C351D"/>
    <w:rsid w:val="6F9E2305"/>
    <w:rsid w:val="6FAA0C45"/>
    <w:rsid w:val="6FCC337B"/>
    <w:rsid w:val="6FD76303"/>
    <w:rsid w:val="6FD7CA27"/>
    <w:rsid w:val="6FE729EA"/>
    <w:rsid w:val="6FEF189F"/>
    <w:rsid w:val="700B6747"/>
    <w:rsid w:val="70801449"/>
    <w:rsid w:val="70933881"/>
    <w:rsid w:val="709F4389"/>
    <w:rsid w:val="70AE65AA"/>
    <w:rsid w:val="70B5428E"/>
    <w:rsid w:val="70D93F49"/>
    <w:rsid w:val="70E128AC"/>
    <w:rsid w:val="70E1634E"/>
    <w:rsid w:val="70FF2AA0"/>
    <w:rsid w:val="71107D1F"/>
    <w:rsid w:val="71316D8D"/>
    <w:rsid w:val="715F4802"/>
    <w:rsid w:val="71654D19"/>
    <w:rsid w:val="71904F75"/>
    <w:rsid w:val="71A768D5"/>
    <w:rsid w:val="71E66C33"/>
    <w:rsid w:val="72113B59"/>
    <w:rsid w:val="72205CFE"/>
    <w:rsid w:val="72336342"/>
    <w:rsid w:val="72676064"/>
    <w:rsid w:val="72842772"/>
    <w:rsid w:val="72844C7D"/>
    <w:rsid w:val="72A36BE8"/>
    <w:rsid w:val="72D54ABB"/>
    <w:rsid w:val="72D92BEE"/>
    <w:rsid w:val="72E421B6"/>
    <w:rsid w:val="72FF3958"/>
    <w:rsid w:val="73193F46"/>
    <w:rsid w:val="731D4975"/>
    <w:rsid w:val="734903DF"/>
    <w:rsid w:val="73BE7F06"/>
    <w:rsid w:val="73CD3228"/>
    <w:rsid w:val="73E3796C"/>
    <w:rsid w:val="74134DFB"/>
    <w:rsid w:val="7419513C"/>
    <w:rsid w:val="742D3D9C"/>
    <w:rsid w:val="74387CB8"/>
    <w:rsid w:val="745B25CA"/>
    <w:rsid w:val="74A06616"/>
    <w:rsid w:val="74AE1D28"/>
    <w:rsid w:val="74C55995"/>
    <w:rsid w:val="74FD49B7"/>
    <w:rsid w:val="7586788F"/>
    <w:rsid w:val="75C86411"/>
    <w:rsid w:val="76237386"/>
    <w:rsid w:val="762B7F17"/>
    <w:rsid w:val="76317141"/>
    <w:rsid w:val="765B1A3C"/>
    <w:rsid w:val="769907B6"/>
    <w:rsid w:val="76DB2A57"/>
    <w:rsid w:val="771147F0"/>
    <w:rsid w:val="777F1209"/>
    <w:rsid w:val="778D36DC"/>
    <w:rsid w:val="77FFE807"/>
    <w:rsid w:val="782E0EB8"/>
    <w:rsid w:val="783B1B25"/>
    <w:rsid w:val="784328C1"/>
    <w:rsid w:val="78DA1D7B"/>
    <w:rsid w:val="78F13662"/>
    <w:rsid w:val="793E7C5B"/>
    <w:rsid w:val="7955517B"/>
    <w:rsid w:val="79560DFC"/>
    <w:rsid w:val="79570BE0"/>
    <w:rsid w:val="79674B9C"/>
    <w:rsid w:val="798B6ADC"/>
    <w:rsid w:val="79A25BD4"/>
    <w:rsid w:val="79AC1FDF"/>
    <w:rsid w:val="79BA4CCB"/>
    <w:rsid w:val="79BC1425"/>
    <w:rsid w:val="79EB1329"/>
    <w:rsid w:val="7A1C75A3"/>
    <w:rsid w:val="7A394769"/>
    <w:rsid w:val="7A6A4943"/>
    <w:rsid w:val="7ABE3508"/>
    <w:rsid w:val="7AE71AF0"/>
    <w:rsid w:val="7B066E91"/>
    <w:rsid w:val="7B413F7E"/>
    <w:rsid w:val="7B885D10"/>
    <w:rsid w:val="7BE74CFC"/>
    <w:rsid w:val="7BEE6B88"/>
    <w:rsid w:val="7BF7570B"/>
    <w:rsid w:val="7C2E345F"/>
    <w:rsid w:val="7C5424A5"/>
    <w:rsid w:val="7C5A2796"/>
    <w:rsid w:val="7C605268"/>
    <w:rsid w:val="7C6A0C2B"/>
    <w:rsid w:val="7CF46746"/>
    <w:rsid w:val="7D1F1329"/>
    <w:rsid w:val="7DB86548"/>
    <w:rsid w:val="7E37C637"/>
    <w:rsid w:val="7E5D00E7"/>
    <w:rsid w:val="7E9F7825"/>
    <w:rsid w:val="7EB10D93"/>
    <w:rsid w:val="7EB73ECF"/>
    <w:rsid w:val="7F2C4635"/>
    <w:rsid w:val="7F376DBE"/>
    <w:rsid w:val="7F7162F6"/>
    <w:rsid w:val="7F9A7019"/>
    <w:rsid w:val="7FB81CAD"/>
    <w:rsid w:val="7FC85D75"/>
    <w:rsid w:val="7FD5583B"/>
    <w:rsid w:val="7FDE196C"/>
    <w:rsid w:val="7FE138D8"/>
    <w:rsid w:val="7FE31449"/>
    <w:rsid w:val="7FE405C7"/>
    <w:rsid w:val="7FEA2C5C"/>
    <w:rsid w:val="7FF52F01"/>
    <w:rsid w:val="BD6DBFFE"/>
    <w:rsid w:val="E7F71833"/>
    <w:rsid w:val="FF9F75F1"/>
    <w:rsid w:val="FFF9544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4"/>
    <w:next w:val="4"/>
    <w:autoRedefine/>
    <w:qFormat/>
    <w:uiPriority w:val="0"/>
    <w:pPr>
      <w:keepNext/>
      <w:keepLines/>
      <w:spacing w:beforeLines="0" w:beforeAutospacing="0" w:afterLines="0" w:afterAutospacing="0" w:line="360" w:lineRule="auto"/>
      <w:ind w:firstLine="482" w:firstLineChars="200"/>
      <w:outlineLvl w:val="0"/>
    </w:pPr>
    <w:rPr>
      <w:rFonts w:ascii="Times New Roman" w:hAnsi="Times New Roman" w:eastAsia="黑体"/>
      <w:b/>
      <w:kern w:val="44"/>
      <w:sz w:val="32"/>
      <w:szCs w:val="22"/>
    </w:rPr>
  </w:style>
  <w:style w:type="paragraph" w:styleId="6">
    <w:name w:val="heading 2"/>
    <w:basedOn w:val="1"/>
    <w:next w:val="1"/>
    <w:unhideWhenUsed/>
    <w:qFormat/>
    <w:uiPriority w:val="0"/>
    <w:pPr>
      <w:keepNext/>
      <w:keepLines/>
      <w:spacing w:beforeLines="0" w:beforeAutospacing="0" w:afterLines="0" w:afterAutospacing="0" w:line="360" w:lineRule="auto"/>
      <w:ind w:firstLine="723" w:firstLineChars="200"/>
      <w:outlineLvl w:val="1"/>
    </w:pPr>
    <w:rPr>
      <w:rFonts w:ascii="Arial" w:hAnsi="Arial" w:eastAsia="楷体"/>
      <w:b/>
      <w:bCs/>
    </w:rPr>
  </w:style>
  <w:style w:type="character" w:default="1" w:styleId="20">
    <w:name w:val="Default Paragraph Font"/>
    <w:autoRedefine/>
    <w:semiHidden/>
    <w:qFormat/>
    <w:uiPriority w:val="0"/>
  </w:style>
  <w:style w:type="table" w:default="1" w:styleId="18">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unhideWhenUsed/>
    <w:qFormat/>
    <w:uiPriority w:val="99"/>
    <w:pPr>
      <w:ind w:firstLine="420" w:firstLineChars="200"/>
    </w:pPr>
  </w:style>
  <w:style w:type="paragraph" w:styleId="4">
    <w:name w:val="Body Text First Indent"/>
    <w:basedOn w:val="5"/>
    <w:qFormat/>
    <w:uiPriority w:val="0"/>
    <w:pPr>
      <w:adjustRightInd w:val="0"/>
      <w:snapToGrid w:val="0"/>
      <w:spacing w:beforeLines="50" w:after="0" w:line="360" w:lineRule="auto"/>
      <w:ind w:firstLine="200" w:firstLineChars="200"/>
    </w:pPr>
    <w:rPr>
      <w:rFonts w:ascii="Times New Roman" w:hAnsi="Times New Roman"/>
      <w:sz w:val="24"/>
      <w:szCs w:val="24"/>
    </w:rPr>
  </w:style>
  <w:style w:type="paragraph" w:styleId="5">
    <w:name w:val="Body Text"/>
    <w:basedOn w:val="1"/>
    <w:autoRedefine/>
    <w:unhideWhenUsed/>
    <w:qFormat/>
    <w:uiPriority w:val="99"/>
    <w:pPr>
      <w:spacing w:after="120"/>
    </w:pPr>
  </w:style>
  <w:style w:type="paragraph" w:styleId="7">
    <w:name w:val="annotation text"/>
    <w:basedOn w:val="1"/>
    <w:autoRedefine/>
    <w:qFormat/>
    <w:uiPriority w:val="0"/>
    <w:pPr>
      <w:jc w:val="left"/>
    </w:pPr>
  </w:style>
  <w:style w:type="paragraph" w:styleId="8">
    <w:name w:val="Body Text Indent"/>
    <w:basedOn w:val="1"/>
    <w:autoRedefine/>
    <w:qFormat/>
    <w:uiPriority w:val="0"/>
    <w:pPr>
      <w:spacing w:after="120"/>
      <w:ind w:left="420" w:leftChars="200"/>
    </w:pPr>
  </w:style>
  <w:style w:type="paragraph" w:styleId="9">
    <w:name w:val="Body Text Indent 2"/>
    <w:basedOn w:val="1"/>
    <w:next w:val="10"/>
    <w:autoRedefine/>
    <w:unhideWhenUsed/>
    <w:qFormat/>
    <w:uiPriority w:val="99"/>
    <w:pPr>
      <w:spacing w:after="120" w:line="480" w:lineRule="auto"/>
      <w:ind w:left="420" w:leftChars="200"/>
    </w:pPr>
  </w:style>
  <w:style w:type="paragraph" w:customStyle="1" w:styleId="10">
    <w:name w:val="p0"/>
    <w:next w:val="11"/>
    <w:autoRedefine/>
    <w:qFormat/>
    <w:uiPriority w:val="0"/>
    <w:pPr>
      <w:spacing w:line="365" w:lineRule="atLeast"/>
      <w:ind w:left="1"/>
    </w:pPr>
    <w:rPr>
      <w:rFonts w:ascii="Times New Roman" w:hAnsi="Times New Roman" w:eastAsia="宋体" w:cs="Times New Roman"/>
      <w:sz w:val="24"/>
      <w:lang w:val="en-US" w:eastAsia="zh-CN" w:bidi="ar-SA"/>
    </w:rPr>
  </w:style>
  <w:style w:type="paragraph" w:styleId="11">
    <w:name w:val="header"/>
    <w:basedOn w:val="1"/>
    <w:next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footer"/>
    <w:basedOn w:val="1"/>
    <w:autoRedefine/>
    <w:qFormat/>
    <w:uiPriority w:val="0"/>
    <w:pPr>
      <w:tabs>
        <w:tab w:val="center" w:pos="4153"/>
        <w:tab w:val="right" w:pos="8306"/>
      </w:tabs>
      <w:snapToGrid w:val="0"/>
      <w:jc w:val="left"/>
    </w:pPr>
    <w:rPr>
      <w:sz w:val="18"/>
    </w:rPr>
  </w:style>
  <w:style w:type="paragraph" w:styleId="13">
    <w:name w:val="toc 1"/>
    <w:basedOn w:val="1"/>
    <w:next w:val="1"/>
    <w:autoRedefine/>
    <w:qFormat/>
    <w:uiPriority w:val="0"/>
  </w:style>
  <w:style w:type="paragraph" w:styleId="14">
    <w:name w:val="footnote text"/>
    <w:basedOn w:val="1"/>
    <w:autoRedefine/>
    <w:unhideWhenUsed/>
    <w:qFormat/>
    <w:uiPriority w:val="99"/>
    <w:pPr>
      <w:widowControl w:val="0"/>
      <w:snapToGrid w:val="0"/>
    </w:pPr>
    <w:rPr>
      <w:rFonts w:ascii="Calibri" w:hAnsi="Calibri" w:cs="Times New Roman"/>
      <w:kern w:val="2"/>
      <w:sz w:val="18"/>
      <w:szCs w:val="18"/>
    </w:rPr>
  </w:style>
  <w:style w:type="paragraph" w:styleId="15">
    <w:name w:val="toc 2"/>
    <w:basedOn w:val="1"/>
    <w:next w:val="1"/>
    <w:autoRedefine/>
    <w:qFormat/>
    <w:uiPriority w:val="0"/>
    <w:pPr>
      <w:ind w:left="420" w:leftChars="200"/>
    </w:pPr>
  </w:style>
  <w:style w:type="paragraph" w:styleId="16">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17">
    <w:name w:val="Body Text First Indent 2"/>
    <w:basedOn w:val="8"/>
    <w:autoRedefine/>
    <w:qFormat/>
    <w:uiPriority w:val="0"/>
    <w:pPr>
      <w:adjustRightInd w:val="0"/>
      <w:snapToGrid w:val="0"/>
      <w:spacing w:after="0" w:line="660" w:lineRule="exact"/>
      <w:ind w:left="0" w:leftChars="0" w:firstLine="420" w:firstLineChars="200"/>
    </w:pPr>
    <w:rPr>
      <w:rFonts w:ascii="??_GB2312" w:eastAsia="Times New Roman"/>
      <w:kern w:val="0"/>
      <w:sz w:val="32"/>
      <w:szCs w:val="32"/>
    </w:rPr>
  </w:style>
  <w:style w:type="table" w:styleId="19">
    <w:name w:val="Table Grid"/>
    <w:basedOn w:val="1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
    <w:name w:val="Table Normal"/>
    <w:autoRedefine/>
    <w:semiHidden/>
    <w:unhideWhenUsed/>
    <w:qFormat/>
    <w:uiPriority w:val="0"/>
    <w:tblPr>
      <w:tblCellMar>
        <w:top w:w="0" w:type="dxa"/>
        <w:left w:w="0" w:type="dxa"/>
        <w:bottom w:w="0" w:type="dxa"/>
        <w:right w:w="0" w:type="dxa"/>
      </w:tblCellMar>
    </w:tblPr>
  </w:style>
  <w:style w:type="paragraph" w:customStyle="1" w:styleId="22">
    <w:name w:val="WPSOffice手动目录 1"/>
    <w:autoRedefine/>
    <w:qFormat/>
    <w:uiPriority w:val="0"/>
    <w:pPr>
      <w:ind w:leftChars="0"/>
    </w:pPr>
    <w:rPr>
      <w:rFonts w:ascii="Times New Roman" w:hAnsi="Times New Roman" w:eastAsia="宋体" w:cs="Times New Roman"/>
      <w:sz w:val="20"/>
      <w:szCs w:val="20"/>
    </w:rPr>
  </w:style>
  <w:style w:type="paragraph" w:customStyle="1" w:styleId="23">
    <w:name w:val="WPSOffice手动目录 2"/>
    <w:autoRedefine/>
    <w:qFormat/>
    <w:uiPriority w:val="0"/>
    <w:pPr>
      <w:ind w:leftChars="200"/>
    </w:pPr>
    <w:rPr>
      <w:rFonts w:ascii="Times New Roman" w:hAnsi="Times New Roman" w:eastAsia="宋体" w:cs="Times New Roman"/>
      <w:sz w:val="20"/>
      <w:szCs w:val="20"/>
    </w:rPr>
  </w:style>
  <w:style w:type="paragraph" w:styleId="24">
    <w:name w:val="List Paragraph"/>
    <w:basedOn w:val="1"/>
    <w:autoRedefine/>
    <w:qFormat/>
    <w:uiPriority w:val="34"/>
    <w:pPr>
      <w:ind w:firstLine="420" w:firstLineChars="200"/>
    </w:pPr>
  </w:style>
  <w:style w:type="paragraph" w:customStyle="1" w:styleId="25">
    <w:name w:val="正文1"/>
    <w:basedOn w:val="1"/>
    <w:autoRedefine/>
    <w:qFormat/>
    <w:uiPriority w:val="0"/>
    <w:pPr>
      <w:spacing w:line="360" w:lineRule="auto"/>
      <w:ind w:firstLine="480" w:firstLineChars="200"/>
    </w:pPr>
    <w:rPr>
      <w:sz w:val="24"/>
    </w:rPr>
  </w:style>
  <w:style w:type="paragraph" w:customStyle="1" w:styleId="26">
    <w:name w:val="BodyText1I2"/>
    <w:basedOn w:val="27"/>
    <w:autoRedefine/>
    <w:qFormat/>
    <w:uiPriority w:val="0"/>
    <w:pPr>
      <w:snapToGrid w:val="0"/>
      <w:spacing w:after="0" w:line="660" w:lineRule="exact"/>
      <w:ind w:left="0" w:leftChars="0" w:firstLine="420" w:firstLineChars="200"/>
      <w:jc w:val="both"/>
      <w:textAlignment w:val="baseline"/>
    </w:pPr>
    <w:rPr>
      <w:rFonts w:ascii="仿宋_GB2312" w:eastAsia="仿宋_GB2312"/>
      <w:kern w:val="0"/>
      <w:sz w:val="32"/>
    </w:rPr>
  </w:style>
  <w:style w:type="paragraph" w:customStyle="1" w:styleId="27">
    <w:name w:val="BodyTextIndent"/>
    <w:basedOn w:val="1"/>
    <w:autoRedefine/>
    <w:qFormat/>
    <w:uiPriority w:val="0"/>
    <w:pPr>
      <w:spacing w:after="120"/>
      <w:ind w:left="420" w:leftChars="200"/>
      <w:jc w:val="both"/>
      <w:textAlignment w:val="baseline"/>
    </w:pPr>
  </w:style>
  <w:style w:type="character" w:customStyle="1" w:styleId="28">
    <w:name w:val="font21"/>
    <w:autoRedefine/>
    <w:qFormat/>
    <w:uiPriority w:val="0"/>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31</Pages>
  <Words>12464</Words>
  <Characters>13549</Characters>
  <Lines>0</Lines>
  <Paragraphs>0</Paragraphs>
  <TotalTime>7</TotalTime>
  <ScaleCrop>false</ScaleCrop>
  <LinksUpToDate>false</LinksUpToDate>
  <CharactersWithSpaces>14642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2023-10-13T00:39:00Z</dcterms:created>
  <dc:creator>银鹏会计事务所</dc:creator>
  <cp:lastModifiedBy>财正</cp:lastModifiedBy>
  <dcterms:modified xsi:type="dcterms:W3CDTF">2023-12-16T02:38:32Z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DD83DEF80CE298B129852F6511B47680_43</vt:lpwstr>
  </property>
</Properties>
</file>