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eastAsia="宋体"/>
          <w:lang w:eastAsia="zh-CN"/>
        </w:rPr>
      </w:pPr>
      <w:r>
        <w:rPr>
          <w:rFonts w:hint="eastAsia" w:ascii="宋体" w:hAnsi="宋体" w:eastAsia="宋体" w:cs="宋体"/>
          <w:color w:val="444444"/>
          <w:sz w:val="28"/>
          <w:szCs w:val="28"/>
          <w:shd w:val="clear" w:fill="FFFFFF"/>
        </w:rPr>
        <w:t> </w:t>
      </w:r>
      <w:r>
        <w:rPr>
          <w:rFonts w:hint="default" w:ascii="Times New Roman" w:hAnsi="Times New Roman" w:eastAsia="微软雅黑" w:cs="Times New Roman"/>
          <w:b/>
          <w:bCs/>
          <w:color w:val="444444"/>
          <w:sz w:val="28"/>
          <w:szCs w:val="28"/>
          <w:shd w:val="clear" w:fill="FFFFFF"/>
        </w:rPr>
        <w:t>2021</w:t>
      </w:r>
      <w:r>
        <w:rPr>
          <w:rFonts w:hint="eastAsia" w:ascii="宋体" w:hAnsi="宋体" w:eastAsia="宋体" w:cs="宋体"/>
          <w:b/>
          <w:bCs/>
          <w:color w:val="444444"/>
          <w:sz w:val="28"/>
          <w:szCs w:val="28"/>
          <w:shd w:val="clear" w:fill="FFFFFF"/>
        </w:rPr>
        <w:t>年度</w:t>
      </w:r>
      <w:r>
        <w:rPr>
          <w:rFonts w:hint="eastAsia" w:ascii="宋体" w:hAnsi="宋体" w:eastAsia="宋体" w:cs="宋体"/>
          <w:b/>
          <w:bCs/>
          <w:color w:val="444444"/>
          <w:sz w:val="28"/>
          <w:szCs w:val="28"/>
          <w:shd w:val="clear" w:fill="FFFFFF"/>
          <w:lang w:eastAsia="zh-CN"/>
        </w:rPr>
        <w:t>北塔区行政审批局</w:t>
      </w:r>
      <w:r>
        <w:rPr>
          <w:rFonts w:hint="eastAsia" w:ascii="宋体" w:hAnsi="宋体" w:eastAsia="宋体" w:cs="宋体"/>
          <w:b/>
          <w:bCs/>
          <w:color w:val="444444"/>
          <w:sz w:val="28"/>
          <w:szCs w:val="28"/>
          <w:shd w:val="clear" w:fill="FFFFFF"/>
        </w:rPr>
        <w:t>整体支出绩效评价报告</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pPr>
      <w:r>
        <w:rPr>
          <w:rFonts w:hint="eastAsia" w:ascii="宋体" w:hAnsi="宋体" w:eastAsia="宋体" w:cs="宋体"/>
          <w:color w:val="444444"/>
          <w:kern w:val="0"/>
          <w:sz w:val="28"/>
          <w:szCs w:val="28"/>
          <w:shd w:val="clear" w:fill="FFFFFF"/>
        </w:rPr>
        <w:t>一、部门概况</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（一）基本情况。</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北塔区行政审批服务局(以下简称区行政审批局)，正科级行政单位，是北塔区政府工作部门，由区人民政府统一领导和管理。北塔区政务服务中心为行政审批服务局管理的副科级公益一类事业单位。</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1．主要职能。</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rPr>
        <w:t>（一）指导、协调、推进全区行政审批制度改革工作。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rPr>
        <w:t>（二）牵头负责全区放管服改革工作；维护营商政务、法制等环境；协调、推进、提升行政效能工作。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rPr>
        <w:t>（三）推进、指导、协调、监督全区政务公开（信息公开、办事公开）和政务服务体系建设。</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rPr>
        <w:t>（四）统筹协调、规划指导、监督评估全区政府系统电子政务工作；统筹推进、监督协调“互联网+政务服务”工作；统筹规划、监督考核全区政府系统网站建设和运维管理工作。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rPr>
        <w:t>（五）指导监督全区政府服务热线工作，负责区本级12345政府服务热线的管理工作。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rPr>
        <w:t>（六）根据《行政许可法》规定，推进相对集中行政许可权改革工作，依法依规依程序审批相对集中的行政审批事项，并承担相应的法律责任。</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rPr>
        <w:t>（七）职能转变。根据区委、区政府关于行政审批制度改革的总体要求，按照相对集中行政许可权改革、“谁审批谁负责、谁主管谁监管”的审管分离原则，逐步划转尚未相对集中的行政审批职能。</w:t>
      </w:r>
    </w:p>
    <w:p>
      <w:pPr>
        <w:keepNext w:val="0"/>
        <w:keepLines w:val="0"/>
        <w:pageBreakBefore w:val="0"/>
        <w:widowControl w:val="0"/>
        <w:suppressLineNumbers w:val="0"/>
        <w:shd w:val="clear" w:fill="FFFFFF"/>
        <w:kinsoku w:val="0"/>
        <w:wordWrap/>
        <w:overflowPunct w:val="0"/>
        <w:topLinePunct w:val="0"/>
        <w:autoSpaceDE w:val="0"/>
        <w:autoSpaceDN w:val="0"/>
        <w:bidi w:val="0"/>
        <w:adjustRightInd w:val="0"/>
        <w:snapToGrid w:val="0"/>
        <w:spacing w:before="0" w:beforeAutospacing="0" w:afterAutospacing="0" w:line="620" w:lineRule="exact"/>
        <w:ind w:left="0" w:right="0" w:firstLine="480"/>
        <w:jc w:val="left"/>
        <w:textAlignment w:val="top"/>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（八）完成区委、区政府交办的其他任务。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2.机构情况。</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行政审批局设局办公室(加挂政工股牌子）、行政审批综合事务股（加挂政策法规股牌子）、电子政务股、行政效能股（加挂政府热线监管股牌子）、4个股室。区政务服务中心内设机构：综合办公室（政府热线股）、窗口管理股（一窗受理股、综合出件股）、代办帮办股3个股室。</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rPr>
        <w:t>3.</w:t>
      </w:r>
      <w:r>
        <w:rPr>
          <w:rFonts w:hint="eastAsia" w:ascii="宋体" w:hAnsi="宋体" w:eastAsia="宋体" w:cs="宋体"/>
          <w:color w:val="444444"/>
          <w:kern w:val="0"/>
          <w:sz w:val="28"/>
          <w:szCs w:val="28"/>
          <w:shd w:val="clear" w:fill="FFFFFF"/>
        </w:rPr>
        <w:t>人员情况。</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行政审批局编制人数5人，实际人数4人</w:t>
      </w:r>
      <w:r>
        <w:rPr>
          <w:rFonts w:hint="eastAsia" w:ascii="宋体" w:hAnsi="宋体" w:eastAsia="宋体" w:cs="宋体"/>
          <w:color w:val="444444"/>
          <w:kern w:val="0"/>
          <w:sz w:val="28"/>
          <w:szCs w:val="28"/>
          <w:shd w:val="clear" w:fill="FFFFFF"/>
          <w:lang w:eastAsia="zh-CN"/>
        </w:rPr>
        <w:t>；</w:t>
      </w:r>
      <w:r>
        <w:rPr>
          <w:rFonts w:hint="eastAsia" w:ascii="宋体" w:hAnsi="宋体" w:eastAsia="宋体" w:cs="宋体"/>
          <w:color w:val="444444"/>
          <w:kern w:val="0"/>
          <w:sz w:val="28"/>
          <w:szCs w:val="28"/>
          <w:shd w:val="clear" w:fill="FFFFFF"/>
        </w:rPr>
        <w:t>政务中心编制人数3人，实际人数3人。小车编制数0台，实际无</w:t>
      </w:r>
      <w:bookmarkStart w:id="1" w:name="_GoBack"/>
      <w:bookmarkEnd w:id="1"/>
      <w:r>
        <w:rPr>
          <w:rFonts w:hint="eastAsia" w:ascii="宋体" w:hAnsi="宋体" w:eastAsia="宋体" w:cs="宋体"/>
          <w:color w:val="444444"/>
          <w:kern w:val="0"/>
          <w:sz w:val="28"/>
          <w:szCs w:val="28"/>
          <w:shd w:val="clear" w:fill="FFFFFF"/>
        </w:rPr>
        <w:t>，行政审批办公室用房屋面积43平方米，政务服务中心大厅房屋面积780平方米。</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二、部门整体支出管理及使用情况</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（一）基本支出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pPr>
      <w:r>
        <w:rPr>
          <w:rFonts w:hint="eastAsia" w:ascii="宋体" w:hAnsi="宋体" w:eastAsia="宋体" w:cs="宋体"/>
          <w:color w:val="444444"/>
          <w:kern w:val="0"/>
          <w:sz w:val="28"/>
          <w:szCs w:val="28"/>
          <w:shd w:val="clear" w:fill="FFFFFF"/>
        </w:rPr>
        <w:t>基本支出系保障我局机构正常运转、完成日常工作任务而发生的人员支出和公用支出，包括用于在职和离退休人员基本工资、津贴补贴等人员经费以及办公费、印刷费、水电费、办公设备购置等日常公用经费。2021年我局基本支出</w:t>
      </w:r>
      <w:r>
        <w:rPr>
          <w:rFonts w:hint="eastAsia" w:ascii="宋体" w:hAnsi="宋体" w:eastAsia="宋体" w:cs="宋体"/>
          <w:color w:val="444444"/>
          <w:kern w:val="0"/>
          <w:sz w:val="28"/>
          <w:szCs w:val="28"/>
          <w:shd w:val="clear" w:fill="FFFFFF"/>
          <w:lang w:val="en-US" w:eastAsia="zh-CN"/>
        </w:rPr>
        <w:t>375.64</w:t>
      </w:r>
      <w:r>
        <w:rPr>
          <w:rFonts w:hint="eastAsia" w:ascii="宋体" w:hAnsi="宋体" w:eastAsia="宋体" w:cs="宋体"/>
          <w:color w:val="444444"/>
          <w:kern w:val="0"/>
          <w:sz w:val="28"/>
          <w:szCs w:val="28"/>
          <w:shd w:val="clear" w:fill="FFFFFF"/>
        </w:rPr>
        <w:t>万元，比上年同口径增加</w:t>
      </w:r>
      <w:r>
        <w:rPr>
          <w:rFonts w:hint="eastAsia" w:ascii="宋体" w:hAnsi="宋体" w:eastAsia="宋体" w:cs="宋体"/>
          <w:color w:val="444444"/>
          <w:kern w:val="0"/>
          <w:sz w:val="28"/>
          <w:szCs w:val="28"/>
          <w:shd w:val="clear" w:fill="FFFFFF"/>
          <w:lang w:val="en-US" w:eastAsia="zh-CN"/>
        </w:rPr>
        <w:t>140.03</w:t>
      </w:r>
      <w:r>
        <w:rPr>
          <w:rFonts w:hint="eastAsia" w:ascii="宋体" w:hAnsi="宋体" w:eastAsia="宋体" w:cs="宋体"/>
          <w:color w:val="444444"/>
          <w:kern w:val="0"/>
          <w:sz w:val="28"/>
          <w:szCs w:val="28"/>
          <w:shd w:val="clear" w:fill="FFFFFF"/>
        </w:rPr>
        <w:t>万元，增长</w:t>
      </w:r>
      <w:r>
        <w:rPr>
          <w:rFonts w:hint="eastAsia" w:ascii="宋体" w:hAnsi="宋体" w:eastAsia="宋体" w:cs="宋体"/>
          <w:color w:val="444444"/>
          <w:kern w:val="0"/>
          <w:sz w:val="28"/>
          <w:szCs w:val="28"/>
          <w:shd w:val="clear" w:fill="FFFFFF"/>
          <w:lang w:val="en-US" w:eastAsia="zh-CN"/>
        </w:rPr>
        <w:t>59.43</w:t>
      </w:r>
      <w:r>
        <w:rPr>
          <w:rFonts w:hint="eastAsia" w:ascii="宋体" w:hAnsi="宋体" w:eastAsia="宋体" w:cs="宋体"/>
          <w:color w:val="444444"/>
          <w:kern w:val="0"/>
          <w:sz w:val="28"/>
          <w:szCs w:val="28"/>
          <w:shd w:val="clear" w:fill="FFFFFF"/>
        </w:rPr>
        <w:t>%。其中：工资福利支出</w:t>
      </w:r>
      <w:r>
        <w:rPr>
          <w:rFonts w:hint="eastAsia" w:ascii="宋体" w:hAnsi="宋体" w:eastAsia="宋体" w:cs="宋体"/>
          <w:color w:val="444444"/>
          <w:kern w:val="0"/>
          <w:sz w:val="28"/>
          <w:szCs w:val="28"/>
          <w:shd w:val="clear" w:fill="FFFFFF"/>
          <w:lang w:val="en-US" w:eastAsia="zh-CN"/>
        </w:rPr>
        <w:t>97.01</w:t>
      </w:r>
      <w:r>
        <w:rPr>
          <w:rFonts w:hint="eastAsia" w:ascii="宋体" w:hAnsi="宋体" w:eastAsia="宋体" w:cs="宋体"/>
          <w:color w:val="444444"/>
          <w:kern w:val="0"/>
          <w:sz w:val="28"/>
          <w:szCs w:val="28"/>
          <w:shd w:val="clear" w:fill="FFFFFF"/>
        </w:rPr>
        <w:t>万元，商品和服务支出</w:t>
      </w:r>
      <w:r>
        <w:rPr>
          <w:rFonts w:hint="eastAsia" w:ascii="宋体" w:hAnsi="宋体" w:eastAsia="宋体" w:cs="宋体"/>
          <w:color w:val="444444"/>
          <w:kern w:val="0"/>
          <w:sz w:val="28"/>
          <w:szCs w:val="28"/>
          <w:shd w:val="clear" w:fill="FFFFFF"/>
          <w:lang w:val="en-US" w:eastAsia="zh-CN"/>
        </w:rPr>
        <w:t>132.25</w:t>
      </w:r>
      <w:r>
        <w:rPr>
          <w:rFonts w:hint="eastAsia" w:ascii="宋体" w:hAnsi="宋体" w:eastAsia="宋体" w:cs="宋体"/>
          <w:color w:val="444444"/>
          <w:kern w:val="0"/>
          <w:sz w:val="28"/>
          <w:szCs w:val="28"/>
          <w:shd w:val="clear" w:fill="FFFFFF"/>
        </w:rPr>
        <w:t>万元，对个人和家庭的补助</w:t>
      </w:r>
      <w:r>
        <w:rPr>
          <w:rFonts w:hint="eastAsia" w:ascii="宋体" w:hAnsi="宋体" w:eastAsia="宋体" w:cs="宋体"/>
          <w:color w:val="444444"/>
          <w:kern w:val="0"/>
          <w:sz w:val="28"/>
          <w:szCs w:val="28"/>
          <w:shd w:val="clear" w:fill="FFFFFF"/>
          <w:lang w:val="en-US" w:eastAsia="zh-CN"/>
        </w:rPr>
        <w:t>2</w:t>
      </w:r>
      <w:r>
        <w:rPr>
          <w:rFonts w:hint="eastAsia" w:ascii="宋体" w:hAnsi="宋体" w:eastAsia="宋体" w:cs="宋体"/>
          <w:color w:val="444444"/>
          <w:kern w:val="0"/>
          <w:sz w:val="28"/>
          <w:szCs w:val="28"/>
          <w:shd w:val="clear" w:fill="FFFFFF"/>
        </w:rPr>
        <w:t>万元，资本性支出</w:t>
      </w:r>
      <w:r>
        <w:rPr>
          <w:rFonts w:hint="eastAsia" w:ascii="宋体" w:hAnsi="宋体" w:eastAsia="宋体" w:cs="宋体"/>
          <w:color w:val="444444"/>
          <w:kern w:val="0"/>
          <w:sz w:val="28"/>
          <w:szCs w:val="28"/>
          <w:shd w:val="clear" w:fill="FFFFFF"/>
          <w:lang w:val="en-US" w:eastAsia="zh-CN"/>
        </w:rPr>
        <w:t>144.38</w:t>
      </w:r>
      <w:r>
        <w:rPr>
          <w:rFonts w:hint="eastAsia" w:ascii="宋体" w:hAnsi="宋体" w:eastAsia="宋体" w:cs="宋体"/>
          <w:color w:val="444444"/>
          <w:kern w:val="0"/>
          <w:sz w:val="28"/>
          <w:szCs w:val="28"/>
          <w:shd w:val="clear" w:fill="FFFFFF"/>
        </w:rPr>
        <w:t>万元。</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2021年“三公”经费实际开支总额</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万元。其中：因公出国（境）费支出本年未发生。公务用车购置及运行维护费实际开支</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万元（公务用车购置费未发生，公务用车运行维护费</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万元），公务用车保有量</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辆；公务接待费实际开支</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万元，公务接待</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批次</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人次。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280" w:firstLineChars="100"/>
        <w:jc w:val="left"/>
        <w:textAlignment w:val="top"/>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（二）专项支出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rPr>
        <w:t>2021年我局无</w:t>
      </w:r>
      <w:r>
        <w:rPr>
          <w:rFonts w:hint="eastAsia" w:ascii="宋体" w:hAnsi="宋体" w:eastAsia="宋体" w:cs="宋体"/>
          <w:color w:val="444444"/>
          <w:kern w:val="0"/>
          <w:sz w:val="28"/>
          <w:szCs w:val="28"/>
          <w:shd w:val="clear" w:fill="FFFFFF"/>
        </w:rPr>
        <w:t>项目支出。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三、资产管理情况</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right="0" w:firstLine="560" w:firstLineChars="200"/>
        <w:jc w:val="left"/>
        <w:textAlignment w:val="top"/>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rPr>
        <w:t>我局建立健全了完整有效的资产管理制度，资产管理实行账物分离，确定专人负责。财务部门负责管账，相关股室负责管物。固定资产的购置须书面报告局领导，经局领导审批后，办理政府采购手续，办公室凭政府采购批复实行询价或定点采购，股室领用时需在固定资产管理卡片上签字建档。资产管理负责人建立实物资产的购、存、领台账。202</w:t>
      </w:r>
      <w:r>
        <w:rPr>
          <w:rFonts w:hint="eastAsia" w:ascii="宋体" w:hAnsi="宋体" w:eastAsia="宋体" w:cs="宋体"/>
          <w:color w:val="444444"/>
          <w:kern w:val="0"/>
          <w:sz w:val="28"/>
          <w:szCs w:val="28"/>
          <w:shd w:val="clear" w:fill="FFFFFF"/>
          <w:lang w:val="en-US" w:eastAsia="zh-CN"/>
        </w:rPr>
        <w:t>1</w:t>
      </w:r>
      <w:r>
        <w:rPr>
          <w:rFonts w:hint="eastAsia" w:ascii="宋体" w:hAnsi="宋体" w:eastAsia="宋体" w:cs="宋体"/>
          <w:color w:val="444444"/>
          <w:kern w:val="0"/>
          <w:sz w:val="28"/>
          <w:szCs w:val="28"/>
          <w:shd w:val="clear" w:fill="FFFFFF"/>
        </w:rPr>
        <w:t>年我局资产管理和使用状况良好。</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pPr>
      <w:r>
        <w:rPr>
          <w:rFonts w:hint="eastAsia" w:ascii="宋体" w:hAnsi="宋体" w:eastAsia="宋体" w:cs="宋体"/>
          <w:color w:val="444444"/>
          <w:kern w:val="0"/>
          <w:sz w:val="28"/>
          <w:szCs w:val="28"/>
          <w:shd w:val="clear" w:fill="FFFFFF"/>
        </w:rPr>
        <w:t>截至2021年12月31日，邵阳市</w:t>
      </w:r>
      <w:r>
        <w:rPr>
          <w:rFonts w:hint="eastAsia" w:ascii="宋体" w:hAnsi="宋体" w:eastAsia="宋体" w:cs="宋体"/>
          <w:color w:val="444444"/>
          <w:kern w:val="0"/>
          <w:sz w:val="28"/>
          <w:szCs w:val="28"/>
          <w:shd w:val="clear" w:fill="FFFFFF"/>
          <w:lang w:val="en-US" w:eastAsia="zh-CN"/>
        </w:rPr>
        <w:t>北塔区行政审批服务局</w:t>
      </w:r>
      <w:r>
        <w:rPr>
          <w:rFonts w:hint="eastAsia" w:ascii="宋体" w:hAnsi="宋体" w:eastAsia="宋体" w:cs="宋体"/>
          <w:color w:val="444444"/>
          <w:kern w:val="0"/>
          <w:sz w:val="28"/>
          <w:szCs w:val="28"/>
          <w:shd w:val="clear" w:fill="FFFFFF"/>
        </w:rPr>
        <w:t>资产总额为</w:t>
      </w:r>
      <w:r>
        <w:rPr>
          <w:rFonts w:hint="eastAsia" w:ascii="宋体" w:hAnsi="宋体" w:eastAsia="宋体" w:cs="宋体"/>
          <w:color w:val="444444"/>
          <w:kern w:val="0"/>
          <w:sz w:val="28"/>
          <w:szCs w:val="28"/>
          <w:shd w:val="clear" w:fill="FFFFFF"/>
          <w:lang w:val="en-US" w:eastAsia="zh-CN"/>
        </w:rPr>
        <w:t>44.84</w:t>
      </w:r>
      <w:r>
        <w:rPr>
          <w:rFonts w:hint="eastAsia" w:ascii="宋体" w:hAnsi="宋体" w:eastAsia="宋体" w:cs="宋体"/>
          <w:color w:val="444444"/>
          <w:kern w:val="0"/>
          <w:sz w:val="28"/>
          <w:szCs w:val="28"/>
          <w:shd w:val="clear" w:fill="FFFFFF"/>
        </w:rPr>
        <w:t>万元，主要由以下部分构成：流动资产</w:t>
      </w:r>
      <w:r>
        <w:rPr>
          <w:rFonts w:hint="eastAsia" w:ascii="宋体" w:hAnsi="宋体" w:eastAsia="宋体" w:cs="宋体"/>
          <w:color w:val="444444"/>
          <w:kern w:val="0"/>
          <w:sz w:val="28"/>
          <w:szCs w:val="28"/>
          <w:shd w:val="clear" w:fill="FFFFFF"/>
          <w:lang w:val="en-US" w:eastAsia="zh-CN"/>
        </w:rPr>
        <w:t>19.23</w:t>
      </w:r>
      <w:r>
        <w:rPr>
          <w:rFonts w:hint="eastAsia" w:ascii="宋体" w:hAnsi="宋体" w:eastAsia="宋体" w:cs="宋体"/>
          <w:color w:val="444444"/>
          <w:kern w:val="0"/>
          <w:sz w:val="28"/>
          <w:szCs w:val="28"/>
          <w:shd w:val="clear" w:fill="FFFFFF"/>
        </w:rPr>
        <w:t>万元,占资产总额的</w:t>
      </w:r>
      <w:r>
        <w:rPr>
          <w:rFonts w:hint="eastAsia" w:ascii="宋体" w:hAnsi="宋体" w:eastAsia="宋体" w:cs="宋体"/>
          <w:color w:val="444444"/>
          <w:kern w:val="0"/>
          <w:sz w:val="28"/>
          <w:szCs w:val="28"/>
          <w:shd w:val="clear" w:fill="FFFFFF"/>
          <w:lang w:val="en-US" w:eastAsia="zh-CN"/>
        </w:rPr>
        <w:t>42.89</w:t>
      </w:r>
      <w:r>
        <w:rPr>
          <w:rFonts w:hint="eastAsia" w:ascii="宋体" w:hAnsi="宋体" w:eastAsia="宋体" w:cs="宋体"/>
          <w:color w:val="444444"/>
          <w:kern w:val="0"/>
          <w:sz w:val="28"/>
          <w:szCs w:val="28"/>
          <w:shd w:val="clear" w:fill="FFFFFF"/>
        </w:rPr>
        <w:t>%,主要为银行存款及其他应收款等;固定资产</w:t>
      </w:r>
      <w:r>
        <w:rPr>
          <w:rFonts w:hint="eastAsia" w:ascii="宋体" w:hAnsi="宋体" w:eastAsia="宋体" w:cs="宋体"/>
          <w:color w:val="444444"/>
          <w:kern w:val="0"/>
          <w:sz w:val="28"/>
          <w:szCs w:val="28"/>
          <w:shd w:val="clear" w:fill="FFFFFF"/>
          <w:lang w:val="en-US" w:eastAsia="zh-CN"/>
        </w:rPr>
        <w:t>25.61</w:t>
      </w:r>
      <w:r>
        <w:rPr>
          <w:rFonts w:hint="eastAsia" w:ascii="宋体" w:hAnsi="宋体" w:eastAsia="宋体" w:cs="宋体"/>
          <w:color w:val="444444"/>
          <w:kern w:val="0"/>
          <w:sz w:val="28"/>
          <w:szCs w:val="28"/>
          <w:shd w:val="clear" w:fill="FFFFFF"/>
        </w:rPr>
        <w:t>万元,占资产总额的</w:t>
      </w:r>
      <w:r>
        <w:rPr>
          <w:rFonts w:hint="eastAsia" w:ascii="宋体" w:hAnsi="宋体" w:eastAsia="宋体" w:cs="宋体"/>
          <w:color w:val="444444"/>
          <w:kern w:val="0"/>
          <w:sz w:val="28"/>
          <w:szCs w:val="28"/>
          <w:shd w:val="clear" w:fill="FFFFFF"/>
          <w:lang w:val="en-US" w:eastAsia="zh-CN"/>
        </w:rPr>
        <w:t>57.11</w:t>
      </w:r>
      <w:r>
        <w:rPr>
          <w:rFonts w:hint="eastAsia" w:ascii="宋体" w:hAnsi="宋体" w:eastAsia="宋体" w:cs="宋体"/>
          <w:color w:val="444444"/>
          <w:kern w:val="0"/>
          <w:sz w:val="28"/>
          <w:szCs w:val="28"/>
          <w:shd w:val="clear" w:fill="FFFFFF"/>
        </w:rPr>
        <w:t>%，主要包括房屋、公务用车、办公设备等。</w:t>
      </w:r>
      <w:r>
        <w:rPr>
          <w:rFonts w:hint="eastAsia" w:ascii="微软雅黑" w:hAnsi="微软雅黑" w:eastAsia="微软雅黑" w:cs="微软雅黑"/>
          <w:color w:val="444444"/>
          <w:sz w:val="28"/>
          <w:szCs w:val="28"/>
          <w:shd w:val="clear" w:fill="FFFFFF"/>
        </w:rPr>
        <w:t> </w:t>
      </w:r>
    </w:p>
    <w:p>
      <w:pPr>
        <w:pStyle w:val="8"/>
        <w:keepNext w:val="0"/>
        <w:keepLines w:val="0"/>
        <w:pageBreakBefore w:val="0"/>
        <w:widowControl w:val="0"/>
        <w:numPr>
          <w:numId w:val="0"/>
        </w:numPr>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right="0" w:rightChars="0" w:firstLine="560" w:firstLineChars="200"/>
        <w:jc w:val="left"/>
        <w:textAlignment w:val="top"/>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eastAsia="zh-CN"/>
        </w:rPr>
        <w:t>四、</w:t>
      </w:r>
      <w:r>
        <w:rPr>
          <w:rFonts w:hint="eastAsia" w:ascii="宋体" w:hAnsi="宋体" w:eastAsia="宋体" w:cs="宋体"/>
          <w:color w:val="444444"/>
          <w:kern w:val="0"/>
          <w:sz w:val="28"/>
          <w:szCs w:val="28"/>
          <w:shd w:val="clear" w:fill="FFFFFF"/>
        </w:rPr>
        <w:t>部门整体支出绩效情况</w:t>
      </w:r>
    </w:p>
    <w:p>
      <w:pPr>
        <w:pStyle w:val="8"/>
        <w:keepNext w:val="0"/>
        <w:keepLines w:val="0"/>
        <w:pageBreakBefore w:val="0"/>
        <w:widowControl w:val="0"/>
        <w:numPr>
          <w:numId w:val="0"/>
        </w:numPr>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right="0" w:rightChars="0" w:firstLine="560" w:firstLineChars="200"/>
        <w:jc w:val="left"/>
        <w:textAlignment w:val="top"/>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2021年，我局充分履行职责职能，严格执行各项管理制度，经济、社会等效益显著、社会公众满意度上升，较好地完成了全年工作目标。</w:t>
      </w:r>
    </w:p>
    <w:p>
      <w:pPr>
        <w:pStyle w:val="8"/>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right="0" w:rightChars="0" w:firstLine="560" w:firstLineChars="200"/>
        <w:jc w:val="left"/>
        <w:textAlignment w:val="top"/>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、纵深推进“一件事一次办”改革</w:t>
      </w:r>
    </w:p>
    <w:p>
      <w:pPr>
        <w:pStyle w:val="8"/>
        <w:keepNext w:val="0"/>
        <w:keepLines w:val="0"/>
        <w:pageBreakBefore w:val="0"/>
        <w:widowControl w:val="0"/>
        <w:numPr>
          <w:numId w:val="0"/>
        </w:numPr>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right="0" w:rightChars="0" w:firstLine="560" w:firstLineChars="200"/>
        <w:jc w:val="left"/>
        <w:textAlignment w:val="top"/>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1.宣传推广“一件事一次办”小程序。</w:t>
      </w:r>
    </w:p>
    <w:p>
      <w:pPr>
        <w:pStyle w:val="8"/>
        <w:keepNext w:val="0"/>
        <w:keepLines w:val="0"/>
        <w:pageBreakBefore w:val="0"/>
        <w:widowControl w:val="0"/>
        <w:numPr>
          <w:numId w:val="0"/>
        </w:numPr>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right="0" w:rightChars="0" w:firstLine="560" w:firstLineChars="200"/>
        <w:jc w:val="left"/>
        <w:textAlignment w:val="top"/>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2.落地落实具体事项,梳理规范服务流程。</w:t>
      </w:r>
    </w:p>
    <w:p>
      <w:pPr>
        <w:keepNext w:val="0"/>
        <w:keepLines w:val="0"/>
        <w:pageBreakBefore w:val="0"/>
        <w:widowControl w:val="0"/>
        <w:kinsoku w:val="0"/>
        <w:wordWrap/>
        <w:overflowPunct w:val="0"/>
        <w:topLinePunct w:val="0"/>
        <w:autoSpaceDE w:val="0"/>
        <w:autoSpaceDN w:val="0"/>
        <w:bidi w:val="0"/>
        <w:adjustRightInd w:val="0"/>
        <w:snapToGrid w:val="0"/>
        <w:spacing w:afterAutospacing="0" w:line="620" w:lineRule="exact"/>
        <w:ind w:firstLine="560" w:firstLineChars="200"/>
        <w:textAlignment w:val="auto"/>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（二）、纵深推进“放管服”改革，优化营商政务环境</w:t>
      </w:r>
    </w:p>
    <w:p>
      <w:pPr>
        <w:pStyle w:val="9"/>
        <w:keepNext w:val="0"/>
        <w:keepLines w:val="0"/>
        <w:pageBreakBefore w:val="0"/>
        <w:widowControl w:val="0"/>
        <w:kinsoku w:val="0"/>
        <w:wordWrap/>
        <w:overflowPunct w:val="0"/>
        <w:topLinePunct w:val="0"/>
        <w:autoSpaceDE w:val="0"/>
        <w:autoSpaceDN w:val="0"/>
        <w:bidi w:val="0"/>
        <w:adjustRightInd w:val="0"/>
        <w:snapToGrid w:val="0"/>
        <w:spacing w:after="0" w:afterAutospacing="0" w:line="620" w:lineRule="exact"/>
        <w:ind w:left="0" w:leftChars="0" w:firstLine="560" w:firstLineChars="200"/>
        <w:textAlignment w:val="auto"/>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1.推进“三集中三到位”改革。</w:t>
      </w:r>
    </w:p>
    <w:p>
      <w:pPr>
        <w:pStyle w:val="9"/>
        <w:keepNext w:val="0"/>
        <w:keepLines w:val="0"/>
        <w:pageBreakBefore w:val="0"/>
        <w:widowControl w:val="0"/>
        <w:kinsoku w:val="0"/>
        <w:wordWrap/>
        <w:overflowPunct w:val="0"/>
        <w:topLinePunct w:val="0"/>
        <w:autoSpaceDE w:val="0"/>
        <w:autoSpaceDN w:val="0"/>
        <w:bidi w:val="0"/>
        <w:adjustRightInd w:val="0"/>
        <w:snapToGrid w:val="0"/>
        <w:spacing w:after="0" w:afterAutospacing="0" w:line="620" w:lineRule="exact"/>
        <w:ind w:left="0" w:leftChars="0" w:firstLine="560" w:firstLineChars="200"/>
        <w:textAlignment w:val="auto"/>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2.持续开展“减证便民”行动。</w:t>
      </w:r>
    </w:p>
    <w:p>
      <w:pPr>
        <w:pStyle w:val="9"/>
        <w:keepNext w:val="0"/>
        <w:keepLines w:val="0"/>
        <w:pageBreakBefore w:val="0"/>
        <w:widowControl w:val="0"/>
        <w:kinsoku w:val="0"/>
        <w:wordWrap/>
        <w:overflowPunct w:val="0"/>
        <w:topLinePunct w:val="0"/>
        <w:autoSpaceDE w:val="0"/>
        <w:autoSpaceDN w:val="0"/>
        <w:bidi w:val="0"/>
        <w:adjustRightInd w:val="0"/>
        <w:snapToGrid w:val="0"/>
        <w:spacing w:after="0" w:afterAutospacing="0" w:line="620" w:lineRule="exact"/>
        <w:ind w:left="0" w:leftChars="0" w:firstLine="560" w:firstLineChars="200"/>
        <w:textAlignment w:val="auto"/>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3.广泛推行告知承诺、容缺受理。</w:t>
      </w:r>
    </w:p>
    <w:p>
      <w:pPr>
        <w:pStyle w:val="9"/>
        <w:keepNext w:val="0"/>
        <w:keepLines w:val="0"/>
        <w:pageBreakBefore w:val="0"/>
        <w:widowControl w:val="0"/>
        <w:kinsoku w:val="0"/>
        <w:wordWrap/>
        <w:overflowPunct w:val="0"/>
        <w:topLinePunct w:val="0"/>
        <w:autoSpaceDE w:val="0"/>
        <w:autoSpaceDN w:val="0"/>
        <w:bidi w:val="0"/>
        <w:adjustRightInd w:val="0"/>
        <w:snapToGrid w:val="0"/>
        <w:spacing w:after="0" w:afterAutospacing="0" w:line="620" w:lineRule="exact"/>
        <w:ind w:left="0" w:leftChars="0" w:firstLine="560" w:firstLineChars="200"/>
        <w:textAlignment w:val="auto"/>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4.加快推进政务服务“跨省通办”。</w:t>
      </w:r>
    </w:p>
    <w:p>
      <w:pPr>
        <w:keepNext w:val="0"/>
        <w:keepLines w:val="0"/>
        <w:pageBreakBefore w:val="0"/>
        <w:widowControl w:val="0"/>
        <w:kinsoku/>
        <w:wordWrap/>
        <w:overflowPunct/>
        <w:topLinePunct w:val="0"/>
        <w:autoSpaceDE/>
        <w:autoSpaceDN/>
        <w:bidi w:val="0"/>
        <w:adjustRightInd/>
        <w:snapToGrid/>
        <w:spacing w:afterAutospacing="0" w:line="620" w:lineRule="exact"/>
        <w:ind w:firstLine="560" w:firstLineChars="200"/>
        <w:textAlignment w:val="auto"/>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（三）、纵深推进“互联网+政务服务”和政务公开工作</w:t>
      </w:r>
    </w:p>
    <w:p>
      <w:pPr>
        <w:keepNext w:val="0"/>
        <w:keepLines w:val="0"/>
        <w:pageBreakBefore w:val="0"/>
        <w:widowControl w:val="0"/>
        <w:kinsoku/>
        <w:wordWrap/>
        <w:overflowPunct/>
        <w:topLinePunct w:val="0"/>
        <w:autoSpaceDE/>
        <w:autoSpaceDN/>
        <w:bidi w:val="0"/>
        <w:adjustRightInd/>
        <w:snapToGrid/>
        <w:spacing w:afterAutospacing="0" w:line="620" w:lineRule="exact"/>
        <w:ind w:firstLine="560" w:firstLineChars="200"/>
        <w:jc w:val="both"/>
        <w:textAlignment w:val="auto"/>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1.提升网上服务便利化程度。</w:t>
      </w:r>
    </w:p>
    <w:p>
      <w:pPr>
        <w:keepNext w:val="0"/>
        <w:keepLines w:val="0"/>
        <w:pageBreakBefore w:val="0"/>
        <w:widowControl w:val="0"/>
        <w:kinsoku/>
        <w:wordWrap/>
        <w:overflowPunct/>
        <w:topLinePunct w:val="0"/>
        <w:autoSpaceDE/>
        <w:autoSpaceDN/>
        <w:bidi w:val="0"/>
        <w:adjustRightInd/>
        <w:snapToGrid/>
        <w:spacing w:afterAutospacing="0" w:line="620" w:lineRule="exact"/>
        <w:ind w:firstLine="560" w:firstLineChars="200"/>
        <w:jc w:val="both"/>
        <w:textAlignment w:val="auto"/>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2.推进“互联网+监管”工作。</w:t>
      </w:r>
    </w:p>
    <w:p>
      <w:pPr>
        <w:keepNext w:val="0"/>
        <w:keepLines w:val="0"/>
        <w:pageBreakBefore w:val="0"/>
        <w:widowControl w:val="0"/>
        <w:kinsoku/>
        <w:wordWrap/>
        <w:overflowPunct/>
        <w:topLinePunct w:val="0"/>
        <w:autoSpaceDE/>
        <w:autoSpaceDN/>
        <w:bidi w:val="0"/>
        <w:adjustRightInd/>
        <w:snapToGrid/>
        <w:spacing w:afterAutospacing="0" w:line="620" w:lineRule="exact"/>
        <w:ind w:firstLine="560" w:firstLineChars="200"/>
        <w:jc w:val="both"/>
        <w:textAlignment w:val="auto"/>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3.动态管理政府网站和政务新媒体。</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20" w:lineRule="exact"/>
        <w:ind w:firstLine="560" w:firstLineChars="200"/>
        <w:textAlignment w:val="auto"/>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（四）、纵深推进“好差评”制度建设和“12345”热线管理</w:t>
      </w:r>
    </w:p>
    <w:p>
      <w:pPr>
        <w:keepNext w:val="0"/>
        <w:keepLines w:val="0"/>
        <w:pageBreakBefore w:val="0"/>
        <w:widowControl w:val="0"/>
        <w:kinsoku/>
        <w:wordWrap/>
        <w:overflowPunct/>
        <w:topLinePunct w:val="0"/>
        <w:autoSpaceDE/>
        <w:autoSpaceDN/>
        <w:bidi w:val="0"/>
        <w:adjustRightInd/>
        <w:snapToGrid/>
        <w:spacing w:afterAutospacing="0" w:line="620" w:lineRule="exact"/>
        <w:ind w:firstLine="560" w:firstLineChars="200"/>
        <w:jc w:val="both"/>
        <w:textAlignment w:val="auto"/>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1.推进“好差评”制度建设。</w:t>
      </w:r>
    </w:p>
    <w:p>
      <w:pPr>
        <w:keepNext w:val="0"/>
        <w:keepLines w:val="0"/>
        <w:pageBreakBefore w:val="0"/>
        <w:widowControl w:val="0"/>
        <w:kinsoku/>
        <w:wordWrap/>
        <w:overflowPunct/>
        <w:topLinePunct w:val="0"/>
        <w:autoSpaceDE/>
        <w:autoSpaceDN/>
        <w:bidi w:val="0"/>
        <w:adjustRightInd/>
        <w:snapToGrid/>
        <w:spacing w:afterAutospacing="0" w:line="620" w:lineRule="exact"/>
        <w:ind w:firstLine="560" w:firstLineChars="200"/>
        <w:jc w:val="both"/>
        <w:textAlignment w:val="auto"/>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2.高效办理12345热线工单。</w:t>
      </w:r>
    </w:p>
    <w:p>
      <w:pPr>
        <w:pStyle w:val="6"/>
        <w:keepNext w:val="0"/>
        <w:keepLines w:val="0"/>
        <w:pageBreakBefore w:val="0"/>
        <w:widowControl w:val="0"/>
        <w:kinsoku/>
        <w:wordWrap/>
        <w:overflowPunct/>
        <w:topLinePunct w:val="0"/>
        <w:autoSpaceDE/>
        <w:autoSpaceDN/>
        <w:bidi w:val="0"/>
        <w:adjustRightInd/>
        <w:spacing w:afterAutospacing="0" w:line="620" w:lineRule="exact"/>
        <w:ind w:firstLine="560" w:firstLineChars="200"/>
        <w:textAlignment w:val="auto"/>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（五）、纵深推进基层公共服务（一门式）全覆盖工作</w:t>
      </w:r>
    </w:p>
    <w:p>
      <w:pPr>
        <w:keepNext w:val="0"/>
        <w:keepLines w:val="0"/>
        <w:pageBreakBefore w:val="0"/>
        <w:widowControl w:val="0"/>
        <w:kinsoku/>
        <w:wordWrap/>
        <w:overflowPunct/>
        <w:topLinePunct w:val="0"/>
        <w:autoSpaceDE/>
        <w:autoSpaceDN/>
        <w:bidi w:val="0"/>
        <w:adjustRightInd/>
        <w:snapToGrid/>
        <w:spacing w:afterAutospacing="0" w:line="620" w:lineRule="exact"/>
        <w:ind w:firstLine="560" w:firstLineChars="200"/>
        <w:textAlignment w:val="auto"/>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1.明确放权赋权事项。</w:t>
      </w:r>
    </w:p>
    <w:p>
      <w:pPr>
        <w:keepNext w:val="0"/>
        <w:keepLines w:val="0"/>
        <w:pageBreakBefore w:val="0"/>
        <w:widowControl w:val="0"/>
        <w:kinsoku/>
        <w:wordWrap/>
        <w:overflowPunct/>
        <w:topLinePunct w:val="0"/>
        <w:autoSpaceDE/>
        <w:autoSpaceDN/>
        <w:bidi w:val="0"/>
        <w:adjustRightInd/>
        <w:snapToGrid/>
        <w:spacing w:afterAutospacing="0" w:line="620" w:lineRule="exact"/>
        <w:ind w:firstLine="560" w:firstLineChars="200"/>
        <w:textAlignment w:val="auto"/>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2.推进平台流程配置。</w:t>
      </w:r>
    </w:p>
    <w:p>
      <w:pPr>
        <w:keepNext w:val="0"/>
        <w:keepLines w:val="0"/>
        <w:pageBreakBefore w:val="0"/>
        <w:widowControl w:val="0"/>
        <w:kinsoku/>
        <w:wordWrap/>
        <w:overflowPunct/>
        <w:topLinePunct w:val="0"/>
        <w:autoSpaceDE/>
        <w:autoSpaceDN/>
        <w:bidi w:val="0"/>
        <w:adjustRightInd/>
        <w:snapToGrid/>
        <w:spacing w:afterAutospacing="0" w:line="620" w:lineRule="exact"/>
        <w:ind w:firstLine="560" w:firstLineChars="200"/>
        <w:textAlignment w:val="auto"/>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3.严格进行考核排名。</w:t>
      </w:r>
    </w:p>
    <w:p>
      <w:pPr>
        <w:keepNext w:val="0"/>
        <w:keepLines w:val="0"/>
        <w:pageBreakBefore w:val="0"/>
        <w:widowControl w:val="0"/>
        <w:kinsoku/>
        <w:wordWrap/>
        <w:overflowPunct/>
        <w:topLinePunct w:val="0"/>
        <w:autoSpaceDE/>
        <w:autoSpaceDN/>
        <w:bidi w:val="0"/>
        <w:adjustRightInd/>
        <w:snapToGrid/>
        <w:spacing w:afterAutospacing="0" w:line="620" w:lineRule="exact"/>
        <w:ind w:firstLine="560" w:firstLineChars="200"/>
        <w:textAlignment w:val="auto"/>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4.优化政务服务体系。</w:t>
      </w:r>
    </w:p>
    <w:p>
      <w:pPr>
        <w:pStyle w:val="9"/>
        <w:keepNext w:val="0"/>
        <w:keepLines w:val="0"/>
        <w:pageBreakBefore w:val="0"/>
        <w:widowControl w:val="0"/>
        <w:kinsoku/>
        <w:wordWrap/>
        <w:overflowPunct/>
        <w:topLinePunct w:val="0"/>
        <w:autoSpaceDE/>
        <w:autoSpaceDN/>
        <w:bidi w:val="0"/>
        <w:adjustRightInd/>
        <w:snapToGrid/>
        <w:spacing w:after="0" w:afterAutospacing="0" w:line="620" w:lineRule="exact"/>
        <w:ind w:left="0" w:leftChars="0" w:firstLine="560" w:firstLineChars="200"/>
        <w:textAlignment w:val="auto"/>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（六）、纵深推进公共服务队伍建设</w:t>
      </w:r>
    </w:p>
    <w:p>
      <w:pPr>
        <w:pStyle w:val="9"/>
        <w:keepNext w:val="0"/>
        <w:keepLines w:val="0"/>
        <w:pageBreakBefore w:val="0"/>
        <w:widowControl w:val="0"/>
        <w:kinsoku/>
        <w:wordWrap/>
        <w:overflowPunct/>
        <w:topLinePunct w:val="0"/>
        <w:autoSpaceDE/>
        <w:autoSpaceDN/>
        <w:bidi w:val="0"/>
        <w:adjustRightInd/>
        <w:snapToGrid/>
        <w:spacing w:after="0" w:afterAutospacing="0" w:line="620" w:lineRule="exact"/>
        <w:ind w:left="0" w:leftChars="0" w:firstLine="560" w:firstLineChars="200"/>
        <w:textAlignment w:val="auto"/>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1.积极推广帮代办。</w:t>
      </w:r>
    </w:p>
    <w:p>
      <w:pPr>
        <w:pStyle w:val="9"/>
        <w:keepNext w:val="0"/>
        <w:keepLines w:val="0"/>
        <w:pageBreakBefore w:val="0"/>
        <w:widowControl w:val="0"/>
        <w:kinsoku/>
        <w:wordWrap/>
        <w:overflowPunct/>
        <w:topLinePunct w:val="0"/>
        <w:autoSpaceDE/>
        <w:autoSpaceDN/>
        <w:bidi w:val="0"/>
        <w:adjustRightInd/>
        <w:snapToGrid/>
        <w:spacing w:after="0" w:afterAutospacing="0" w:line="620" w:lineRule="exact"/>
        <w:ind w:left="0" w:leftChars="0" w:firstLine="560" w:firstLineChars="200"/>
        <w:textAlignment w:val="auto"/>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2.加强理论实操学习。</w:t>
      </w:r>
    </w:p>
    <w:p>
      <w:pPr>
        <w:pStyle w:val="9"/>
        <w:keepNext w:val="0"/>
        <w:keepLines w:val="0"/>
        <w:pageBreakBefore w:val="0"/>
        <w:widowControl w:val="0"/>
        <w:kinsoku/>
        <w:wordWrap/>
        <w:overflowPunct/>
        <w:topLinePunct w:val="0"/>
        <w:autoSpaceDE/>
        <w:autoSpaceDN/>
        <w:bidi w:val="0"/>
        <w:adjustRightInd/>
        <w:snapToGrid/>
        <w:spacing w:after="0" w:afterAutospacing="0" w:line="620" w:lineRule="exact"/>
        <w:ind w:left="0" w:leftChars="0" w:firstLine="560" w:firstLineChars="200"/>
        <w:textAlignment w:val="auto"/>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3.开展业务培训。</w:t>
      </w:r>
    </w:p>
    <w:p>
      <w:pPr>
        <w:pStyle w:val="9"/>
        <w:keepNext w:val="0"/>
        <w:keepLines w:val="0"/>
        <w:pageBreakBefore w:val="0"/>
        <w:widowControl w:val="0"/>
        <w:kinsoku/>
        <w:wordWrap/>
        <w:overflowPunct/>
        <w:topLinePunct w:val="0"/>
        <w:autoSpaceDE/>
        <w:autoSpaceDN/>
        <w:bidi w:val="0"/>
        <w:adjustRightInd/>
        <w:snapToGrid/>
        <w:spacing w:after="0" w:afterAutospacing="0" w:line="620" w:lineRule="exact"/>
        <w:ind w:left="0" w:leftChars="0" w:firstLine="560" w:firstLineChars="200"/>
        <w:textAlignment w:val="auto"/>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4.加强作风建设。</w:t>
      </w:r>
    </w:p>
    <w:p>
      <w:pPr>
        <w:pStyle w:val="9"/>
        <w:keepNext w:val="0"/>
        <w:keepLines w:val="0"/>
        <w:pageBreakBefore w:val="0"/>
        <w:widowControl w:val="0"/>
        <w:kinsoku/>
        <w:wordWrap/>
        <w:overflowPunct/>
        <w:topLinePunct w:val="0"/>
        <w:autoSpaceDE/>
        <w:autoSpaceDN/>
        <w:bidi w:val="0"/>
        <w:adjustRightInd/>
        <w:snapToGrid/>
        <w:spacing w:after="0" w:afterAutospacing="0" w:line="620" w:lineRule="exact"/>
        <w:ind w:left="0" w:leftChars="0" w:firstLine="560" w:firstLineChars="200"/>
        <w:textAlignment w:val="auto"/>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5.科学规范管理。</w:t>
      </w:r>
    </w:p>
    <w:p>
      <w:pPr>
        <w:pStyle w:val="9"/>
        <w:keepNext w:val="0"/>
        <w:keepLines w:val="0"/>
        <w:pageBreakBefore w:val="0"/>
        <w:widowControl w:val="0"/>
        <w:kinsoku/>
        <w:wordWrap/>
        <w:overflowPunct/>
        <w:topLinePunct w:val="0"/>
        <w:autoSpaceDE/>
        <w:autoSpaceDN/>
        <w:bidi w:val="0"/>
        <w:adjustRightInd/>
        <w:snapToGrid/>
        <w:spacing w:after="0" w:afterAutospacing="0" w:line="620" w:lineRule="exact"/>
        <w:ind w:left="0" w:leftChars="0" w:firstLine="560" w:firstLineChars="200"/>
        <w:textAlignment w:val="auto"/>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（七）、各项中心工作全面完成</w:t>
      </w:r>
    </w:p>
    <w:p>
      <w:pPr>
        <w:pStyle w:val="8"/>
        <w:keepNext w:val="0"/>
        <w:keepLines w:val="0"/>
        <w:pageBreakBefore w:val="0"/>
        <w:widowControl w:val="0"/>
        <w:numPr>
          <w:numId w:val="0"/>
        </w:numPr>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right="0" w:rightChars="0" w:firstLine="560" w:firstLineChars="200"/>
        <w:jc w:val="left"/>
        <w:textAlignment w:val="top"/>
        <w:rPr>
          <w:rFonts w:hint="eastAsia" w:ascii="宋体" w:hAnsi="宋体" w:eastAsia="宋体" w:cs="宋体"/>
          <w:b w:val="0"/>
          <w:bCs w:val="0"/>
          <w:color w:val="444444"/>
          <w:kern w:val="0"/>
          <w:sz w:val="28"/>
          <w:szCs w:val="28"/>
          <w:shd w:val="clear" w:fill="FFFFFF"/>
          <w:lang w:val="en-US" w:eastAsia="zh-CN" w:bidi="ar-SA"/>
        </w:rPr>
      </w:pPr>
      <w:r>
        <w:rPr>
          <w:rFonts w:hint="eastAsia" w:ascii="宋体" w:hAnsi="宋体" w:eastAsia="宋体" w:cs="宋体"/>
          <w:b w:val="0"/>
          <w:bCs w:val="0"/>
          <w:color w:val="444444"/>
          <w:kern w:val="0"/>
          <w:sz w:val="28"/>
          <w:szCs w:val="28"/>
          <w:shd w:val="clear" w:fill="FFFFFF"/>
          <w:lang w:val="en-US" w:eastAsia="zh-CN" w:bidi="ar-SA"/>
        </w:rPr>
        <w:t>五、综合评价情况及评价结论</w:t>
      </w:r>
    </w:p>
    <w:p>
      <w:pPr>
        <w:pStyle w:val="8"/>
        <w:keepNext w:val="0"/>
        <w:keepLines w:val="0"/>
        <w:pageBreakBefore w:val="0"/>
        <w:widowControl w:val="0"/>
        <w:numPr>
          <w:numId w:val="0"/>
        </w:numPr>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right="0" w:rightChars="0" w:firstLine="560" w:firstLineChars="200"/>
        <w:jc w:val="left"/>
        <w:textAlignment w:val="top"/>
      </w:pPr>
      <w:r>
        <w:rPr>
          <w:rFonts w:hint="eastAsia" w:ascii="宋体" w:hAnsi="宋体" w:eastAsia="宋体" w:cs="宋体"/>
          <w:b w:val="0"/>
          <w:bCs w:val="0"/>
          <w:color w:val="444444"/>
          <w:kern w:val="0"/>
          <w:sz w:val="28"/>
          <w:szCs w:val="28"/>
          <w:shd w:val="clear" w:fill="FFFFFF"/>
          <w:lang w:val="en-US" w:eastAsia="zh-CN" w:bidi="ar-SA"/>
        </w:rPr>
        <w:t>2021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w:t>
      </w:r>
      <w:r>
        <w:rPr>
          <w:rFonts w:hint="eastAsia" w:ascii="宋体" w:hAnsi="宋体" w:eastAsia="宋体" w:cs="宋体"/>
          <w:color w:val="444444"/>
          <w:kern w:val="0"/>
          <w:sz w:val="28"/>
          <w:szCs w:val="28"/>
          <w:shd w:val="clear" w:fill="FFFFFF"/>
        </w:rPr>
        <w:t>、重点工作完成率等均达到或超过年初计划数，取得了较好的社会效益。根据邵阳市财政局《部门整体支出绩效评价指标评分表》评分体系，我局整体支出绩效自评</w:t>
      </w:r>
      <w:r>
        <w:rPr>
          <w:rFonts w:hint="eastAsia" w:ascii="宋体" w:hAnsi="宋体" w:eastAsia="宋体" w:cs="宋体"/>
          <w:color w:val="444444"/>
          <w:kern w:val="0"/>
          <w:sz w:val="28"/>
          <w:szCs w:val="28"/>
          <w:shd w:val="clear" w:fill="FFFFFF"/>
          <w:lang w:val="en-US" w:eastAsia="zh-CN"/>
        </w:rPr>
        <w:t>97</w:t>
      </w:r>
      <w:r>
        <w:rPr>
          <w:rFonts w:hint="eastAsia" w:ascii="宋体" w:hAnsi="宋体" w:eastAsia="宋体" w:cs="宋体"/>
          <w:color w:val="444444"/>
          <w:kern w:val="0"/>
          <w:sz w:val="28"/>
          <w:szCs w:val="28"/>
          <w:shd w:val="clear" w:fill="FFFFFF"/>
        </w:rPr>
        <w:t>分，自评</w:t>
      </w:r>
      <w:r>
        <w:rPr>
          <w:rFonts w:hint="eastAsia" w:ascii="宋体" w:hAnsi="宋体" w:eastAsia="宋体" w:cs="宋体"/>
          <w:color w:val="444444"/>
          <w:kern w:val="0"/>
          <w:sz w:val="28"/>
          <w:szCs w:val="28"/>
          <w:shd w:val="clear" w:fill="FFFFFF"/>
          <w:lang w:eastAsia="zh-CN"/>
        </w:rPr>
        <w:t>结果为</w:t>
      </w:r>
      <w:r>
        <w:rPr>
          <w:rFonts w:hint="eastAsia" w:ascii="宋体" w:hAnsi="宋体" w:eastAsia="宋体" w:cs="宋体"/>
          <w:color w:val="444444"/>
          <w:kern w:val="0"/>
          <w:sz w:val="28"/>
          <w:szCs w:val="28"/>
          <w:shd w:val="clear" w:fill="FFFFFF"/>
          <w:lang w:val="en-US" w:eastAsia="zh-CN"/>
        </w:rPr>
        <w:t>良好</w:t>
      </w:r>
      <w:r>
        <w:rPr>
          <w:rFonts w:hint="eastAsia" w:ascii="宋体" w:hAnsi="宋体" w:eastAsia="宋体" w:cs="宋体"/>
          <w:color w:val="444444"/>
          <w:kern w:val="0"/>
          <w:sz w:val="28"/>
          <w:szCs w:val="28"/>
          <w:shd w:val="clear"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eastAsia="zh-CN"/>
        </w:rPr>
        <w:t>六、</w:t>
      </w:r>
      <w:r>
        <w:rPr>
          <w:rFonts w:hint="eastAsia" w:ascii="宋体" w:hAnsi="宋体" w:eastAsia="宋体" w:cs="宋体"/>
          <w:color w:val="444444"/>
          <w:kern w:val="0"/>
          <w:sz w:val="28"/>
          <w:szCs w:val="28"/>
          <w:shd w:val="clear" w:fill="FFFFFF"/>
        </w:rPr>
        <w:t>存在的问题及原因分析</w:t>
      </w:r>
    </w:p>
    <w:p>
      <w:pPr>
        <w:pStyle w:val="40"/>
        <w:keepNext w:val="0"/>
        <w:keepLines w:val="0"/>
        <w:pageBreakBefore w:val="0"/>
        <w:widowControl w:val="0"/>
        <w:shd w:val="clear" w:color="auto" w:fill="FFFFFF"/>
        <w:kinsoku w:val="0"/>
        <w:wordWrap/>
        <w:overflowPunct w:val="0"/>
        <w:topLinePunct w:val="0"/>
        <w:autoSpaceDE w:val="0"/>
        <w:autoSpaceDN w:val="0"/>
        <w:bidi w:val="0"/>
        <w:adjustRightInd w:val="0"/>
        <w:snapToGrid w:val="0"/>
        <w:spacing w:beforeAutospacing="0" w:afterAutospacing="0" w:line="620" w:lineRule="exact"/>
        <w:ind w:firstLine="600"/>
        <w:jc w:val="both"/>
        <w:textAlignment w:val="top"/>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1、预算编制工作有待细化。预算编制不够明确和细化，预算编制的合理性需要提高，预算执行力度还要进一步加强。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bidi="ar-SA"/>
        </w:rPr>
        <w:t>2、绩效评价工作机制</w:t>
      </w:r>
      <w:r>
        <w:rPr>
          <w:rFonts w:hint="eastAsia" w:ascii="宋体" w:hAnsi="宋体" w:eastAsia="宋体" w:cs="宋体"/>
          <w:color w:val="444444"/>
          <w:kern w:val="0"/>
          <w:sz w:val="28"/>
          <w:szCs w:val="28"/>
          <w:shd w:val="clear" w:fill="FFFFFF"/>
          <w:lang w:val="en-US" w:eastAsia="zh-CN"/>
        </w:rPr>
        <w:t>有待进一步完善。由于在平时工作中未加强对绩效监控工作的重视，绩效监控工作容易滞后，未形成对绩效目标进行监控的习惯。</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七、下一步改进措施</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1、做好前期准备工作。分析上年度执行情况，通过实际情况与预算对比，摸索收支规律，了解和掌握了预算年度事业发展计划及资金供需情况，安排支出预算时做到保证重点，兼顾一般。</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Autospacing="0" w:line="620" w:lineRule="exact"/>
        <w:ind w:left="0" w:right="0" w:firstLine="560" w:firstLineChars="200"/>
        <w:jc w:val="left"/>
        <w:textAlignment w:val="top"/>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2、进一步提高绩效管理水平，加强预算执行的准确性，开展好支出绩效管理工作，运用好绩效评价结果，不断提升绩效管理水平。 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300" w:afterAutospacing="0" w:line="580" w:lineRule="exact"/>
        <w:ind w:right="0"/>
        <w:jc w:val="left"/>
        <w:textAlignment w:val="top"/>
        <w:rPr>
          <w:rFonts w:hint="eastAsia" w:ascii="宋体" w:hAnsi="宋体" w:eastAsia="宋体" w:cs="宋体"/>
          <w:color w:val="444444"/>
          <w:kern w:val="0"/>
          <w:sz w:val="28"/>
          <w:szCs w:val="28"/>
          <w:shd w:val="clear" w:fill="FFFFFF"/>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300" w:afterAutospacing="0" w:line="580" w:lineRule="exact"/>
        <w:ind w:left="0" w:right="0" w:firstLine="560" w:firstLineChars="200"/>
        <w:jc w:val="left"/>
        <w:textAlignment w:val="top"/>
        <w:rPr>
          <w:rFonts w:hint="eastAsia" w:ascii="宋体" w:hAnsi="宋体" w:eastAsia="宋体" w:cs="宋体"/>
          <w:color w:val="444444"/>
          <w:kern w:val="0"/>
          <w:sz w:val="28"/>
          <w:szCs w:val="28"/>
          <w:shd w:val="clear" w:fill="FFFFFF"/>
          <w:lang w:val="en-US" w:eastAsia="zh-CN"/>
        </w:rPr>
      </w:pP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jc w:val="left"/>
        <w:rPr>
          <w:rFonts w:hint="eastAsia" w:ascii="宋体" w:hAnsi="宋体" w:eastAsia="宋体" w:cs="宋体"/>
          <w:color w:val="444444"/>
          <w:kern w:val="0"/>
          <w:sz w:val="28"/>
          <w:szCs w:val="28"/>
          <w:shd w:val="clear" w:fill="FFFFFF"/>
        </w:rPr>
      </w:pP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97</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Song3HKS-Medium">
    <w:altName w:val="MS Mincho"/>
    <w:panose1 w:val="00000000000000000000"/>
    <w:charset w:val="80"/>
    <w:family w:val="modern"/>
    <w:pitch w:val="default"/>
    <w:sig w:usb0="00000000" w:usb1="00000000" w:usb2="00000010" w:usb3="00000000" w:csb0="00120005" w:csb1="0000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BF45AE"/>
    <w:multiLevelType w:val="singleLevel"/>
    <w:tmpl w:val="DDBF45A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zYjg3MjY5ODQyODM0ZTgzZTViNzVmOGI3ZGIxZmMifQ=="/>
  </w:docVars>
  <w:rsids>
    <w:rsidRoot w:val="00000000"/>
    <w:rsid w:val="00DD5E1E"/>
    <w:rsid w:val="0ABF0394"/>
    <w:rsid w:val="0D3E1779"/>
    <w:rsid w:val="10961B97"/>
    <w:rsid w:val="17C03A11"/>
    <w:rsid w:val="1BCE6428"/>
    <w:rsid w:val="1CB95DAE"/>
    <w:rsid w:val="1DDA036B"/>
    <w:rsid w:val="1EAC476E"/>
    <w:rsid w:val="21921F1B"/>
    <w:rsid w:val="226732A5"/>
    <w:rsid w:val="24904F59"/>
    <w:rsid w:val="26DD5EB5"/>
    <w:rsid w:val="28EE5B55"/>
    <w:rsid w:val="29B844D4"/>
    <w:rsid w:val="29E871FF"/>
    <w:rsid w:val="3C4165AB"/>
    <w:rsid w:val="45AD0E01"/>
    <w:rsid w:val="48323FB1"/>
    <w:rsid w:val="4A6A602A"/>
    <w:rsid w:val="50B45744"/>
    <w:rsid w:val="584514C7"/>
    <w:rsid w:val="5CAE4AFA"/>
    <w:rsid w:val="5CCA6DEF"/>
    <w:rsid w:val="630B66E5"/>
    <w:rsid w:val="651B358E"/>
    <w:rsid w:val="67442409"/>
    <w:rsid w:val="6D636ADF"/>
    <w:rsid w:val="785A3A6C"/>
    <w:rsid w:val="7D855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1"/>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CSong3HKS-Medium"/>
      <w:b/>
      <w:bCs/>
      <w:sz w:val="32"/>
      <w:szCs w:val="32"/>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5">
    <w:name w:val="Body Text Indent"/>
    <w:basedOn w:val="1"/>
    <w:semiHidden/>
    <w:qFormat/>
    <w:uiPriority w:val="99"/>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qFormat/>
    <w:uiPriority w:val="0"/>
    <w:rPr>
      <w:sz w:val="24"/>
    </w:rPr>
  </w:style>
  <w:style w:type="paragraph" w:styleId="9">
    <w:name w:val="Body Text First Indent 2"/>
    <w:basedOn w:val="5"/>
    <w:semiHidden/>
    <w:qFormat/>
    <w:uiPriority w:val="99"/>
    <w:pPr>
      <w:ind w:firstLine="420" w:firstLineChars="200"/>
    </w:pPr>
  </w:style>
  <w:style w:type="character" w:styleId="12">
    <w:name w:val="page number"/>
    <w:basedOn w:val="11"/>
    <w:qFormat/>
    <w:uiPriority w:val="0"/>
  </w:style>
  <w:style w:type="character" w:styleId="13">
    <w:name w:val="FollowedHyperlink"/>
    <w:basedOn w:val="11"/>
    <w:qFormat/>
    <w:uiPriority w:val="0"/>
    <w:rPr>
      <w:color w:val="444444"/>
      <w:u w:val="none"/>
    </w:rPr>
  </w:style>
  <w:style w:type="character" w:styleId="14">
    <w:name w:val="Hyperlink"/>
    <w:basedOn w:val="11"/>
    <w:qFormat/>
    <w:uiPriority w:val="0"/>
    <w:rPr>
      <w:color w:val="444444"/>
      <w:u w:val="none"/>
    </w:rPr>
  </w:style>
  <w:style w:type="character" w:customStyle="1" w:styleId="15">
    <w:name w:val="gai"/>
    <w:basedOn w:val="11"/>
    <w:qFormat/>
    <w:uiPriority w:val="0"/>
  </w:style>
  <w:style w:type="character" w:customStyle="1" w:styleId="16">
    <w:name w:val="gai1"/>
    <w:basedOn w:val="11"/>
    <w:qFormat/>
    <w:uiPriority w:val="0"/>
  </w:style>
  <w:style w:type="character" w:customStyle="1" w:styleId="17">
    <w:name w:val="gai2"/>
    <w:basedOn w:val="11"/>
    <w:qFormat/>
    <w:uiPriority w:val="0"/>
  </w:style>
  <w:style w:type="character" w:customStyle="1" w:styleId="18">
    <w:name w:val="gai3"/>
    <w:basedOn w:val="11"/>
    <w:qFormat/>
    <w:uiPriority w:val="0"/>
  </w:style>
  <w:style w:type="character" w:customStyle="1" w:styleId="19">
    <w:name w:val="gai4"/>
    <w:basedOn w:val="11"/>
    <w:qFormat/>
    <w:uiPriority w:val="0"/>
  </w:style>
  <w:style w:type="character" w:customStyle="1" w:styleId="20">
    <w:name w:val="you"/>
    <w:basedOn w:val="11"/>
    <w:qFormat/>
    <w:uiPriority w:val="0"/>
  </w:style>
  <w:style w:type="character" w:customStyle="1" w:styleId="21">
    <w:name w:val="info-valid"/>
    <w:basedOn w:val="11"/>
    <w:qFormat/>
    <w:uiPriority w:val="0"/>
    <w:rPr>
      <w:color w:val="444444"/>
    </w:rPr>
  </w:style>
  <w:style w:type="character" w:customStyle="1" w:styleId="22">
    <w:name w:val="tit2"/>
    <w:basedOn w:val="11"/>
    <w:qFormat/>
    <w:uiPriority w:val="0"/>
    <w:rPr>
      <w:color w:val="1D0000"/>
      <w:sz w:val="33"/>
      <w:szCs w:val="33"/>
    </w:rPr>
  </w:style>
  <w:style w:type="character" w:customStyle="1" w:styleId="23">
    <w:name w:val="tianqi"/>
    <w:basedOn w:val="11"/>
    <w:qFormat/>
    <w:uiPriority w:val="0"/>
  </w:style>
  <w:style w:type="character" w:customStyle="1" w:styleId="24">
    <w:name w:val="sjzs"/>
    <w:basedOn w:val="11"/>
    <w:qFormat/>
    <w:uiPriority w:val="0"/>
    <w:rPr>
      <w:sz w:val="27"/>
      <w:szCs w:val="27"/>
    </w:rPr>
  </w:style>
  <w:style w:type="character" w:customStyle="1" w:styleId="25">
    <w:name w:val="quanp"/>
    <w:basedOn w:val="11"/>
    <w:qFormat/>
    <w:uiPriority w:val="0"/>
    <w:rPr>
      <w:color w:val="FFFFFF"/>
      <w:shd w:val="clear" w:fill="7CB8FE"/>
    </w:rPr>
  </w:style>
  <w:style w:type="character" w:customStyle="1" w:styleId="26">
    <w:name w:val="lname"/>
    <w:basedOn w:val="11"/>
    <w:qFormat/>
    <w:uiPriority w:val="0"/>
    <w:rPr>
      <w:color w:val="000000"/>
      <w:sz w:val="30"/>
      <w:szCs w:val="30"/>
    </w:rPr>
  </w:style>
  <w:style w:type="character" w:customStyle="1" w:styleId="27">
    <w:name w:val="first-child4"/>
    <w:basedOn w:val="11"/>
    <w:qFormat/>
    <w:uiPriority w:val="0"/>
    <w:rPr>
      <w:color w:val="BD1B09"/>
    </w:rPr>
  </w:style>
  <w:style w:type="character" w:customStyle="1" w:styleId="28">
    <w:name w:val="first-child5"/>
    <w:basedOn w:val="11"/>
    <w:qFormat/>
    <w:uiPriority w:val="0"/>
    <w:rPr>
      <w:color w:val="878787"/>
      <w:sz w:val="36"/>
      <w:szCs w:val="36"/>
      <w:shd w:val="clear" w:fill="FFFFFF"/>
    </w:rPr>
  </w:style>
  <w:style w:type="character" w:customStyle="1" w:styleId="29">
    <w:name w:val="ldjs"/>
    <w:basedOn w:val="11"/>
    <w:qFormat/>
    <w:uiPriority w:val="0"/>
    <w:rPr>
      <w:color w:val="666666"/>
      <w:sz w:val="24"/>
      <w:szCs w:val="24"/>
    </w:rPr>
  </w:style>
  <w:style w:type="character" w:customStyle="1" w:styleId="30">
    <w:name w:val="quanp2"/>
    <w:basedOn w:val="11"/>
    <w:qFormat/>
    <w:uiPriority w:val="0"/>
    <w:rPr>
      <w:color w:val="FFFFFF"/>
      <w:sz w:val="0"/>
      <w:szCs w:val="0"/>
      <w:shd w:val="clear" w:fill="7CB8FE"/>
    </w:rPr>
  </w:style>
  <w:style w:type="character" w:customStyle="1" w:styleId="31">
    <w:name w:val="jiaoluo"/>
    <w:basedOn w:val="11"/>
    <w:qFormat/>
    <w:uiPriority w:val="0"/>
  </w:style>
  <w:style w:type="character" w:customStyle="1" w:styleId="32">
    <w:name w:val="last3"/>
    <w:basedOn w:val="11"/>
    <w:qFormat/>
    <w:uiPriority w:val="0"/>
  </w:style>
  <w:style w:type="character" w:customStyle="1" w:styleId="33">
    <w:name w:val="last4"/>
    <w:basedOn w:val="11"/>
    <w:qFormat/>
    <w:uiPriority w:val="0"/>
  </w:style>
  <w:style w:type="character" w:customStyle="1" w:styleId="34">
    <w:name w:val="fanhui"/>
    <w:basedOn w:val="11"/>
    <w:qFormat/>
    <w:uiPriority w:val="0"/>
    <w:rPr>
      <w:color w:val="FFFFFF"/>
      <w:sz w:val="24"/>
      <w:szCs w:val="24"/>
    </w:rPr>
  </w:style>
  <w:style w:type="character" w:customStyle="1" w:styleId="35">
    <w:name w:val="jiaoluo2"/>
    <w:basedOn w:val="11"/>
    <w:qFormat/>
    <w:uiPriority w:val="0"/>
  </w:style>
  <w:style w:type="character" w:customStyle="1" w:styleId="36">
    <w:name w:val="zuo"/>
    <w:basedOn w:val="11"/>
    <w:qFormat/>
    <w:uiPriority w:val="0"/>
  </w:style>
  <w:style w:type="character" w:customStyle="1" w:styleId="37">
    <w:name w:val="dcs"/>
    <w:basedOn w:val="11"/>
    <w:qFormat/>
    <w:uiPriority w:val="0"/>
    <w:rPr>
      <w:color w:val="BD1B09"/>
    </w:rPr>
  </w:style>
  <w:style w:type="character" w:customStyle="1" w:styleId="38">
    <w:name w:val="time"/>
    <w:basedOn w:val="11"/>
    <w:qFormat/>
    <w:uiPriority w:val="0"/>
    <w:rPr>
      <w:color w:val="999999"/>
    </w:rPr>
  </w:style>
  <w:style w:type="character" w:customStyle="1" w:styleId="39">
    <w:name w:val="time1"/>
    <w:basedOn w:val="11"/>
    <w:qFormat/>
    <w:uiPriority w:val="0"/>
    <w:rPr>
      <w:color w:val="999999"/>
    </w:rPr>
  </w:style>
  <w:style w:type="paragraph" w:customStyle="1" w:styleId="40">
    <w:name w:val="Normal (Web)"/>
    <w:basedOn w:val="1"/>
    <w:qFormat/>
    <w:uiPriority w:val="0"/>
    <w:pPr>
      <w:jc w:val="left"/>
    </w:pPr>
    <w:rPr>
      <w:kern w:val="0"/>
      <w:sz w:val="24"/>
    </w:rPr>
  </w:style>
  <w:style w:type="character" w:customStyle="1" w:styleId="41">
    <w:name w:val="NormalCharacter"/>
    <w:link w:val="1"/>
    <w:qFormat/>
    <w:uiPriority w:val="0"/>
    <w:rPr>
      <w:rFonts w:asciiTheme="minorHAnsi" w:hAnsiTheme="minorHAnsi" w:eastAsiaTheme="minorEastAsia" w:cstheme="minorBidi"/>
      <w:kern w:val="2"/>
      <w:sz w:val="21"/>
      <w:szCs w:val="24"/>
      <w:lang w:val="en-US" w:eastAsia="zh-CN" w:bidi="ar-SA"/>
    </w:rPr>
  </w:style>
  <w:style w:type="paragraph" w:customStyle="1" w:styleId="42">
    <w:name w:val="Index5"/>
    <w:basedOn w:val="1"/>
    <w:next w:val="1"/>
    <w:qFormat/>
    <w:uiPriority w:val="0"/>
    <w:pPr>
      <w:ind w:left="1680"/>
      <w:jc w:val="both"/>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5300</Words>
  <Characters>5584</Characters>
  <Lines>0</Lines>
  <Paragraphs>0</Paragraphs>
  <TotalTime>17</TotalTime>
  <ScaleCrop>false</ScaleCrop>
  <LinksUpToDate>false</LinksUpToDate>
  <CharactersWithSpaces>5795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Administrator</cp:lastModifiedBy>
  <dcterms:modified xsi:type="dcterms:W3CDTF">2022-10-17T09:00:43Z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5F0E179D65CD41E39A6D3851CA2DAB9E</vt:lpwstr>
  </property>
</Properties>
</file>