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eastAsia="黑体" w:cs="Times New Roman Regular"/>
          <w:sz w:val="33"/>
          <w:szCs w:val="33"/>
        </w:rPr>
      </w:pPr>
    </w:p>
    <w:p>
      <w:pPr>
        <w:rPr>
          <w:rFonts w:hint="default" w:ascii="Times New Roman Regular" w:hAnsi="Times New Roman Regular" w:eastAsia="黑体" w:cs="Times New Roman Regular"/>
          <w:sz w:val="33"/>
          <w:szCs w:val="33"/>
        </w:rPr>
      </w:pPr>
    </w:p>
    <w:p>
      <w:pPr>
        <w:jc w:val="center"/>
        <w:outlineLvl w:val="0"/>
        <w:rPr>
          <w:rFonts w:hint="default" w:ascii="Times New Roman" w:hAnsi="Times New Roman" w:eastAsia="方正小标宋_GBK" w:cs="Times New Roman"/>
          <w:b w:val="0"/>
          <w:bCs w:val="0"/>
          <w:sz w:val="44"/>
          <w:szCs w:val="44"/>
        </w:rPr>
      </w:pPr>
      <w:bookmarkStart w:id="0" w:name="_Toc10471"/>
      <w:bookmarkStart w:id="1" w:name="_Toc20640"/>
      <w:bookmarkStart w:id="2" w:name="_Toc27022"/>
      <w:bookmarkStart w:id="3" w:name="_Toc32613"/>
    </w:p>
    <w:p>
      <w:pPr>
        <w:jc w:val="center"/>
        <w:outlineLvl w:val="0"/>
        <w:rPr>
          <w:rFonts w:hint="default" w:ascii="Times New Roman" w:hAnsi="Times New Roman" w:eastAsia="方正小标宋_GBK" w:cs="Times New Roman"/>
          <w:b w:val="0"/>
          <w:bCs w:val="0"/>
          <w:sz w:val="44"/>
          <w:szCs w:val="44"/>
        </w:rPr>
      </w:pPr>
    </w:p>
    <w:p>
      <w:pPr>
        <w:jc w:val="center"/>
        <w:outlineLvl w:val="0"/>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邵阳市北塔区信访局</w:t>
      </w:r>
      <w:bookmarkEnd w:id="0"/>
    </w:p>
    <w:p>
      <w:pPr>
        <w:jc w:val="center"/>
        <w:outlineLvl w:val="0"/>
        <w:rPr>
          <w:rFonts w:hint="default" w:ascii="Times New Roman" w:hAnsi="Times New Roman" w:eastAsia="方正小标宋_GBK" w:cs="Times New Roman"/>
          <w:b w:val="0"/>
          <w:bCs w:val="0"/>
          <w:sz w:val="44"/>
          <w:szCs w:val="44"/>
        </w:rPr>
      </w:pPr>
      <w:bookmarkStart w:id="4" w:name="_Toc16732"/>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rPr>
        <w:t>年度部门整体支出</w:t>
      </w:r>
      <w:bookmarkEnd w:id="1"/>
      <w:bookmarkEnd w:id="2"/>
      <w:bookmarkEnd w:id="3"/>
      <w:r>
        <w:rPr>
          <w:rFonts w:hint="default" w:ascii="Times New Roman" w:hAnsi="Times New Roman" w:eastAsia="方正小标宋_GBK" w:cs="Times New Roman"/>
          <w:b w:val="0"/>
          <w:bCs w:val="0"/>
          <w:sz w:val="44"/>
          <w:szCs w:val="44"/>
        </w:rPr>
        <w:t>绩效评价报告</w:t>
      </w:r>
      <w:bookmarkEnd w:id="4"/>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jc w:val="center"/>
        <w:rPr>
          <w:rFonts w:hint="default" w:ascii="Times New Roman Regular" w:hAnsi="Times New Roman Regular" w:eastAsia="黑体" w:cs="Times New Roman Regular"/>
          <w:sz w:val="33"/>
          <w:szCs w:val="33"/>
        </w:rPr>
      </w:pPr>
    </w:p>
    <w:p>
      <w:pPr>
        <w:spacing w:before="0" w:beforeLines="0" w:after="0" w:afterLines="0" w:line="240" w:lineRule="auto"/>
        <w:ind w:left="0" w:leftChars="0" w:right="0" w:rightChars="0" w:firstLine="0" w:firstLineChars="0"/>
        <w:jc w:val="center"/>
        <w:rPr>
          <w:rFonts w:ascii="Times New Roman Regular" w:hAnsi="Times New Roman Regular" w:eastAsia="宋体" w:cs="Times New Roman Regular"/>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469" w:beforeLines="150" w:after="0" w:afterLines="0" w:line="240" w:lineRule="auto"/>
        <w:ind w:left="0" w:leftChars="0" w:right="0" w:rightChars="0" w:firstLine="0" w:firstLineChars="0"/>
        <w:jc w:val="center"/>
        <w:textAlignment w:val="auto"/>
        <w:rPr>
          <w:rFonts w:ascii="Times New Roman Regular" w:hAnsi="Times New Roman Regular" w:eastAsia="宋体" w:cs="Times New Roman Regular"/>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ascii="Times New Roman Regular" w:hAnsi="Times New Roman Regular" w:cs="Times New Roman Regular"/>
              <w:b/>
              <w:bCs/>
              <w:sz w:val="45"/>
              <w:szCs w:val="45"/>
            </w:rPr>
          </w:pPr>
          <w:r>
            <w:rPr>
              <w:rFonts w:ascii="Times New Roman Regular" w:hAnsi="Times New Roman Regular" w:eastAsia="宋体" w:cs="Times New Roman Regular"/>
              <w:b/>
              <w:bCs/>
              <w:sz w:val="45"/>
              <w:szCs w:val="45"/>
            </w:rPr>
            <w:t>目</w:t>
          </w:r>
          <w:r>
            <w:rPr>
              <w:rFonts w:hint="default" w:ascii="Times New Roman Regular" w:hAnsi="Times New Roman Regular" w:eastAsia="宋体" w:cs="Times New Roman Regular"/>
              <w:b/>
              <w:bCs/>
              <w:sz w:val="45"/>
              <w:szCs w:val="45"/>
              <w:lang w:val="en-US" w:eastAsia="zh-CN"/>
            </w:rPr>
            <w:t xml:space="preserve"> </w:t>
          </w:r>
          <w:r>
            <w:rPr>
              <w:rFonts w:ascii="Times New Roman Regular" w:hAnsi="Times New Roman Regular" w:eastAsia="宋体" w:cs="Times New Roman Regular"/>
              <w:b/>
              <w:bCs/>
              <w:sz w:val="45"/>
              <w:szCs w:val="45"/>
            </w:rPr>
            <w:t>录</w:t>
          </w:r>
        </w:p>
        <w:p>
          <w:pPr>
            <w:pStyle w:val="11"/>
            <w:tabs>
              <w:tab w:val="right" w:leader="dot" w:pos="8392"/>
            </w:tabs>
          </w:pP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_Toc2817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一、</w:t>
          </w:r>
          <w:r>
            <w:rPr>
              <w:rFonts w:hint="default" w:ascii="Times New Roman" w:hAnsi="Times New Roman" w:eastAsia="仿宋" w:cs="Times New Roman"/>
              <w:bCs/>
              <w:sz w:val="30"/>
              <w:szCs w:val="30"/>
              <w:lang w:val="en-US" w:eastAsia="zh-CN"/>
            </w:rPr>
            <w:t>单位基本情况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_Toc2817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_Toc20019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（一）部门概况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_Toc20019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_Toc22695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（二）主要职责</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_Toc22695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_Toc24545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（三）人员情况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_Toc24545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_Toc11876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二、部门整体收支情况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_Toc11876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_Toc20090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（一）资金收入情况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_Toc20090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_Toc25289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（二）资金使用情况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_Toc25289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_Toc16854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（三）资金管理情况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_Toc16854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_Toc9142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三、制度建设情况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_Toc9142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_Toc18477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（一）财务管理制度及机关日常制度建设情况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_Toc18477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_Toc26354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（二）资产管理制度建设及使用情况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_Toc26354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_Toc26328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（三）政府采购制度建设情况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_Toc26328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_Toc4211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（四）信息公开制度建设情况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_Toc4211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_Toc7661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四、第三方重点绩效评价工作情况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_Toc7661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_Toc1034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（一）重点绩效评价目的</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_Toc1034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_Toc24006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（二）重点绩效评价工作过程</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_Toc24006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_Toc17741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highlight w:val="none"/>
              <w:lang w:val="en-US" w:eastAsia="zh-CN" w:bidi="ar-SA"/>
            </w:rPr>
            <w:t>五、部门整体支出绩效情况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_Toc17741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_Toc9652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（一）部门整体实际产出情况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_Toc9652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_Toc8184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（二）部门整体效益情况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_Toc8184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_Toc32117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（三）部门整体满意度</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_Toc32117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_Toc25620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highlight w:val="none"/>
              <w:lang w:val="en-US" w:eastAsia="zh-CN" w:bidi="ar-SA"/>
            </w:rPr>
            <w:t>六、综合评价情况及评价结论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_Toc25620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_Toc18209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 xml:space="preserve">七、 </w:t>
          </w:r>
          <w:r>
            <w:rPr>
              <w:rFonts w:hint="default" w:ascii="Times New Roman" w:hAnsi="Times New Roman" w:eastAsia="仿宋" w:cs="Times New Roman"/>
              <w:bCs/>
              <w:kern w:val="2"/>
              <w:sz w:val="30"/>
              <w:szCs w:val="30"/>
              <w:highlight w:val="none"/>
              <w:lang w:val="en-US" w:eastAsia="zh-CN" w:bidi="ar-SA"/>
            </w:rPr>
            <w:t>存在的主要问题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_Toc18209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_Toc23724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一</w:t>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绩效</w:t>
          </w:r>
          <w:r>
            <w:rPr>
              <w:rFonts w:hint="default" w:ascii="Times New Roman" w:hAnsi="Times New Roman" w:eastAsia="仿宋" w:cs="Times New Roman"/>
              <w:bCs/>
              <w:sz w:val="30"/>
              <w:szCs w:val="30"/>
              <w:lang w:val="en-US" w:eastAsia="zh-CN"/>
            </w:rPr>
            <w:t>管理方面</w:t>
          </w:r>
          <w:r>
            <w:rPr>
              <w:rFonts w:hint="default" w:ascii="Times New Roman" w:hAnsi="Times New Roman" w:eastAsia="仿宋" w:cs="Times New Roman"/>
              <w:sz w:val="30"/>
              <w:szCs w:val="30"/>
            </w:rPr>
            <w:tab/>
          </w: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fldChar w:fldCharType="end"/>
          </w:r>
          <w:r>
            <w:rPr>
              <w:rFonts w:hint="eastAsia" w:ascii="Times New Roman" w:hAnsi="Times New Roman" w:eastAsia="仿宋" w:cs="Times New Roman"/>
              <w:sz w:val="30"/>
              <w:szCs w:val="30"/>
              <w:lang w:val="en-US" w:eastAsia="zh-CN"/>
            </w:rPr>
            <w:t>0</w:t>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_Toc5541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w:t>
          </w:r>
          <w:r>
            <w:rPr>
              <w:rFonts w:hint="eastAsia" w:ascii="Times New Roman" w:hAnsi="Times New Roman" w:eastAsia="仿宋" w:cs="Times New Roman"/>
              <w:bCs/>
              <w:sz w:val="30"/>
              <w:szCs w:val="30"/>
              <w:highlight w:val="none"/>
              <w:lang w:val="en-US" w:eastAsia="zh-CN"/>
            </w:rPr>
            <w:t>二</w:t>
          </w:r>
          <w:r>
            <w:rPr>
              <w:rFonts w:hint="default" w:ascii="Times New Roman" w:hAnsi="Times New Roman" w:eastAsia="仿宋" w:cs="Times New Roman"/>
              <w:bCs/>
              <w:sz w:val="30"/>
              <w:szCs w:val="30"/>
              <w:highlight w:val="none"/>
              <w:lang w:val="en-US" w:eastAsia="zh-CN"/>
            </w:rPr>
            <w:t>）政府采购方面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_Toc5541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_Toc7385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）资产管理方面</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_Toc7385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_Toc21520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八、相关建议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_Toc21520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_Toc11316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highlight w:val="none"/>
              <w:lang w:val="en-US" w:eastAsia="zh-CN"/>
            </w:rPr>
            <w:t>（</w:t>
          </w:r>
          <w:r>
            <w:rPr>
              <w:rFonts w:hint="eastAsia" w:ascii="Times New Roman" w:hAnsi="Times New Roman" w:eastAsia="仿宋" w:cs="Times New Roman"/>
              <w:bCs/>
              <w:sz w:val="30"/>
              <w:szCs w:val="30"/>
              <w:highlight w:val="none"/>
              <w:lang w:val="en-US" w:eastAsia="zh-CN"/>
            </w:rPr>
            <w:t>一</w:t>
          </w:r>
          <w:r>
            <w:rPr>
              <w:rFonts w:hint="default" w:ascii="Times New Roman" w:hAnsi="Times New Roman" w:eastAsia="仿宋" w:cs="Times New Roman"/>
              <w:bCs/>
              <w:sz w:val="30"/>
              <w:szCs w:val="30"/>
              <w:highlight w:val="none"/>
              <w:lang w:val="en-US" w:eastAsia="zh-CN"/>
            </w:rPr>
            <w:t>）</w:t>
          </w:r>
          <w:r>
            <w:rPr>
              <w:rFonts w:hint="default" w:ascii="Times New Roman" w:hAnsi="Times New Roman" w:eastAsia="仿宋" w:cs="Times New Roman"/>
              <w:bCs/>
              <w:sz w:val="30"/>
              <w:szCs w:val="30"/>
              <w:highlight w:val="none"/>
            </w:rPr>
            <w:t>增强绩效目标管理意识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_Toc11316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_Toc18214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）加强政府采购管理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_Toc18214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3"/>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_Toc6802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sz w:val="30"/>
              <w:szCs w:val="30"/>
              <w:lang w:val="en-US" w:eastAsia="zh-CN"/>
            </w:rPr>
            <w:t>（</w:t>
          </w:r>
          <w:r>
            <w:rPr>
              <w:rFonts w:hint="eastAsia" w:ascii="Times New Roman" w:hAnsi="Times New Roman"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）规范资产管理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_Toc6802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pStyle w:val="11"/>
            <w:tabs>
              <w:tab w:val="right" w:leader="dot" w:pos="8392"/>
            </w:tabs>
            <w:rPr>
              <w:rFonts w:hint="default" w:ascii="Times New Roman" w:hAnsi="Times New Roman" w:eastAsia="仿宋" w:cs="Times New Roman"/>
              <w:sz w:val="30"/>
              <w:szCs w:val="30"/>
            </w:rPr>
          </w:pP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\l _Toc21890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bCs/>
              <w:kern w:val="2"/>
              <w:sz w:val="30"/>
              <w:szCs w:val="30"/>
              <w:lang w:val="en-US" w:eastAsia="zh-CN" w:bidi="ar-SA"/>
            </w:rPr>
            <w:t>九、报告使用情况说明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_Toc21890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pP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default" w:ascii="Times New Roman Regular" w:hAnsi="Times New Roman Regular" w:eastAsia="仿宋" w:cs="Times New Roman Regular"/>
          <w:b/>
          <w:bCs/>
          <w:sz w:val="33"/>
          <w:lang w:val="en-US" w:eastAsia="zh-CN"/>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8"/>
                                  <w:kern w:val="0"/>
                                  <w:sz w:val="110"/>
                                  <w:szCs w:val="110"/>
                                  <w:fitText w:val="9733" w:id="245115733"/>
                                  <w:lang w:val="en-US" w:eastAsia="zh-CN"/>
                                </w:rPr>
                                <w:t>湖南财正会计师事务所(普通合伙</w:t>
                              </w:r>
                              <w:r>
                                <w:rPr>
                                  <w:rFonts w:hint="eastAsia" w:ascii="方正大标宋_GBK" w:hAnsi="方正大标宋_GBK" w:eastAsia="方正大标宋_GBK" w:cs="方正大标宋_GBK"/>
                                  <w:b/>
                                  <w:bCs/>
                                  <w:color w:val="FF0000"/>
                                  <w:spacing w:val="74"/>
                                  <w:w w:val="58"/>
                                  <w:kern w:val="0"/>
                                  <w:sz w:val="110"/>
                                  <w:szCs w:val="110"/>
                                  <w:fitText w:val="9733" w:id="245115733"/>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452463699"/>
                                </w:rPr>
                                <w:t>Hunan Caizheng Accounting Firm (General Partnership</w:t>
                              </w:r>
                              <w:r>
                                <w:rPr>
                                  <w:rFonts w:hint="default" w:ascii="Arial" w:hAnsi="Arial" w:cs="Arial"/>
                                  <w:b w:val="0"/>
                                  <w:bCs w:val="0"/>
                                  <w:color w:val="FF0000"/>
                                  <w:spacing w:val="-15"/>
                                  <w:w w:val="98"/>
                                  <w:kern w:val="0"/>
                                  <w:sz w:val="36"/>
                                  <w:szCs w:val="36"/>
                                  <w:fitText w:val="8800" w:id="452463699"/>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1"/>
                            <w:w w:val="58"/>
                            <w:kern w:val="0"/>
                            <w:sz w:val="110"/>
                            <w:szCs w:val="110"/>
                            <w:fitText w:val="9733" w:id="245115733"/>
                            <w:lang w:val="en-US" w:eastAsia="zh-CN"/>
                          </w:rPr>
                          <w:t>湖南财正会计师事务所(普通合伙</w:t>
                        </w:r>
                        <w:r>
                          <w:rPr>
                            <w:rFonts w:hint="eastAsia" w:ascii="方正大标宋_GBK" w:hAnsi="方正大标宋_GBK" w:eastAsia="方正大标宋_GBK" w:cs="方正大标宋_GBK"/>
                            <w:b/>
                            <w:bCs/>
                            <w:color w:val="FF0000"/>
                            <w:spacing w:val="74"/>
                            <w:w w:val="58"/>
                            <w:kern w:val="0"/>
                            <w:sz w:val="110"/>
                            <w:szCs w:val="110"/>
                            <w:fitText w:val="9733" w:id="245115733"/>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452463699"/>
                          </w:rPr>
                          <w:t>Hunan Caizheng Accounting Firm (General Partnership</w:t>
                        </w:r>
                        <w:r>
                          <w:rPr>
                            <w:rFonts w:hint="default" w:ascii="Arial" w:hAnsi="Arial" w:cs="Arial"/>
                            <w:b w:val="0"/>
                            <w:bCs w:val="0"/>
                            <w:color w:val="FF0000"/>
                            <w:spacing w:val="-15"/>
                            <w:w w:val="98"/>
                            <w:kern w:val="0"/>
                            <w:sz w:val="36"/>
                            <w:szCs w:val="36"/>
                            <w:fitText w:val="8800" w:id="452463699"/>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jc w:val="center"/>
        <w:rPr>
          <w:rFonts w:hint="default" w:ascii="Times New Roman Regular" w:hAnsi="Times New Roman Regular" w:eastAsia="仿宋" w:cs="Times New Roman Regular"/>
          <w:b/>
          <w:bCs/>
          <w:sz w:val="33"/>
          <w:lang w:val="en-US" w:eastAsia="zh-CN"/>
        </w:rPr>
      </w:pPr>
    </w:p>
    <w:p>
      <w:pPr>
        <w:jc w:val="center"/>
        <w:rPr>
          <w:rFonts w:hint="default" w:ascii="Times New Roman Regular" w:hAnsi="Times New Roman Regular" w:eastAsia="仿宋" w:cs="Times New Roman Regular"/>
          <w:b/>
          <w:bCs/>
          <w:sz w:val="33"/>
          <w:lang w:val="en-US" w:eastAsia="zh-CN"/>
        </w:rPr>
      </w:pPr>
    </w:p>
    <w:p>
      <w:pPr>
        <w:jc w:val="center"/>
        <w:rPr>
          <w:rFonts w:hint="default" w:ascii="Times New Roman Regular" w:hAnsi="Times New Roman Regular" w:eastAsia="仿宋" w:cs="Times New Roman Regular"/>
          <w:b/>
          <w:bCs/>
          <w:sz w:val="33"/>
          <w:lang w:val="en-US" w:eastAsia="zh-CN"/>
        </w:rPr>
      </w:pPr>
    </w:p>
    <w:p>
      <w:pPr>
        <w:jc w:val="center"/>
        <w:rPr>
          <w:rFonts w:hint="default" w:ascii="Times New Roman Regular" w:hAnsi="Times New Roman Regular" w:eastAsia="仿宋" w:cs="Times New Roman Regular"/>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eastAsia" w:ascii="Times New Roman Regular" w:hAnsi="Times New Roman Regular" w:eastAsia="仿宋" w:cs="Times New Roman Regular"/>
          <w:b w:val="0"/>
          <w:bCs w:val="0"/>
          <w:sz w:val="33"/>
          <w:lang w:val="en-US" w:eastAsia="zh-CN"/>
        </w:rPr>
        <w:t>084</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default" w:ascii="Times New Roman Regular" w:hAnsi="Times New Roman Regular" w:eastAsia="方正小标宋简体" w:cs="Times New Roman Regular"/>
          <w:b w:val="0"/>
          <w:bCs w:val="0"/>
          <w:sz w:val="44"/>
          <w:szCs w:val="44"/>
          <w:lang w:val="en-US" w:eastAsia="zh-CN"/>
        </w:rPr>
      </w:pPr>
      <w:r>
        <w:rPr>
          <w:rFonts w:hint="default" w:ascii="Times New Roman Regular" w:hAnsi="Times New Roman Regular" w:eastAsia="方正小标宋简体" w:cs="Times New Roman Regular"/>
          <w:b w:val="0"/>
          <w:bCs w:val="0"/>
          <w:sz w:val="44"/>
          <w:szCs w:val="44"/>
          <w:lang w:val="en-US" w:eastAsia="zh-CN"/>
        </w:rPr>
        <w:t>邵阳市北塔区信访局</w:t>
      </w:r>
    </w:p>
    <w:p>
      <w:pPr>
        <w:jc w:val="center"/>
        <w:rPr>
          <w:rFonts w:hint="default" w:ascii="Times New Roman Regular" w:hAnsi="Times New Roman Regular" w:eastAsia="宋体" w:cs="Times New Roman Regular"/>
          <w:b w:val="0"/>
          <w:bCs w:val="0"/>
          <w:sz w:val="44"/>
          <w:szCs w:val="44"/>
          <w:lang w:val="en-US" w:eastAsia="zh-CN"/>
        </w:rPr>
      </w:pPr>
      <w:r>
        <w:rPr>
          <w:rFonts w:hint="default" w:ascii="Times New Roman Regular" w:hAnsi="Times New Roman Regular" w:eastAsia="方正小标宋简体" w:cs="Times New Roman Regular"/>
          <w:b w:val="0"/>
          <w:bCs w:val="0"/>
          <w:sz w:val="44"/>
          <w:szCs w:val="44"/>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ind w:firstLine="640" w:firstLineChars="200"/>
        <w:jc w:val="both"/>
        <w:rPr>
          <w:rFonts w:hint="default" w:ascii="Times New Roman Regular" w:hAnsi="Times New Roman Regular" w:eastAsia="黑体" w:cs="Times New Roman Regular"/>
          <w:b/>
          <w:bCs/>
          <w:kern w:val="2"/>
          <w:sz w:val="31"/>
          <w:szCs w:val="31"/>
          <w:lang w:val="en-US" w:eastAsia="zh-CN" w:bidi="ar-SA"/>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w:t>
      </w:r>
      <w:r>
        <w:rPr>
          <w:rFonts w:hint="default" w:ascii="Times New Roman Regular" w:hAnsi="Times New Roman Regular" w:eastAsia="仿宋" w:cs="Times New Roman Regular"/>
          <w:b w:val="0"/>
          <w:bCs w:val="0"/>
          <w:sz w:val="31"/>
          <w:szCs w:val="31"/>
          <w:lang w:val="en-US" w:eastAsia="zh-CN"/>
        </w:rPr>
        <w:t>湖南财正会计师事务所</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以下简称“我所”</w:t>
      </w:r>
      <w:r>
        <w:rPr>
          <w:rFonts w:hint="eastAsia" w:ascii="Times New Roman Regular" w:hAnsi="Times New Roman Regular" w:eastAsia="仿宋" w:cs="Times New Roman Regular"/>
          <w:b w:val="0"/>
          <w:bCs w:val="0"/>
          <w:sz w:val="31"/>
          <w:szCs w:val="31"/>
          <w:lang w:val="en-US" w:eastAsia="zh-CN"/>
        </w:rPr>
        <w:t>）</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邵阳市北塔区信访局</w:t>
      </w:r>
      <w:r>
        <w:rPr>
          <w:rFonts w:hint="default" w:ascii="Times New Roman" w:hAnsi="Times New Roman" w:eastAsia="仿宋_GB2312" w:cs="Times New Roman"/>
          <w:sz w:val="32"/>
          <w:szCs w:val="32"/>
          <w:lang w:val="en-US" w:eastAsia="zh-CN"/>
        </w:rPr>
        <w:t>2022</w:t>
      </w:r>
      <w:r>
        <w:rPr>
          <w:rFonts w:hint="default"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整体支出开展了绩效评</w:t>
      </w:r>
      <w:r>
        <w:rPr>
          <w:rFonts w:hint="default" w:ascii="Times New Roman Regular" w:hAnsi="Times New Roman Regular" w:eastAsia="仿宋" w:cs="Times New Roman Regular"/>
          <w:b w:val="0"/>
          <w:bCs w:val="0"/>
          <w:sz w:val="31"/>
          <w:szCs w:val="31"/>
          <w:lang w:val="en-US" w:eastAsia="zh-CN"/>
        </w:rPr>
        <w:t>价。现将有关情况报告如下：</w:t>
      </w:r>
      <w:bookmarkStart w:id="5" w:name="_Toc32604"/>
    </w:p>
    <w:p>
      <w:pPr>
        <w:numPr>
          <w:ilvl w:val="0"/>
          <w:numId w:val="0"/>
        </w:numPr>
        <w:ind w:firstLine="622" w:firstLineChars="200"/>
        <w:jc w:val="both"/>
        <w:outlineLvl w:val="0"/>
        <w:rPr>
          <w:rFonts w:hint="default" w:ascii="Times New Roman Regular" w:hAnsi="Times New Roman Regular" w:eastAsia="黑体" w:cs="Times New Roman Regular"/>
          <w:b/>
          <w:bCs/>
          <w:sz w:val="31"/>
          <w:szCs w:val="31"/>
          <w:lang w:val="en-US" w:eastAsia="zh-CN"/>
        </w:rPr>
      </w:pPr>
      <w:bookmarkStart w:id="6" w:name="_Toc2817"/>
      <w:r>
        <w:rPr>
          <w:rFonts w:hint="default" w:ascii="Times New Roman Regular" w:hAnsi="Times New Roman Regular" w:eastAsia="黑体" w:cs="Times New Roman Regular"/>
          <w:b/>
          <w:bCs/>
          <w:kern w:val="2"/>
          <w:sz w:val="31"/>
          <w:szCs w:val="31"/>
          <w:lang w:val="en-US" w:eastAsia="zh-CN" w:bidi="ar-SA"/>
        </w:rPr>
        <w:t>一、</w:t>
      </w:r>
      <w:r>
        <w:rPr>
          <w:rFonts w:hint="default" w:ascii="Times New Roman Regular" w:hAnsi="Times New Roman Regular" w:eastAsia="黑体" w:cs="Times New Roman Regular"/>
          <w:b/>
          <w:bCs/>
          <w:sz w:val="31"/>
          <w:szCs w:val="31"/>
          <w:lang w:val="en-US" w:eastAsia="zh-CN"/>
        </w:rPr>
        <w:t>单位基本情况</w:t>
      </w:r>
      <w:bookmarkEnd w:id="5"/>
      <w:bookmarkEnd w:id="6"/>
    </w:p>
    <w:p>
      <w:pPr>
        <w:numPr>
          <w:ilvl w:val="0"/>
          <w:numId w:val="0"/>
        </w:numPr>
        <w:ind w:firstLine="622" w:firstLineChars="200"/>
        <w:jc w:val="both"/>
        <w:outlineLvl w:val="1"/>
        <w:rPr>
          <w:rFonts w:hint="default" w:ascii="Times New Roman Regular" w:hAnsi="Times New Roman Regular" w:eastAsia="楷体" w:cs="Times New Roman Regular"/>
          <w:b/>
          <w:bCs/>
          <w:sz w:val="31"/>
          <w:szCs w:val="31"/>
          <w:highlight w:val="none"/>
          <w:lang w:val="en-US" w:eastAsia="zh-CN"/>
        </w:rPr>
      </w:pPr>
      <w:bookmarkStart w:id="7" w:name="_Toc20019"/>
      <w:bookmarkStart w:id="8" w:name="_Toc25574"/>
      <w:r>
        <w:rPr>
          <w:rFonts w:hint="default" w:ascii="Times New Roman Regular" w:hAnsi="Times New Roman Regular" w:eastAsia="楷体" w:cs="Times New Roman Regular"/>
          <w:b/>
          <w:bCs/>
          <w:sz w:val="31"/>
          <w:szCs w:val="31"/>
          <w:highlight w:val="none"/>
          <w:lang w:val="en-US" w:eastAsia="zh-CN"/>
        </w:rPr>
        <w:t>（一）部门概况</w:t>
      </w:r>
      <w:bookmarkEnd w:id="7"/>
      <w:bookmarkEnd w:id="8"/>
    </w:p>
    <w:p>
      <w:pPr>
        <w:widowControl/>
        <w:numPr>
          <w:ilvl w:val="0"/>
          <w:numId w:val="0"/>
        </w:numPr>
        <w:spacing w:after="0" w:line="240" w:lineRule="auto"/>
        <w:ind w:left="0" w:right="0" w:firstLine="620" w:firstLineChars="200"/>
        <w:rPr>
          <w:rFonts w:hint="default" w:ascii="Times New Roman Regular" w:hAnsi="Times New Roman Regular" w:eastAsia="仿宋" w:cs="Times New Roman Regular"/>
          <w:color w:val="auto"/>
          <w:sz w:val="31"/>
          <w:szCs w:val="31"/>
          <w:shd w:val="clear" w:color="auto" w:fill="auto"/>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numPr>
          <w:ilvl w:val="0"/>
          <w:numId w:val="0"/>
        </w:numPr>
        <w:spacing w:after="0" w:line="240" w:lineRule="auto"/>
        <w:ind w:left="0" w:right="0" w:firstLine="620" w:firstLineChars="200"/>
        <w:rPr>
          <w:rFonts w:ascii="Times New Roman Regular" w:hAnsi="Times New Roman Regular" w:eastAsia="仿宋" w:cs="Times New Roman Regular"/>
          <w:color w:val="auto"/>
          <w:sz w:val="31"/>
          <w:szCs w:val="31"/>
          <w:shd w:val="clear" w:color="auto" w:fill="auto"/>
        </w:rPr>
      </w:pPr>
      <w:r>
        <w:rPr>
          <w:rFonts w:hint="default" w:ascii="Times New Roman Regular" w:hAnsi="Times New Roman Regular" w:eastAsia="仿宋" w:cs="Times New Roman Regular"/>
          <w:color w:val="auto"/>
          <w:sz w:val="31"/>
          <w:szCs w:val="31"/>
          <w:shd w:val="clear" w:color="auto" w:fill="auto"/>
        </w:rPr>
        <w:t>邵阳市北塔区信访局</w:t>
      </w:r>
      <w:r>
        <w:rPr>
          <w:rFonts w:hint="eastAsia" w:ascii="Times New Roman Regular" w:hAnsi="Times New Roman Regular" w:eastAsia="仿宋" w:cs="Times New Roman Regular"/>
          <w:color w:val="auto"/>
          <w:sz w:val="31"/>
          <w:szCs w:val="31"/>
          <w:shd w:val="clear" w:color="auto" w:fill="auto"/>
          <w:lang w:eastAsia="zh-CN"/>
        </w:rPr>
        <w:t>（</w:t>
      </w:r>
      <w:r>
        <w:rPr>
          <w:rFonts w:hint="eastAsia" w:ascii="Times New Roman Regular" w:hAnsi="Times New Roman Regular" w:eastAsia="仿宋" w:cs="Times New Roman Regular"/>
          <w:color w:val="auto"/>
          <w:sz w:val="31"/>
          <w:szCs w:val="31"/>
          <w:shd w:val="clear" w:color="auto" w:fill="auto"/>
          <w:lang w:val="en-US" w:eastAsia="zh-CN"/>
        </w:rPr>
        <w:t>以下简称“信访局”</w:t>
      </w:r>
      <w:r>
        <w:rPr>
          <w:rFonts w:hint="eastAsia" w:ascii="Times New Roman Regular" w:hAnsi="Times New Roman Regular" w:eastAsia="仿宋" w:cs="Times New Roman Regular"/>
          <w:color w:val="auto"/>
          <w:sz w:val="31"/>
          <w:szCs w:val="31"/>
          <w:shd w:val="clear" w:color="auto" w:fill="auto"/>
          <w:lang w:eastAsia="zh-CN"/>
        </w:rPr>
        <w:t>）位于邵阳市北塔区人民政府，是区政府工作部门，为区委区政府处理信访问题。</w:t>
      </w:r>
      <w:r>
        <w:rPr>
          <w:rFonts w:hint="default" w:ascii="Times New Roman Regular" w:hAnsi="Times New Roman Regular" w:eastAsia="仿宋" w:cs="Times New Roman Regular"/>
          <w:color w:val="auto"/>
          <w:sz w:val="31"/>
          <w:szCs w:val="31"/>
          <w:shd w:val="clear" w:color="auto" w:fill="auto"/>
        </w:rPr>
        <w:t>内设3股1室</w:t>
      </w:r>
      <w:r>
        <w:rPr>
          <w:rFonts w:hint="eastAsia" w:ascii="Times New Roman Regular" w:hAnsi="Times New Roman Regular" w:eastAsia="仿宋" w:cs="Times New Roman Regular"/>
          <w:color w:val="auto"/>
          <w:sz w:val="31"/>
          <w:szCs w:val="31"/>
          <w:shd w:val="clear" w:color="auto" w:fill="auto"/>
          <w:lang w:eastAsia="zh-CN"/>
        </w:rPr>
        <w:t>，</w:t>
      </w:r>
      <w:r>
        <w:rPr>
          <w:rFonts w:hint="eastAsia" w:ascii="Times New Roman Regular" w:hAnsi="Times New Roman Regular" w:eastAsia="仿宋" w:cs="Times New Roman Regular"/>
          <w:color w:val="auto"/>
          <w:sz w:val="31"/>
          <w:szCs w:val="31"/>
          <w:shd w:val="clear" w:color="auto" w:fill="auto"/>
          <w:lang w:val="en-US" w:eastAsia="zh-CN"/>
        </w:rPr>
        <w:t>分别是</w:t>
      </w:r>
      <w:r>
        <w:rPr>
          <w:rFonts w:hint="default" w:ascii="Times New Roman Regular" w:hAnsi="Times New Roman Regular" w:eastAsia="仿宋" w:cs="Times New Roman Regular"/>
          <w:color w:val="auto"/>
          <w:sz w:val="31"/>
          <w:szCs w:val="31"/>
          <w:shd w:val="clear" w:color="auto" w:fill="auto"/>
        </w:rPr>
        <w:t>办公室、复查复核股、网信办信股、督查股。下设区接待办理中心和区驻长维稳劝返工作站两个二级机构，均为事业单位。</w:t>
      </w:r>
    </w:p>
    <w:p>
      <w:pPr>
        <w:numPr>
          <w:ilvl w:val="0"/>
          <w:numId w:val="0"/>
        </w:numPr>
        <w:ind w:firstLine="622" w:firstLineChars="200"/>
        <w:jc w:val="both"/>
        <w:outlineLvl w:val="1"/>
        <w:rPr>
          <w:rFonts w:hint="default" w:ascii="Times New Roman Regular" w:hAnsi="Times New Roman Regular" w:eastAsia="楷体" w:cs="Times New Roman Regular"/>
          <w:b/>
          <w:bCs/>
          <w:sz w:val="31"/>
          <w:szCs w:val="31"/>
          <w:highlight w:val="none"/>
          <w:lang w:val="en-US" w:eastAsia="zh-CN"/>
        </w:rPr>
      </w:pPr>
      <w:bookmarkStart w:id="9" w:name="_Toc22695"/>
      <w:bookmarkStart w:id="10" w:name="_Toc24937"/>
      <w:r>
        <w:rPr>
          <w:rFonts w:hint="default" w:ascii="Times New Roman Regular" w:hAnsi="Times New Roman Regular" w:eastAsia="楷体" w:cs="Times New Roman Regular"/>
          <w:b/>
          <w:bCs/>
          <w:sz w:val="31"/>
          <w:szCs w:val="31"/>
          <w:highlight w:val="none"/>
          <w:lang w:val="en-US" w:eastAsia="zh-CN"/>
        </w:rPr>
        <w:t>（二）主要职责</w:t>
      </w:r>
      <w:bookmarkEnd w:id="9"/>
      <w:bookmarkEnd w:id="10"/>
    </w:p>
    <w:p>
      <w:pPr>
        <w:widowControl/>
        <w:numPr>
          <w:ilvl w:val="0"/>
          <w:numId w:val="0"/>
        </w:numPr>
        <w:spacing w:after="0" w:line="240" w:lineRule="auto"/>
        <w:ind w:left="0" w:right="0" w:firstLine="620" w:firstLineChars="200"/>
        <w:rPr>
          <w:rFonts w:ascii="Times New Roman Regular" w:hAnsi="Times New Roman Regular" w:eastAsia="仿宋" w:cs="Times New Roman Regular"/>
          <w:color w:val="auto"/>
          <w:sz w:val="31"/>
          <w:szCs w:val="31"/>
          <w:shd w:val="clear" w:color="auto" w:fill="auto"/>
        </w:rPr>
      </w:pPr>
      <w:r>
        <w:rPr>
          <w:rFonts w:hint="default" w:ascii="Times New Roman Regular" w:hAnsi="Times New Roman Regular" w:eastAsia="仿宋" w:cs="Times New Roman Regular"/>
          <w:color w:val="auto"/>
          <w:sz w:val="31"/>
          <w:szCs w:val="31"/>
          <w:shd w:val="clear" w:color="auto" w:fill="auto"/>
        </w:rPr>
        <w:t>贯彻执行中央和省、市有关信访工作的方针、政策、指示、拟定本区的信访工作规定和制度</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负责处理上级交办和区委、区政府领导批办的信访案件</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负责接待和处理人民群众来信来访，积极与有关部门协商解决政策范围内的信访问题</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搞好信访预测，及时掌握群众集体上访苗头，耐心劝阻集体上访；做好信访老户的稳定工作</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收集、筛选信访信息，及时报送区委、区政府领导，为领导决策当参谋</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检查、督促、指导全区的信访工作，发现问题，解决问题，组织交流信访工作经验</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定期综合研究人民群众来信来访反映的情况和问题，及时向有关领导和有关部门反映，并提出解决问题的建议</w:t>
      </w:r>
      <w:r>
        <w:rPr>
          <w:rFonts w:hint="eastAsia" w:ascii="Times New Roman Regular" w:hAnsi="Times New Roman Regular" w:eastAsia="仿宋" w:cs="Times New Roman Regular"/>
          <w:color w:val="auto"/>
          <w:sz w:val="31"/>
          <w:szCs w:val="31"/>
          <w:shd w:val="clear" w:color="auto" w:fill="auto"/>
          <w:lang w:eastAsia="zh-CN"/>
        </w:rPr>
        <w:t>；</w:t>
      </w:r>
      <w:r>
        <w:rPr>
          <w:rFonts w:hint="default" w:ascii="Times New Roman Regular" w:hAnsi="Times New Roman Regular" w:eastAsia="仿宋" w:cs="Times New Roman Regular"/>
          <w:color w:val="auto"/>
          <w:sz w:val="31"/>
          <w:szCs w:val="31"/>
          <w:shd w:val="clear" w:color="auto" w:fill="auto"/>
        </w:rPr>
        <w:t>完成区委、区政府和上级交办的其他事项。</w:t>
      </w:r>
    </w:p>
    <w:p>
      <w:pPr>
        <w:numPr>
          <w:ilvl w:val="0"/>
          <w:numId w:val="0"/>
        </w:numPr>
        <w:ind w:firstLine="622" w:firstLineChars="200"/>
        <w:jc w:val="both"/>
        <w:outlineLvl w:val="1"/>
        <w:rPr>
          <w:rFonts w:hint="default" w:ascii="Times New Roman Regular" w:hAnsi="Times New Roman Regular" w:eastAsia="楷体" w:cs="Times New Roman Regular"/>
          <w:b/>
          <w:bCs/>
          <w:sz w:val="31"/>
          <w:szCs w:val="31"/>
          <w:highlight w:val="none"/>
          <w:lang w:val="en-US" w:eastAsia="zh-CN"/>
        </w:rPr>
      </w:pPr>
      <w:bookmarkStart w:id="11" w:name="_Toc24545"/>
      <w:bookmarkStart w:id="12" w:name="_Toc429"/>
      <w:r>
        <w:rPr>
          <w:rFonts w:hint="default" w:ascii="Times New Roman Regular" w:hAnsi="Times New Roman Regular" w:eastAsia="楷体" w:cs="Times New Roman Regular"/>
          <w:b/>
          <w:bCs/>
          <w:sz w:val="31"/>
          <w:szCs w:val="31"/>
          <w:highlight w:val="none"/>
          <w:lang w:val="en-US" w:eastAsia="zh-CN"/>
        </w:rPr>
        <w:t>（三）人员情况</w:t>
      </w:r>
      <w:bookmarkEnd w:id="11"/>
      <w:bookmarkEnd w:id="12"/>
    </w:p>
    <w:p>
      <w:pPr>
        <w:widowControl/>
        <w:numPr>
          <w:ilvl w:val="0"/>
          <w:numId w:val="0"/>
        </w:numPr>
        <w:spacing w:after="0" w:line="240" w:lineRule="auto"/>
        <w:ind w:left="0" w:right="0" w:firstLine="620" w:firstLineChars="200"/>
        <w:rPr>
          <w:rFonts w:hint="default" w:ascii="Times New Roman Regular" w:hAnsi="Times New Roman Regular" w:eastAsia="仿宋" w:cs="Times New Roman Regular"/>
          <w:color w:val="auto"/>
          <w:sz w:val="31"/>
          <w:szCs w:val="31"/>
          <w:shd w:val="clear" w:color="auto" w:fill="auto"/>
          <w:lang w:val="en-US" w:eastAsia="zh-CN"/>
        </w:rPr>
      </w:pPr>
      <w:r>
        <w:rPr>
          <w:rFonts w:hint="default" w:ascii="Times New Roman Regular" w:hAnsi="Times New Roman Regular" w:eastAsia="仿宋" w:cs="Times New Roman Regular"/>
          <w:color w:val="auto"/>
          <w:sz w:val="31"/>
          <w:szCs w:val="31"/>
          <w:shd w:val="clear" w:color="auto" w:fill="auto"/>
        </w:rPr>
        <w:t>2022年北塔区信访局实有在职人数</w:t>
      </w:r>
      <w:r>
        <w:rPr>
          <w:rFonts w:hint="eastAsia" w:ascii="Times New Roman Regular" w:hAnsi="Times New Roman Regular" w:eastAsia="仿宋" w:cs="Times New Roman Regular"/>
          <w:color w:val="auto"/>
          <w:sz w:val="31"/>
          <w:szCs w:val="31"/>
          <w:shd w:val="clear" w:color="auto" w:fill="auto"/>
          <w:lang w:val="en-US" w:eastAsia="zh-CN"/>
        </w:rPr>
        <w:t>11</w:t>
      </w:r>
      <w:r>
        <w:rPr>
          <w:rFonts w:hint="default" w:ascii="Times New Roman Regular" w:hAnsi="Times New Roman Regular" w:eastAsia="仿宋" w:cs="Times New Roman Regular"/>
          <w:color w:val="auto"/>
          <w:sz w:val="31"/>
          <w:szCs w:val="31"/>
          <w:shd w:val="clear" w:color="auto" w:fill="auto"/>
        </w:rPr>
        <w:t>人，其中</w:t>
      </w:r>
      <w:r>
        <w:rPr>
          <w:rFonts w:hint="eastAsia" w:ascii="Times New Roman Regular" w:hAnsi="Times New Roman Regular" w:eastAsia="仿宋" w:cs="Times New Roman Regular"/>
          <w:color w:val="auto"/>
          <w:sz w:val="31"/>
          <w:szCs w:val="31"/>
          <w:shd w:val="clear" w:color="auto" w:fill="auto"/>
          <w:lang w:val="en-US" w:eastAsia="zh-CN"/>
        </w:rPr>
        <w:t>临聘人员2人，在编9人。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3" w:name="_Toc11876"/>
      <w:bookmarkStart w:id="14" w:name="_Toc18408"/>
      <w:r>
        <w:rPr>
          <w:rFonts w:hint="default" w:ascii="Times New Roman Regular" w:hAnsi="Times New Roman Regular" w:eastAsia="黑体" w:cs="Times New Roman Regular"/>
          <w:b/>
          <w:bCs/>
          <w:kern w:val="2"/>
          <w:sz w:val="32"/>
          <w:szCs w:val="32"/>
          <w:lang w:val="en-US" w:eastAsia="zh-CN" w:bidi="ar-SA"/>
        </w:rPr>
        <w:t>二、部门整体收支情况</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20090"/>
      <w:bookmarkStart w:id="16" w:name="_Toc27600"/>
      <w:r>
        <w:rPr>
          <w:rFonts w:hint="default" w:ascii="Times New Roman Regular" w:hAnsi="Times New Roman Regular" w:eastAsia="楷体" w:cs="Times New Roman Regular"/>
          <w:b/>
          <w:bCs/>
          <w:sz w:val="32"/>
          <w:szCs w:val="32"/>
          <w:lang w:val="en-US" w:eastAsia="zh-CN"/>
        </w:rPr>
        <w:t>（一）资金收入情况</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根据邵阳市北塔区信访局2022年度部门决算报表，2022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为410.9万元，其中；一般公共预算财政拨款收入</w:t>
      </w:r>
      <w:r>
        <w:rPr>
          <w:rFonts w:hint="eastAsia" w:ascii="Times New Roman Regular" w:hAnsi="Times New Roman Regular" w:eastAsia="仿宋" w:cs="Times New Roman Regular"/>
          <w:b w:val="0"/>
          <w:bCs w:val="0"/>
          <w:sz w:val="32"/>
          <w:szCs w:val="32"/>
          <w:lang w:val="en-US" w:eastAsia="zh-CN"/>
        </w:rPr>
        <w:t>410.9</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万元、年初结转和结余资金</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7" w:name="_Toc6457"/>
      <w:bookmarkStart w:id="18" w:name="_Toc25289"/>
      <w:r>
        <w:rPr>
          <w:rFonts w:hint="default" w:ascii="Times New Roman Regular" w:hAnsi="Times New Roman Regular" w:eastAsia="楷体" w:cs="Times New Roman Regular"/>
          <w:b/>
          <w:bCs/>
          <w:sz w:val="32"/>
          <w:szCs w:val="32"/>
          <w:lang w:val="en-US" w:eastAsia="zh-CN"/>
        </w:rPr>
        <w:t>（二）资金使用情况</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根据邵阳市北塔区信访局2022年度部门决算报表，2022年度共计支出</w:t>
      </w:r>
      <w:r>
        <w:rPr>
          <w:rFonts w:hint="eastAsia" w:ascii="Times New Roman Regular" w:hAnsi="Times New Roman Regular" w:eastAsia="仿宋" w:cs="Times New Roman Regular"/>
          <w:b w:val="0"/>
          <w:bCs w:val="0"/>
          <w:sz w:val="32"/>
          <w:szCs w:val="32"/>
          <w:lang w:val="en-US" w:eastAsia="zh-CN"/>
        </w:rPr>
        <w:t>410.9</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410.9</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项目支出</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万元；年末结转和结余0.00万元。</w:t>
      </w:r>
    </w:p>
    <w:p>
      <w:pPr>
        <w:numPr>
          <w:ilvl w:val="0"/>
          <w:numId w:val="0"/>
        </w:numPr>
        <w:spacing w:line="600" w:lineRule="exact"/>
        <w:ind w:firstLine="602" w:firstLineChars="200"/>
        <w:jc w:val="both"/>
        <w:rPr>
          <w:rFonts w:hint="default" w:ascii="Times New Roman Regular" w:hAnsi="Times New Roman Regular" w:eastAsia="仿宋" w:cs="Times New Roman Regular"/>
          <w:b/>
          <w:bCs/>
          <w:sz w:val="30"/>
          <w:szCs w:val="30"/>
          <w:highlight w:val="none"/>
          <w:lang w:val="en-US" w:eastAsia="zh-CN"/>
        </w:rPr>
      </w:pPr>
      <w:r>
        <w:rPr>
          <w:rFonts w:hint="default" w:ascii="Times New Roman Regular" w:hAnsi="Times New Roman Regular" w:eastAsia="仿宋" w:cs="Times New Roman Regular"/>
          <w:b/>
          <w:bCs/>
          <w:sz w:val="30"/>
          <w:szCs w:val="30"/>
          <w:highlight w:val="none"/>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根据邵阳市北塔区信访局2022年度部门决算报表，2022年度邵阳市北塔区信访局基本支出共计</w:t>
      </w:r>
      <w:r>
        <w:rPr>
          <w:rFonts w:hint="eastAsia" w:ascii="Times New Roman Regular" w:hAnsi="Times New Roman Regular" w:eastAsia="仿宋" w:cs="Times New Roman Regular"/>
          <w:b w:val="0"/>
          <w:bCs w:val="0"/>
          <w:sz w:val="32"/>
          <w:szCs w:val="32"/>
          <w:lang w:val="en-US" w:eastAsia="zh-CN"/>
        </w:rPr>
        <w:t>410.9</w:t>
      </w:r>
      <w:r>
        <w:rPr>
          <w:rFonts w:hint="default" w:ascii="Times New Roman Regular" w:hAnsi="Times New Roman Regular" w:eastAsia="仿宋" w:cs="Times New Roman Regular"/>
          <w:b w:val="0"/>
          <w:bCs w:val="0"/>
          <w:sz w:val="32"/>
          <w:szCs w:val="32"/>
          <w:lang w:val="en-US" w:eastAsia="zh-CN"/>
        </w:rPr>
        <w:t>万元，其中</w:t>
      </w:r>
      <w:r>
        <w:rPr>
          <w:rFonts w:hint="eastAsia" w:ascii="Times New Roman Regular" w:hAnsi="Times New Roman Regular" w:eastAsia="仿宋" w:cs="Times New Roman Regular"/>
          <w:b w:val="0"/>
          <w:bCs w:val="0"/>
          <w:sz w:val="32"/>
          <w:szCs w:val="32"/>
          <w:lang w:val="en-US" w:eastAsia="zh-CN"/>
        </w:rPr>
        <w:t>人员经费支出133.44万元</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公用经费支出277.46万元</w:t>
      </w:r>
      <w:r>
        <w:rPr>
          <w:rFonts w:hint="default" w:ascii="Times New Roman Regular" w:hAnsi="Times New Roman Regular" w:eastAsia="仿宋" w:cs="Times New Roman Regular"/>
          <w:b w:val="0"/>
          <w:bCs w:val="0"/>
          <w:sz w:val="32"/>
          <w:szCs w:val="32"/>
          <w:lang w:val="en-US" w:eastAsia="zh-CN"/>
        </w:rPr>
        <w:t>。具体支出明细如下：</w:t>
      </w:r>
    </w:p>
    <w:tbl>
      <w:tblPr>
        <w:tblStyle w:val="18"/>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0"/>
        <w:gridCol w:w="5008"/>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trPr>
        <w:tc>
          <w:tcPr>
            <w:tcW w:w="804" w:type="pct"/>
            <w:vAlign w:val="top"/>
          </w:tcPr>
          <w:p>
            <w:pPr>
              <w:spacing w:before="61" w:line="221" w:lineRule="auto"/>
              <w:ind w:left="448"/>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序号</w:t>
            </w:r>
          </w:p>
        </w:tc>
        <w:tc>
          <w:tcPr>
            <w:tcW w:w="2960" w:type="pct"/>
            <w:vAlign w:val="top"/>
          </w:tcPr>
          <w:p>
            <w:pPr>
              <w:spacing w:before="61" w:line="220" w:lineRule="auto"/>
              <w:ind w:left="2025"/>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6"/>
                <w:sz w:val="24"/>
                <w:szCs w:val="24"/>
              </w:rPr>
              <w:t>支出项目</w:t>
            </w:r>
          </w:p>
        </w:tc>
        <w:tc>
          <w:tcPr>
            <w:tcW w:w="1235" w:type="pct"/>
            <w:vAlign w:val="top"/>
          </w:tcPr>
          <w:p>
            <w:pPr>
              <w:spacing w:before="60" w:line="219" w:lineRule="auto"/>
              <w:ind w:left="491"/>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4"/>
                <w:sz w:val="24"/>
                <w:szCs w:val="24"/>
              </w:rPr>
              <w:t>金额</w:t>
            </w:r>
            <w:r>
              <w:rPr>
                <w:rFonts w:hint="eastAsia" w:ascii="Times New Roman Regular" w:hAnsi="Times New Roman Regular" w:eastAsia="仿宋" w:cs="Times New Roman Regular"/>
                <w:b/>
                <w:bCs/>
                <w:spacing w:val="4"/>
                <w:sz w:val="24"/>
                <w:szCs w:val="24"/>
                <w:lang w:eastAsia="zh-CN"/>
              </w:rPr>
              <w:t>（</w:t>
            </w:r>
            <w:r>
              <w:rPr>
                <w:rFonts w:hint="default" w:ascii="Times New Roman Regular" w:hAnsi="Times New Roman Regular" w:eastAsia="仿宋" w:cs="Times New Roman Regular"/>
                <w:b/>
                <w:bCs/>
                <w:spacing w:val="4"/>
                <w:sz w:val="24"/>
                <w:szCs w:val="24"/>
              </w:rPr>
              <w:t>万元</w:t>
            </w:r>
            <w:r>
              <w:rPr>
                <w:rFonts w:hint="eastAsia" w:ascii="Times New Roman Regular" w:hAnsi="Times New Roman Regular" w:eastAsia="仿宋" w:cs="Times New Roman Regular"/>
                <w:b/>
                <w:bCs/>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4" w:type="pct"/>
            <w:vAlign w:val="top"/>
          </w:tcPr>
          <w:p>
            <w:pPr>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b/>
                <w:bCs/>
                <w:sz w:val="24"/>
                <w:szCs w:val="24"/>
                <w:lang w:val="en-US" w:eastAsia="zh-CN"/>
              </w:rPr>
              <w:t>一</w:t>
            </w:r>
          </w:p>
        </w:tc>
        <w:tc>
          <w:tcPr>
            <w:tcW w:w="2960" w:type="pct"/>
            <w:vAlign w:val="top"/>
          </w:tcPr>
          <w:p>
            <w:pPr>
              <w:spacing w:before="57" w:line="220" w:lineRule="auto"/>
              <w:ind w:left="2025"/>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人员经费</w:t>
            </w:r>
          </w:p>
        </w:tc>
        <w:tc>
          <w:tcPr>
            <w:tcW w:w="1235" w:type="pct"/>
            <w:vAlign w:val="top"/>
          </w:tcPr>
          <w:p>
            <w:pPr>
              <w:spacing w:before="86"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b/>
                <w:bCs/>
                <w:spacing w:val="-4"/>
                <w:sz w:val="24"/>
                <w:szCs w:val="24"/>
                <w:highlight w:val="none"/>
                <w:lang w:val="en-US" w:eastAsia="zh-CN"/>
              </w:rPr>
              <w:t>133.44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04" w:type="pct"/>
            <w:vAlign w:val="top"/>
          </w:tcPr>
          <w:p>
            <w:pPr>
              <w:spacing w:before="124" w:line="184" w:lineRule="auto"/>
              <w:jc w:val="center"/>
              <w:rPr>
                <w:rFonts w:hint="default" w:ascii="Times New Roman Regular" w:hAnsi="Times New Roman Regular" w:eastAsia="仿宋" w:cs="Times New Roman Regular"/>
                <w:sz w:val="24"/>
                <w:szCs w:val="24"/>
                <w:lang w:val="en-US" w:eastAsia="zh-CN"/>
              </w:rPr>
            </w:pPr>
            <w:bookmarkStart w:id="19" w:name="OLE_LINK1" w:colFirst="2" w:colLast="2"/>
            <w:r>
              <w:rPr>
                <w:rFonts w:hint="default" w:ascii="Times New Roman Regular" w:hAnsi="Times New Roman Regular" w:eastAsia="仿宋" w:cs="Times New Roman Regular"/>
                <w:sz w:val="24"/>
                <w:szCs w:val="24"/>
                <w:lang w:val="en-US" w:eastAsia="zh-CN"/>
              </w:rPr>
              <w:t>1</w:t>
            </w:r>
          </w:p>
        </w:tc>
        <w:tc>
          <w:tcPr>
            <w:tcW w:w="2960" w:type="pct"/>
            <w:vAlign w:val="top"/>
          </w:tcPr>
          <w:p>
            <w:pPr>
              <w:spacing w:before="70" w:line="219" w:lineRule="auto"/>
              <w:ind w:left="2022"/>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3"/>
                <w:sz w:val="24"/>
                <w:szCs w:val="24"/>
              </w:rPr>
              <w:t>基本工资</w:t>
            </w:r>
          </w:p>
        </w:tc>
        <w:tc>
          <w:tcPr>
            <w:tcW w:w="1235" w:type="pct"/>
            <w:vAlign w:val="top"/>
          </w:tcPr>
          <w:p>
            <w:pPr>
              <w:spacing w:before="100" w:line="184" w:lineRule="auto"/>
              <w:jc w:val="center"/>
              <w:rPr>
                <w:rFonts w:hint="default"/>
                <w:lang w:val="en-US" w:eastAsia="zh-CN"/>
              </w:rPr>
            </w:pPr>
            <w:r>
              <w:rPr>
                <w:rFonts w:hint="eastAsia" w:ascii="Times New Roman Regular" w:hAnsi="Times New Roman Regular" w:eastAsia="仿宋" w:cs="Times New Roman Regular"/>
                <w:spacing w:val="-3"/>
                <w:sz w:val="24"/>
                <w:szCs w:val="24"/>
                <w:lang w:val="en-US" w:eastAsia="zh-CN"/>
              </w:rPr>
              <w:t>46.23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4" w:type="pct"/>
            <w:vAlign w:val="top"/>
          </w:tcPr>
          <w:p>
            <w:pPr>
              <w:spacing w:before="116" w:line="183" w:lineRule="auto"/>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2</w:t>
            </w:r>
          </w:p>
        </w:tc>
        <w:tc>
          <w:tcPr>
            <w:tcW w:w="2960" w:type="pct"/>
            <w:vAlign w:val="top"/>
          </w:tcPr>
          <w:p>
            <w:pPr>
              <w:spacing w:before="62" w:line="219" w:lineRule="auto"/>
              <w:ind w:left="2022"/>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津贴补贴</w:t>
            </w:r>
          </w:p>
        </w:tc>
        <w:tc>
          <w:tcPr>
            <w:tcW w:w="1235" w:type="pct"/>
            <w:vAlign w:val="top"/>
          </w:tcPr>
          <w:p>
            <w:pPr>
              <w:spacing w:before="116"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2"/>
                <w:sz w:val="24"/>
                <w:szCs w:val="24"/>
                <w:lang w:val="en-US" w:eastAsia="zh-CN"/>
              </w:rPr>
              <w:t>26.54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4" w:type="pct"/>
            <w:vAlign w:val="top"/>
          </w:tcPr>
          <w:p>
            <w:pPr>
              <w:spacing w:before="116" w:line="183" w:lineRule="auto"/>
              <w:jc w:val="center"/>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3</w:t>
            </w:r>
          </w:p>
        </w:tc>
        <w:tc>
          <w:tcPr>
            <w:tcW w:w="2960" w:type="pct"/>
            <w:vAlign w:val="top"/>
          </w:tcPr>
          <w:p>
            <w:pPr>
              <w:spacing w:before="62" w:line="219" w:lineRule="auto"/>
              <w:jc w:val="center"/>
              <w:rPr>
                <w:rFonts w:hint="default" w:ascii="Times New Roman Regular" w:hAnsi="Times New Roman Regular" w:eastAsia="仿宋" w:cs="Times New Roman Regular"/>
                <w:snapToGrid w:val="0"/>
                <w:color w:val="000000"/>
                <w:spacing w:val="-2"/>
                <w:kern w:val="0"/>
                <w:sz w:val="24"/>
                <w:szCs w:val="24"/>
                <w:lang w:val="en-US" w:eastAsia="zh-CN"/>
              </w:rPr>
            </w:pPr>
            <w:r>
              <w:rPr>
                <w:rFonts w:hint="default" w:ascii="Times New Roman Regular" w:hAnsi="Times New Roman Regular" w:eastAsia="仿宋" w:cs="Times New Roman Regular"/>
                <w:spacing w:val="-2"/>
                <w:sz w:val="24"/>
                <w:szCs w:val="24"/>
                <w:lang w:val="en-US" w:eastAsia="zh-CN"/>
              </w:rPr>
              <w:t>奖金</w:t>
            </w:r>
          </w:p>
        </w:tc>
        <w:tc>
          <w:tcPr>
            <w:tcW w:w="1235" w:type="pct"/>
            <w:vAlign w:val="top"/>
          </w:tcPr>
          <w:p>
            <w:pPr>
              <w:spacing w:before="116" w:line="183" w:lineRule="auto"/>
              <w:jc w:val="center"/>
              <w:rPr>
                <w:rFonts w:hint="default" w:ascii="Times New Roman Regular" w:hAnsi="Times New Roman Regular" w:eastAsia="仿宋" w:cs="Times New Roman Regular"/>
                <w:snapToGrid w:val="0"/>
                <w:color w:val="000000"/>
                <w:spacing w:val="-2"/>
                <w:kern w:val="0"/>
                <w:sz w:val="24"/>
                <w:szCs w:val="24"/>
                <w:lang w:val="en-US" w:eastAsia="zh-CN"/>
              </w:rPr>
            </w:pPr>
            <w:r>
              <w:rPr>
                <w:rFonts w:hint="eastAsia" w:ascii="Times New Roman Regular" w:hAnsi="Times New Roman Regular" w:eastAsia="仿宋" w:cs="Times New Roman Regular"/>
                <w:spacing w:val="-2"/>
                <w:sz w:val="24"/>
                <w:szCs w:val="24"/>
                <w:lang w:val="en-US" w:eastAsia="zh-CN"/>
              </w:rPr>
              <w:t>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4" w:type="pct"/>
            <w:vAlign w:val="top"/>
          </w:tcPr>
          <w:p>
            <w:pPr>
              <w:spacing w:before="118"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4</w:t>
            </w:r>
          </w:p>
        </w:tc>
        <w:tc>
          <w:tcPr>
            <w:tcW w:w="2960" w:type="pct"/>
            <w:vAlign w:val="top"/>
          </w:tcPr>
          <w:p>
            <w:pPr>
              <w:spacing w:before="64" w:line="219" w:lineRule="auto"/>
              <w:ind w:left="1911"/>
              <w:rPr>
                <w:rFonts w:hint="eastAsia"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绩效工资</w:t>
            </w:r>
          </w:p>
        </w:tc>
        <w:tc>
          <w:tcPr>
            <w:tcW w:w="1235" w:type="pct"/>
            <w:vAlign w:val="top"/>
          </w:tcPr>
          <w:p>
            <w:pPr>
              <w:spacing w:before="118" w:line="183" w:lineRule="auto"/>
              <w:jc w:val="center"/>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pct"/>
            <w:vAlign w:val="top"/>
          </w:tcPr>
          <w:p>
            <w:pPr>
              <w:spacing w:before="119" w:line="175"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5</w:t>
            </w:r>
          </w:p>
        </w:tc>
        <w:tc>
          <w:tcPr>
            <w:tcW w:w="2960" w:type="pct"/>
            <w:vAlign w:val="top"/>
          </w:tcPr>
          <w:p>
            <w:pPr>
              <w:spacing w:before="64" w:line="219" w:lineRule="auto"/>
              <w:ind w:left="972"/>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机关事业单位基本养老保险缴费</w:t>
            </w:r>
          </w:p>
        </w:tc>
        <w:tc>
          <w:tcPr>
            <w:tcW w:w="1235" w:type="pct"/>
            <w:vAlign w:val="top"/>
          </w:tcPr>
          <w:p>
            <w:pPr>
              <w:spacing w:before="118" w:line="176"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4"/>
                <w:sz w:val="24"/>
                <w:szCs w:val="24"/>
                <w:lang w:val="en-US" w:eastAsia="zh-CN"/>
              </w:rPr>
              <w:t>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6</w:t>
            </w:r>
          </w:p>
        </w:tc>
        <w:tc>
          <w:tcPr>
            <w:tcW w:w="2960" w:type="pct"/>
            <w:vAlign w:val="top"/>
          </w:tcPr>
          <w:p>
            <w:pPr>
              <w:spacing w:before="67" w:line="219" w:lineRule="auto"/>
              <w:ind w:left="1441"/>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pacing w:val="1"/>
                <w:sz w:val="24"/>
                <w:szCs w:val="24"/>
              </w:rPr>
              <w:t>职工基本医疗保险缴费</w:t>
            </w:r>
          </w:p>
        </w:tc>
        <w:tc>
          <w:tcPr>
            <w:tcW w:w="1235" w:type="pct"/>
            <w:vAlign w:val="top"/>
          </w:tcPr>
          <w:p>
            <w:pPr>
              <w:spacing w:before="130" w:line="183" w:lineRule="auto"/>
              <w:jc w:val="center"/>
              <w:rPr>
                <w:rFonts w:hint="default" w:ascii="Times New Roman Regular" w:hAnsi="Times New Roman Regular" w:eastAsia="仿宋" w:cs="Times New Roman Regular"/>
                <w:spacing w:val="-4"/>
                <w:sz w:val="24"/>
                <w:szCs w:val="24"/>
                <w:lang w:val="en-US" w:eastAsia="zh-CN"/>
              </w:rPr>
            </w:pPr>
            <w:r>
              <w:rPr>
                <w:rFonts w:hint="eastAsia" w:ascii="Times New Roman Regular" w:hAnsi="Times New Roman Regular" w:eastAsia="仿宋" w:cs="Times New Roman Regular"/>
                <w:spacing w:val="-3"/>
                <w:sz w:val="24"/>
                <w:szCs w:val="24"/>
                <w:lang w:val="en-US" w:eastAsia="zh-CN"/>
              </w:rPr>
              <w:t>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7</w:t>
            </w:r>
          </w:p>
        </w:tc>
        <w:tc>
          <w:tcPr>
            <w:tcW w:w="2960" w:type="pct"/>
            <w:vAlign w:val="top"/>
          </w:tcPr>
          <w:p>
            <w:pPr>
              <w:spacing w:before="67" w:line="219" w:lineRule="auto"/>
              <w:jc w:val="center"/>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公务员医疗补助缴费</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8</w:t>
            </w:r>
          </w:p>
        </w:tc>
        <w:tc>
          <w:tcPr>
            <w:tcW w:w="2960" w:type="pct"/>
            <w:vAlign w:val="top"/>
          </w:tcPr>
          <w:p>
            <w:pPr>
              <w:spacing w:before="68" w:line="219" w:lineRule="auto"/>
              <w:ind w:left="1641" w:leftChars="0"/>
              <w:rPr>
                <w:rFonts w:hint="default" w:ascii="Times New Roman Regular" w:hAnsi="Times New Roman Regular" w:eastAsia="仿宋" w:cs="Times New Roman Regular"/>
                <w:spacing w:val="1"/>
                <w:sz w:val="24"/>
                <w:szCs w:val="24"/>
              </w:rPr>
            </w:pPr>
            <w:r>
              <w:rPr>
                <w:rFonts w:hint="default" w:ascii="Times New Roman Regular" w:hAnsi="Times New Roman Regular" w:eastAsia="仿宋" w:cs="Times New Roman Regular"/>
                <w:spacing w:val="1"/>
                <w:sz w:val="24"/>
                <w:szCs w:val="24"/>
              </w:rPr>
              <w:t>其他社会保障缴费</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9</w:t>
            </w:r>
          </w:p>
        </w:tc>
        <w:tc>
          <w:tcPr>
            <w:tcW w:w="2960" w:type="pct"/>
            <w:vAlign w:val="top"/>
          </w:tcPr>
          <w:p>
            <w:pPr>
              <w:spacing w:before="70" w:line="220" w:lineRule="auto"/>
              <w:ind w:left="19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住房公积金</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10</w:t>
            </w:r>
          </w:p>
        </w:tc>
        <w:tc>
          <w:tcPr>
            <w:tcW w:w="2960" w:type="pct"/>
            <w:vAlign w:val="top"/>
          </w:tcPr>
          <w:p>
            <w:pPr>
              <w:spacing w:before="71" w:line="219" w:lineRule="auto"/>
              <w:jc w:val="center"/>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napToGrid w:val="0"/>
                <w:color w:val="000000"/>
                <w:kern w:val="0"/>
                <w:sz w:val="24"/>
                <w:szCs w:val="24"/>
              </w:rPr>
              <w:t>其他工资福利支出</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31" w:line="182"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11</w:t>
            </w:r>
          </w:p>
        </w:tc>
        <w:tc>
          <w:tcPr>
            <w:tcW w:w="2960" w:type="pct"/>
            <w:vAlign w:val="top"/>
          </w:tcPr>
          <w:p>
            <w:pPr>
              <w:spacing w:before="76" w:line="219" w:lineRule="auto"/>
              <w:jc w:val="center"/>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对个人和家庭的补助支出</w:t>
            </w:r>
          </w:p>
        </w:tc>
        <w:tc>
          <w:tcPr>
            <w:tcW w:w="1235" w:type="pct"/>
            <w:vAlign w:val="top"/>
          </w:tcPr>
          <w:p>
            <w:pPr>
              <w:spacing w:before="130"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top"/>
          </w:tcPr>
          <w:p>
            <w:pPr>
              <w:spacing w:before="151" w:line="178" w:lineRule="exact"/>
              <w:ind w:left="524" w:leftChars="0"/>
              <w:jc w:val="both"/>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b/>
                <w:bCs/>
                <w:position w:val="-4"/>
                <w:sz w:val="24"/>
                <w:szCs w:val="24"/>
              </w:rPr>
              <w:t>二</w:t>
            </w:r>
          </w:p>
        </w:tc>
        <w:tc>
          <w:tcPr>
            <w:tcW w:w="2960" w:type="pct"/>
            <w:vAlign w:val="top"/>
          </w:tcPr>
          <w:p>
            <w:pPr>
              <w:spacing w:before="70" w:line="220" w:lineRule="auto"/>
              <w:ind w:left="2044" w:leftChars="0"/>
              <w:rPr>
                <w:rFonts w:hint="default" w:ascii="Times New Roman Regular" w:hAnsi="Times New Roman Regular" w:eastAsia="仿宋" w:cs="Times New Roman Regular"/>
                <w:spacing w:val="2"/>
                <w:sz w:val="24"/>
                <w:szCs w:val="24"/>
              </w:rPr>
            </w:pPr>
            <w:r>
              <w:rPr>
                <w:rFonts w:hint="default" w:ascii="Times New Roman Regular" w:hAnsi="Times New Roman Regular" w:eastAsia="仿宋" w:cs="Times New Roman Regular"/>
                <w:b/>
                <w:bCs/>
                <w:spacing w:val="-1"/>
                <w:sz w:val="24"/>
                <w:szCs w:val="24"/>
              </w:rPr>
              <w:t>公用经费</w:t>
            </w:r>
          </w:p>
        </w:tc>
        <w:tc>
          <w:tcPr>
            <w:tcW w:w="1235" w:type="pct"/>
            <w:vAlign w:val="top"/>
          </w:tcPr>
          <w:p>
            <w:pPr>
              <w:spacing w:before="121" w:line="183" w:lineRule="auto"/>
              <w:jc w:val="center"/>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277.46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2" w:line="184" w:lineRule="auto"/>
              <w:ind w:left="60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1</w:t>
            </w:r>
          </w:p>
        </w:tc>
        <w:tc>
          <w:tcPr>
            <w:tcW w:w="2960" w:type="pct"/>
            <w:vAlign w:val="top"/>
          </w:tcPr>
          <w:p>
            <w:pPr>
              <w:spacing w:before="72"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办公费</w:t>
            </w:r>
          </w:p>
        </w:tc>
        <w:tc>
          <w:tcPr>
            <w:tcW w:w="1235" w:type="pct"/>
            <w:vAlign w:val="top"/>
          </w:tcPr>
          <w:p>
            <w:pPr>
              <w:spacing w:before="122" w:line="184" w:lineRule="auto"/>
              <w:jc w:val="center"/>
              <w:rPr>
                <w:rFonts w:hint="default"/>
                <w:lang w:val="en-US" w:eastAsia="zh-CN"/>
              </w:rPr>
            </w:pPr>
            <w:r>
              <w:rPr>
                <w:rFonts w:hint="eastAsia" w:ascii="Times New Roman Regular" w:hAnsi="Times New Roman Regular" w:eastAsia="仿宋" w:cs="Times New Roman Regular"/>
                <w:sz w:val="24"/>
                <w:szCs w:val="24"/>
                <w:lang w:val="en-US" w:eastAsia="zh-CN"/>
              </w:rPr>
              <w:t>32.39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4" w:line="183" w:lineRule="auto"/>
              <w:ind w:left="60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2</w:t>
            </w:r>
          </w:p>
        </w:tc>
        <w:tc>
          <w:tcPr>
            <w:tcW w:w="2960" w:type="pct"/>
            <w:vAlign w:val="top"/>
          </w:tcPr>
          <w:p>
            <w:pPr>
              <w:spacing w:before="73"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印刷费</w:t>
            </w:r>
          </w:p>
        </w:tc>
        <w:tc>
          <w:tcPr>
            <w:tcW w:w="1235" w:type="pct"/>
            <w:vAlign w:val="top"/>
          </w:tcPr>
          <w:p>
            <w:pPr>
              <w:spacing w:before="124"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19.29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5" w:line="183" w:lineRule="auto"/>
              <w:ind w:left="60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3</w:t>
            </w:r>
          </w:p>
        </w:tc>
        <w:tc>
          <w:tcPr>
            <w:tcW w:w="2960" w:type="pct"/>
            <w:vAlign w:val="top"/>
          </w:tcPr>
          <w:p>
            <w:pPr>
              <w:spacing w:before="74"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水电费</w:t>
            </w:r>
          </w:p>
        </w:tc>
        <w:tc>
          <w:tcPr>
            <w:tcW w:w="1235" w:type="pct"/>
            <w:vAlign w:val="top"/>
          </w:tcPr>
          <w:p>
            <w:pPr>
              <w:spacing w:before="124"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55" w:line="169" w:lineRule="auto"/>
              <w:ind w:left="60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4</w:t>
            </w:r>
          </w:p>
        </w:tc>
        <w:tc>
          <w:tcPr>
            <w:tcW w:w="2960" w:type="pct"/>
            <w:vAlign w:val="top"/>
          </w:tcPr>
          <w:p>
            <w:pPr>
              <w:spacing w:before="74"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z w:val="24"/>
                <w:szCs w:val="24"/>
                <w:lang w:val="en-US" w:eastAsia="zh-CN"/>
              </w:rPr>
              <w:t>邮电费</w:t>
            </w:r>
          </w:p>
        </w:tc>
        <w:tc>
          <w:tcPr>
            <w:tcW w:w="1235" w:type="pct"/>
            <w:vAlign w:val="top"/>
          </w:tcPr>
          <w:p>
            <w:pPr>
              <w:spacing w:before="124"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7" w:line="182" w:lineRule="auto"/>
              <w:ind w:left="60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5</w:t>
            </w:r>
          </w:p>
        </w:tc>
        <w:tc>
          <w:tcPr>
            <w:tcW w:w="2960" w:type="pct"/>
            <w:vAlign w:val="top"/>
          </w:tcPr>
          <w:p>
            <w:pPr>
              <w:spacing w:before="75" w:line="220" w:lineRule="auto"/>
              <w:ind w:left="2141"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pacing w:val="4"/>
                <w:sz w:val="24"/>
                <w:szCs w:val="24"/>
              </w:rPr>
              <w:t>差旅费</w:t>
            </w:r>
          </w:p>
        </w:tc>
        <w:tc>
          <w:tcPr>
            <w:tcW w:w="1235" w:type="pct"/>
            <w:vAlign w:val="top"/>
          </w:tcPr>
          <w:p>
            <w:pPr>
              <w:spacing w:before="126"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48.80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7" w:line="183" w:lineRule="auto"/>
              <w:ind w:left="604"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6</w:t>
            </w:r>
          </w:p>
        </w:tc>
        <w:tc>
          <w:tcPr>
            <w:tcW w:w="2960" w:type="pct"/>
            <w:vAlign w:val="top"/>
          </w:tcPr>
          <w:p>
            <w:pPr>
              <w:spacing w:before="77" w:line="219" w:lineRule="auto"/>
              <w:ind w:left="2141" w:leftChars="0"/>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劳务费</w:t>
            </w:r>
          </w:p>
        </w:tc>
        <w:tc>
          <w:tcPr>
            <w:tcW w:w="1235" w:type="pct"/>
            <w:vAlign w:val="top"/>
          </w:tcPr>
          <w:p>
            <w:pPr>
              <w:spacing w:before="127"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23.25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28" w:line="183" w:lineRule="auto"/>
              <w:ind w:left="604" w:leftChars="0"/>
              <w:rPr>
                <w:rFonts w:hint="eastAsia"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7</w:t>
            </w:r>
          </w:p>
        </w:tc>
        <w:tc>
          <w:tcPr>
            <w:tcW w:w="2960" w:type="pct"/>
            <w:vAlign w:val="top"/>
          </w:tcPr>
          <w:p>
            <w:pPr>
              <w:spacing w:before="77" w:line="219" w:lineRule="auto"/>
              <w:jc w:val="center"/>
              <w:rPr>
                <w:rFonts w:hint="default" w:ascii="Times New Roman Regular" w:hAnsi="Times New Roman Regular" w:eastAsia="仿宋" w:cs="Times New Roman Regular"/>
                <w:snapToGrid w:val="0"/>
                <w:color w:val="000000"/>
                <w:kern w:val="0"/>
                <w:sz w:val="24"/>
                <w:szCs w:val="24"/>
                <w:lang w:eastAsia="zh-CN"/>
              </w:rPr>
            </w:pPr>
            <w:r>
              <w:rPr>
                <w:rFonts w:hint="default" w:ascii="Times New Roman Regular" w:hAnsi="Times New Roman Regular" w:eastAsia="仿宋" w:cs="Times New Roman Regular"/>
                <w:sz w:val="24"/>
                <w:szCs w:val="24"/>
                <w:lang w:val="en-US" w:eastAsia="zh-CN"/>
              </w:rPr>
              <w:t>其他交通费用</w:t>
            </w:r>
          </w:p>
        </w:tc>
        <w:tc>
          <w:tcPr>
            <w:tcW w:w="1235" w:type="pct"/>
            <w:vAlign w:val="top"/>
          </w:tcPr>
          <w:p>
            <w:pPr>
              <w:spacing w:before="127"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41.95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pacing w:val="-6"/>
                <w:sz w:val="24"/>
                <w:szCs w:val="24"/>
                <w:lang w:val="en-US" w:eastAsia="zh-CN"/>
              </w:rPr>
              <w:t>8</w:t>
            </w:r>
          </w:p>
        </w:tc>
        <w:tc>
          <w:tcPr>
            <w:tcW w:w="2960" w:type="pct"/>
            <w:vAlign w:val="top"/>
          </w:tcPr>
          <w:p>
            <w:pPr>
              <w:spacing w:before="69" w:line="219" w:lineRule="auto"/>
              <w:ind w:left="1541" w:leftChars="0"/>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pacing w:val="2"/>
                <w:sz w:val="24"/>
                <w:szCs w:val="24"/>
              </w:rPr>
              <w:t>其他商品和服务支出</w:t>
            </w:r>
          </w:p>
        </w:tc>
        <w:tc>
          <w:tcPr>
            <w:tcW w:w="1235" w:type="pct"/>
            <w:vAlign w:val="top"/>
          </w:tcPr>
          <w:p>
            <w:pPr>
              <w:spacing w:before="120"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70.67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pacing w:val="-6"/>
                <w:sz w:val="24"/>
                <w:szCs w:val="24"/>
                <w:lang w:val="en-US" w:eastAsia="zh-CN"/>
              </w:rPr>
              <w:t>9</w:t>
            </w:r>
          </w:p>
        </w:tc>
        <w:tc>
          <w:tcPr>
            <w:tcW w:w="2960" w:type="pct"/>
            <w:vAlign w:val="top"/>
          </w:tcPr>
          <w:p>
            <w:pPr>
              <w:spacing w:before="69" w:line="219" w:lineRule="auto"/>
              <w:jc w:val="center"/>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lang w:val="en-US" w:eastAsia="zh-CN"/>
              </w:rPr>
              <w:t>办公设备购置</w:t>
            </w:r>
          </w:p>
        </w:tc>
        <w:tc>
          <w:tcPr>
            <w:tcW w:w="1235" w:type="pct"/>
            <w:vAlign w:val="top"/>
          </w:tcPr>
          <w:p>
            <w:pPr>
              <w:spacing w:before="120" w:line="183"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eastAsia="仿宋" w:cs="Times New Roman Regular"/>
                <w:spacing w:val="-6"/>
                <w:sz w:val="24"/>
                <w:szCs w:val="24"/>
                <w:lang w:val="en-US" w:eastAsia="zh-CN"/>
              </w:rPr>
              <w:t>10</w:t>
            </w:r>
          </w:p>
        </w:tc>
        <w:tc>
          <w:tcPr>
            <w:tcW w:w="2960" w:type="pct"/>
            <w:vAlign w:val="top"/>
          </w:tcPr>
          <w:p>
            <w:pPr>
              <w:spacing w:before="69" w:line="219" w:lineRule="auto"/>
              <w:jc w:val="center"/>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咨询费</w:t>
            </w:r>
          </w:p>
        </w:tc>
        <w:tc>
          <w:tcPr>
            <w:tcW w:w="1235" w:type="pct"/>
            <w:vAlign w:val="top"/>
          </w:tcPr>
          <w:p>
            <w:pPr>
              <w:spacing w:before="120"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eastAsia="仿宋" w:cs="Times New Roman Regular"/>
                <w:spacing w:val="-6"/>
                <w:sz w:val="24"/>
                <w:szCs w:val="24"/>
                <w:lang w:val="en-US" w:eastAsia="zh-CN"/>
              </w:rPr>
              <w:t>11</w:t>
            </w:r>
          </w:p>
        </w:tc>
        <w:tc>
          <w:tcPr>
            <w:tcW w:w="2960" w:type="pct"/>
            <w:vAlign w:val="top"/>
          </w:tcPr>
          <w:p>
            <w:pPr>
              <w:spacing w:before="69" w:line="219" w:lineRule="auto"/>
              <w:jc w:val="center"/>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维修（护）费</w:t>
            </w:r>
          </w:p>
        </w:tc>
        <w:tc>
          <w:tcPr>
            <w:tcW w:w="1235" w:type="pct"/>
            <w:vAlign w:val="top"/>
          </w:tcPr>
          <w:p>
            <w:pPr>
              <w:spacing w:before="120"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eastAsia="仿宋" w:cs="Times New Roman Regular"/>
                <w:spacing w:val="-6"/>
                <w:sz w:val="24"/>
                <w:szCs w:val="24"/>
                <w:lang w:val="en-US" w:eastAsia="zh-CN"/>
              </w:rPr>
              <w:t>12</w:t>
            </w:r>
          </w:p>
        </w:tc>
        <w:tc>
          <w:tcPr>
            <w:tcW w:w="2960" w:type="pct"/>
            <w:vAlign w:val="top"/>
          </w:tcPr>
          <w:p>
            <w:pPr>
              <w:spacing w:before="69" w:line="219" w:lineRule="auto"/>
              <w:jc w:val="center"/>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租赁费</w:t>
            </w:r>
          </w:p>
        </w:tc>
        <w:tc>
          <w:tcPr>
            <w:tcW w:w="1235" w:type="pct"/>
            <w:vAlign w:val="top"/>
          </w:tcPr>
          <w:p>
            <w:pPr>
              <w:spacing w:before="120"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22.60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leftChars="0"/>
              <w:rPr>
                <w:rFonts w:hint="default" w:ascii="Times New Roman Regular" w:hAnsi="Times New Roman Regular" w:eastAsia="仿宋" w:cs="Times New Roman Regular"/>
                <w:spacing w:val="-6"/>
                <w:sz w:val="24"/>
                <w:szCs w:val="24"/>
                <w:lang w:val="en-US" w:eastAsia="zh-CN"/>
              </w:rPr>
            </w:pPr>
            <w:r>
              <w:rPr>
                <w:rFonts w:hint="eastAsia" w:ascii="Times New Roman Regular" w:hAnsi="Times New Roman Regular" w:eastAsia="仿宋" w:cs="Times New Roman Regular"/>
                <w:spacing w:val="-6"/>
                <w:sz w:val="24"/>
                <w:szCs w:val="24"/>
                <w:lang w:val="en-US" w:eastAsia="zh-CN"/>
              </w:rPr>
              <w:t>13</w:t>
            </w:r>
          </w:p>
        </w:tc>
        <w:tc>
          <w:tcPr>
            <w:tcW w:w="2960" w:type="pct"/>
            <w:vAlign w:val="top"/>
          </w:tcPr>
          <w:p>
            <w:pPr>
              <w:spacing w:before="69" w:line="219" w:lineRule="auto"/>
              <w:jc w:val="center"/>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会议费</w:t>
            </w:r>
          </w:p>
        </w:tc>
        <w:tc>
          <w:tcPr>
            <w:tcW w:w="1235" w:type="pct"/>
            <w:vAlign w:val="top"/>
          </w:tcPr>
          <w:p>
            <w:pPr>
              <w:spacing w:before="120"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119" w:line="184" w:lineRule="auto"/>
              <w:ind w:left="555"/>
              <w:rPr>
                <w:rFonts w:hint="default"/>
                <w:lang w:val="en-US" w:eastAsia="zh-CN"/>
              </w:rPr>
            </w:pPr>
            <w:r>
              <w:rPr>
                <w:rFonts w:hint="eastAsia" w:ascii="Times New Roman Regular" w:hAnsi="Times New Roman Regular" w:eastAsia="仿宋" w:cs="Times New Roman Regular"/>
                <w:spacing w:val="-6"/>
                <w:sz w:val="24"/>
                <w:szCs w:val="24"/>
                <w:lang w:val="en-US" w:eastAsia="zh-CN"/>
              </w:rPr>
              <w:t>14</w:t>
            </w:r>
          </w:p>
        </w:tc>
        <w:tc>
          <w:tcPr>
            <w:tcW w:w="2960" w:type="pct"/>
            <w:vAlign w:val="top"/>
          </w:tcPr>
          <w:p>
            <w:pPr>
              <w:spacing w:before="69" w:line="219" w:lineRule="auto"/>
              <w:jc w:val="center"/>
              <w:rPr>
                <w:rFonts w:hint="default" w:ascii="Times New Roman Regular" w:hAnsi="Times New Roman Regular" w:eastAsia="仿宋" w:cs="Times New Roman Regular"/>
                <w:spacing w:val="2"/>
                <w:sz w:val="24"/>
                <w:szCs w:val="24"/>
                <w:lang w:val="en-US" w:eastAsia="zh-CN"/>
              </w:rPr>
            </w:pPr>
            <w:r>
              <w:rPr>
                <w:rFonts w:hint="eastAsia" w:ascii="Times New Roman Regular" w:hAnsi="Times New Roman Regular" w:eastAsia="仿宋" w:cs="Times New Roman Regular"/>
                <w:spacing w:val="2"/>
                <w:sz w:val="24"/>
                <w:szCs w:val="24"/>
                <w:lang w:val="en-US" w:eastAsia="zh-CN"/>
              </w:rPr>
              <w:t>培训费</w:t>
            </w:r>
          </w:p>
        </w:tc>
        <w:tc>
          <w:tcPr>
            <w:tcW w:w="1235" w:type="pct"/>
            <w:vAlign w:val="top"/>
          </w:tcPr>
          <w:p>
            <w:pPr>
              <w:spacing w:before="120" w:line="183" w:lineRule="auto"/>
              <w:jc w:val="center"/>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4" w:type="pct"/>
            <w:vAlign w:val="top"/>
          </w:tcPr>
          <w:p>
            <w:pPr>
              <w:spacing w:before="70" w:line="221" w:lineRule="auto"/>
              <w:ind w:left="454" w:leftChars="0"/>
              <w:rPr>
                <w:rFonts w:hint="default" w:ascii="Times New Roman Regular" w:hAnsi="Times New Roman Regular" w:eastAsia="仿宋" w:cs="Times New Roman Regular"/>
                <w:snapToGrid w:val="0"/>
                <w:color w:val="000000"/>
                <w:spacing w:val="-6"/>
                <w:kern w:val="0"/>
                <w:sz w:val="24"/>
                <w:szCs w:val="24"/>
                <w:lang w:val="en-US" w:eastAsia="zh-CN"/>
              </w:rPr>
            </w:pPr>
            <w:r>
              <w:rPr>
                <w:rFonts w:hint="default" w:ascii="Times New Roman Regular" w:hAnsi="Times New Roman Regular" w:eastAsia="仿宋" w:cs="Times New Roman Regular"/>
                <w:b/>
                <w:bCs/>
                <w:spacing w:val="-3"/>
                <w:sz w:val="24"/>
                <w:szCs w:val="24"/>
              </w:rPr>
              <w:t>合计</w:t>
            </w:r>
          </w:p>
        </w:tc>
        <w:tc>
          <w:tcPr>
            <w:tcW w:w="2960" w:type="pct"/>
            <w:vAlign w:val="top"/>
          </w:tcPr>
          <w:p>
            <w:pPr>
              <w:rPr>
                <w:rFonts w:hint="default" w:ascii="Times New Roman Regular" w:hAnsi="Times New Roman Regular" w:eastAsia="仿宋" w:cs="Times New Roman Regular"/>
                <w:snapToGrid w:val="0"/>
                <w:color w:val="000000"/>
                <w:spacing w:val="2"/>
                <w:kern w:val="0"/>
                <w:sz w:val="24"/>
                <w:szCs w:val="24"/>
                <w:lang w:val="en-US" w:eastAsia="zh-CN"/>
              </w:rPr>
            </w:pPr>
          </w:p>
        </w:tc>
        <w:tc>
          <w:tcPr>
            <w:tcW w:w="1235" w:type="pct"/>
            <w:vAlign w:val="top"/>
          </w:tcPr>
          <w:p>
            <w:pPr>
              <w:spacing w:before="93" w:line="184" w:lineRule="auto"/>
              <w:jc w:val="center"/>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410.9</w:t>
            </w:r>
          </w:p>
        </w:tc>
      </w:tr>
      <w:bookmarkEnd w:id="19"/>
    </w:tbl>
    <w:p>
      <w:pPr>
        <w:numPr>
          <w:ilvl w:val="0"/>
          <w:numId w:val="0"/>
        </w:numPr>
        <w:spacing w:line="600" w:lineRule="exact"/>
        <w:ind w:firstLine="602" w:firstLineChars="200"/>
        <w:jc w:val="both"/>
        <w:rPr>
          <w:rFonts w:hint="default" w:ascii="Times New Roman Regular" w:hAnsi="Times New Roman Regular" w:eastAsia="仿宋" w:cs="Times New Roman Regular"/>
          <w:b w:val="0"/>
          <w:bCs w:val="0"/>
          <w:sz w:val="31"/>
          <w:szCs w:val="31"/>
          <w:highlight w:val="none"/>
          <w:lang w:val="en-US" w:eastAsia="zh-CN"/>
        </w:rPr>
      </w:pPr>
      <w:r>
        <w:rPr>
          <w:rFonts w:hint="default" w:ascii="Times New Roman Regular" w:hAnsi="Times New Roman Regular" w:eastAsia="仿宋" w:cs="Times New Roman Regular"/>
          <w:b/>
          <w:bCs/>
          <w:sz w:val="30"/>
          <w:szCs w:val="30"/>
          <w:highlight w:val="none"/>
          <w:lang w:val="en-US" w:eastAsia="zh-CN"/>
        </w:rPr>
        <w:t>2、</w:t>
      </w:r>
      <w:r>
        <w:rPr>
          <w:rFonts w:hint="eastAsia" w:ascii="仿宋" w:hAnsi="仿宋" w:eastAsia="仿宋" w:cs="仿宋"/>
          <w:b/>
          <w:bCs/>
          <w:sz w:val="30"/>
          <w:szCs w:val="30"/>
          <w:highlight w:val="none"/>
          <w:lang w:val="en-US" w:eastAsia="zh-CN"/>
        </w:rPr>
        <w:t>“三公经费”支出</w:t>
      </w:r>
      <w:r>
        <w:rPr>
          <w:rFonts w:hint="default" w:ascii="Times New Roman Regular" w:hAnsi="Times New Roman Regular" w:eastAsia="仿宋" w:cs="Times New Roman Regular"/>
          <w:b/>
          <w:bCs/>
          <w:sz w:val="30"/>
          <w:szCs w:val="30"/>
          <w:highlight w:val="none"/>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根据邵阳市北塔区信访局2022年度部门决算报表，邵阳市北塔区信访局2022年</w:t>
      </w:r>
      <w:r>
        <w:rPr>
          <w:rFonts w:hint="eastAsia" w:ascii="仿宋" w:hAnsi="仿宋" w:eastAsia="仿宋" w:cs="仿宋"/>
          <w:b w:val="0"/>
          <w:bCs w:val="0"/>
          <w:sz w:val="32"/>
          <w:szCs w:val="32"/>
          <w:lang w:val="en-US" w:eastAsia="zh-CN"/>
        </w:rPr>
        <w:t>“三公经费”</w:t>
      </w:r>
      <w:r>
        <w:rPr>
          <w:rFonts w:hint="default" w:ascii="Times New Roman Regular" w:hAnsi="Times New Roman Regular" w:eastAsia="仿宋" w:cs="Times New Roman Regular"/>
          <w:b w:val="0"/>
          <w:bCs w:val="0"/>
          <w:sz w:val="32"/>
          <w:szCs w:val="32"/>
          <w:lang w:val="en-US" w:eastAsia="zh-CN"/>
        </w:rPr>
        <w:t>年初预算数为</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.00万元，2022年共计支出0.00万元。</w:t>
      </w:r>
    </w:p>
    <w:p>
      <w:pPr>
        <w:numPr>
          <w:ilvl w:val="0"/>
          <w:numId w:val="0"/>
        </w:numPr>
        <w:spacing w:line="600" w:lineRule="exact"/>
        <w:ind w:firstLine="602" w:firstLineChars="200"/>
        <w:jc w:val="both"/>
        <w:rPr>
          <w:rFonts w:hint="default" w:ascii="Times New Roman Regular" w:hAnsi="Times New Roman Regular" w:eastAsia="仿宋" w:cs="Times New Roman Regular"/>
          <w:b/>
          <w:bCs/>
          <w:sz w:val="30"/>
          <w:szCs w:val="30"/>
          <w:highlight w:val="none"/>
          <w:lang w:val="en-US" w:eastAsia="zh-CN"/>
        </w:rPr>
      </w:pPr>
      <w:r>
        <w:rPr>
          <w:rFonts w:hint="default" w:ascii="Times New Roman Regular" w:hAnsi="Times New Roman Regular" w:eastAsia="仿宋" w:cs="Times New Roman Regular"/>
          <w:b/>
          <w:bCs/>
          <w:sz w:val="30"/>
          <w:szCs w:val="30"/>
          <w:highlight w:val="none"/>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根据邵阳市北塔区信访局2022年度部门决算报表，</w:t>
      </w:r>
      <w:r>
        <w:rPr>
          <w:rFonts w:hint="eastAsia" w:ascii="Times New Roman Regular" w:hAnsi="Times New Roman Regular" w:eastAsia="仿宋" w:cs="Times New Roman Regular"/>
          <w:b w:val="0"/>
          <w:bCs w:val="0"/>
          <w:sz w:val="32"/>
          <w:szCs w:val="32"/>
          <w:lang w:val="en-US" w:eastAsia="zh-CN"/>
        </w:rPr>
        <w:t>2022年度</w:t>
      </w:r>
      <w:r>
        <w:rPr>
          <w:rFonts w:hint="default" w:ascii="Times New Roman Regular" w:hAnsi="Times New Roman Regular" w:eastAsia="仿宋" w:cs="Times New Roman Regular"/>
          <w:b w:val="0"/>
          <w:bCs w:val="0"/>
          <w:sz w:val="32"/>
          <w:szCs w:val="32"/>
          <w:lang w:val="en-US" w:eastAsia="zh-CN"/>
        </w:rPr>
        <w:t>邵阳市北塔区信访局项目支出共计</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bookmarkStart w:id="20" w:name="_Toc378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1" w:name="_Toc16854"/>
      <w:r>
        <w:rPr>
          <w:rFonts w:hint="default" w:ascii="Times New Roman Regular" w:hAnsi="Times New Roman Regular" w:eastAsia="楷体" w:cs="Times New Roman Regular"/>
          <w:b/>
          <w:bCs/>
          <w:sz w:val="32"/>
          <w:szCs w:val="32"/>
          <w:lang w:val="en-US" w:eastAsia="zh-CN"/>
        </w:rPr>
        <w:t>（三）资金管理情况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邵阳市北塔区信访局制定了《邵阳市北塔区信访局内部管理制度》等一系列合法合规、较为完整的财务管理制度，严格按照有关财务制度，加强机关财务管理，规范公务接待行为，节约使用资金，降低行政成本。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2" w:name="_Toc9142"/>
      <w:bookmarkStart w:id="23" w:name="_Toc6424"/>
      <w:r>
        <w:rPr>
          <w:rFonts w:hint="default" w:ascii="Times New Roman Regular" w:hAnsi="Times New Roman Regular" w:eastAsia="黑体" w:cs="Times New Roman Regular"/>
          <w:b/>
          <w:bCs/>
          <w:kern w:val="2"/>
          <w:sz w:val="32"/>
          <w:szCs w:val="32"/>
          <w:lang w:val="en-US" w:eastAsia="zh-CN" w:bidi="ar-SA"/>
        </w:rPr>
        <w:t>三、制度建设情况</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4" w:name="_Toc18477"/>
      <w:bookmarkStart w:id="25" w:name="_Toc1808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）财务管理制度及机关日常制度建设情况</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bookmarkStart w:id="26" w:name="_Toc28786"/>
      <w:r>
        <w:rPr>
          <w:rFonts w:hint="eastAsia" w:ascii="Times New Roman Regular" w:hAnsi="Times New Roman Regular" w:eastAsia="仿宋" w:cs="Times New Roman Regular"/>
          <w:b w:val="0"/>
          <w:bCs w:val="0"/>
          <w:sz w:val="32"/>
          <w:szCs w:val="32"/>
          <w:lang w:val="en-US" w:eastAsia="zh-CN"/>
        </w:rPr>
        <w:t>邵阳市北塔区信访局制定了《邵阳市北塔区信访局内部管理制度》，对经费支出审批、办公经费等各项经费支出管理、公务借支、财务公示制度等方面做出了规定要求。</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7" w:name="_Toc17737"/>
      <w:bookmarkStart w:id="28" w:name="_Toc2635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邵阳市北塔区信访局为了加强和规范国有资产管理，保障国有资产的安全完整，推进节约型机关建设，根据财政部《行政事业单位国有资产管理暂行办法》和《行政事业单位内部控制规范（试行）》要求，制定了《邵阳市北塔区信访局资产管理制度》，对货币资金管理、资产范围、资产购置、资产保管与使用以及资产处置等方面做出了明确的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截</w:t>
      </w:r>
      <w:r>
        <w:rPr>
          <w:rFonts w:hint="eastAsia" w:ascii="Times New Roman Regular" w:hAnsi="Times New Roman Regular" w:eastAsia="仿宋" w:cs="Times New Roman Regular"/>
          <w:b w:val="0"/>
          <w:bCs w:val="0"/>
          <w:sz w:val="32"/>
          <w:szCs w:val="32"/>
          <w:lang w:val="en-US" w:eastAsia="zh-CN"/>
        </w:rPr>
        <w:t>至</w:t>
      </w:r>
      <w:r>
        <w:rPr>
          <w:rFonts w:hint="default" w:ascii="Times New Roman Regular" w:hAnsi="Times New Roman Regular" w:eastAsia="仿宋" w:cs="Times New Roman Regular"/>
          <w:b w:val="0"/>
          <w:bCs w:val="0"/>
          <w:sz w:val="32"/>
          <w:szCs w:val="32"/>
          <w:lang w:val="en-US" w:eastAsia="zh-CN"/>
        </w:rPr>
        <w:t>2022年12月31日，邵阳市北塔区信访局固定资产账面原值</w:t>
      </w:r>
      <w:r>
        <w:rPr>
          <w:rFonts w:hint="eastAsia" w:ascii="Times New Roman Regular" w:hAnsi="Times New Roman Regular" w:eastAsia="仿宋" w:cs="Times New Roman Regular"/>
          <w:b w:val="0"/>
          <w:bCs w:val="0"/>
          <w:sz w:val="32"/>
          <w:szCs w:val="32"/>
          <w:lang w:val="en-US" w:eastAsia="zh-CN"/>
        </w:rPr>
        <w:t>30.67</w:t>
      </w:r>
      <w:r>
        <w:rPr>
          <w:rFonts w:hint="default" w:ascii="Times New Roman Regular" w:hAnsi="Times New Roman Regular" w:eastAsia="仿宋" w:cs="Times New Roman Regular"/>
          <w:b w:val="0"/>
          <w:bCs w:val="0"/>
          <w:sz w:val="32"/>
          <w:szCs w:val="32"/>
          <w:lang w:val="en-US" w:eastAsia="zh-CN"/>
        </w:rPr>
        <w:t>万元。其中：设备</w:t>
      </w:r>
      <w:r>
        <w:rPr>
          <w:rFonts w:hint="eastAsia" w:ascii="Times New Roman Regular" w:hAnsi="Times New Roman Regular" w:eastAsia="仿宋" w:cs="Times New Roman Regular"/>
          <w:b w:val="0"/>
          <w:bCs w:val="0"/>
          <w:sz w:val="32"/>
          <w:szCs w:val="32"/>
          <w:lang w:val="en-US" w:eastAsia="zh-CN"/>
        </w:rPr>
        <w:t>21.85</w:t>
      </w:r>
      <w:r>
        <w:rPr>
          <w:rFonts w:hint="default" w:ascii="Times New Roman Regular" w:hAnsi="Times New Roman Regular" w:eastAsia="仿宋" w:cs="Times New Roman Regular"/>
          <w:b w:val="0"/>
          <w:bCs w:val="0"/>
          <w:sz w:val="32"/>
          <w:szCs w:val="32"/>
          <w:lang w:val="en-US" w:eastAsia="zh-CN"/>
        </w:rPr>
        <w:t>万元；家具、用具</w:t>
      </w:r>
      <w:r>
        <w:rPr>
          <w:rFonts w:hint="eastAsia" w:ascii="Times New Roman Regular" w:hAnsi="Times New Roman Regular" w:eastAsia="仿宋" w:cs="Times New Roman Regular"/>
          <w:b w:val="0"/>
          <w:bCs w:val="0"/>
          <w:sz w:val="32"/>
          <w:szCs w:val="32"/>
          <w:lang w:val="en-US" w:eastAsia="zh-CN"/>
        </w:rPr>
        <w:t>8.82</w:t>
      </w:r>
      <w:r>
        <w:rPr>
          <w:rFonts w:hint="default" w:ascii="Times New Roman Regular" w:hAnsi="Times New Roman Regular" w:eastAsia="仿宋" w:cs="Times New Roman Regular"/>
          <w:b w:val="0"/>
          <w:bCs w:val="0"/>
          <w:sz w:val="32"/>
          <w:szCs w:val="32"/>
          <w:lang w:val="en-US" w:eastAsia="zh-CN"/>
        </w:rPr>
        <w:t>万元；固定资产在用</w:t>
      </w:r>
      <w:r>
        <w:rPr>
          <w:rFonts w:hint="eastAsia" w:ascii="Times New Roman Regular" w:hAnsi="Times New Roman Regular" w:eastAsia="仿宋" w:cs="Times New Roman Regular"/>
          <w:b w:val="0"/>
          <w:bCs w:val="0"/>
          <w:sz w:val="32"/>
          <w:szCs w:val="32"/>
          <w:lang w:val="en-US" w:eastAsia="zh-CN"/>
        </w:rPr>
        <w:t>30.67</w:t>
      </w:r>
      <w:r>
        <w:rPr>
          <w:rFonts w:hint="default" w:ascii="Times New Roman Regular" w:hAnsi="Times New Roman Regular" w:eastAsia="仿宋" w:cs="Times New Roman Regular"/>
          <w:b w:val="0"/>
          <w:bCs w:val="0"/>
          <w:sz w:val="32"/>
          <w:szCs w:val="32"/>
          <w:lang w:val="en-US" w:eastAsia="zh-CN"/>
        </w:rPr>
        <w:t>万元、闲置</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万元，资产使用率</w:t>
      </w:r>
      <w:r>
        <w:rPr>
          <w:rFonts w:hint="eastAsia" w:ascii="Times New Roman Regular" w:hAnsi="Times New Roman Regular" w:eastAsia="仿宋" w:cs="Times New Roman Regular"/>
          <w:b w:val="0"/>
          <w:bCs w:val="0"/>
          <w:sz w:val="32"/>
          <w:szCs w:val="32"/>
          <w:lang w:val="en-US" w:eastAsia="zh-CN"/>
        </w:rPr>
        <w:t>100</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9" w:name="_Toc26328"/>
      <w:bookmarkStart w:id="30" w:name="_Toc1732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邵阳市北塔区信访局制定了《政府采购管理制度》</w:t>
      </w:r>
      <w:r>
        <w:rPr>
          <w:rFonts w:hint="eastAsia" w:ascii="Times New Roman Regular" w:hAnsi="Times New Roman Regular" w:eastAsia="仿宋" w:cs="Times New Roman Regular"/>
          <w:b w:val="0"/>
          <w:bCs w:val="0"/>
          <w:sz w:val="32"/>
          <w:szCs w:val="32"/>
          <w:lang w:val="en-US" w:eastAsia="zh-CN"/>
        </w:rPr>
        <w:t>，对政府采购预算管理、结算管理、财务监督等方面进行了相关规定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1" w:name="_Toc4211"/>
      <w:bookmarkStart w:id="32" w:name="_Toc2227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四</w:t>
      </w:r>
      <w:r>
        <w:rPr>
          <w:rFonts w:hint="default" w:ascii="Times New Roman Regular" w:hAnsi="Times New Roman Regular" w:eastAsia="楷体" w:cs="Times New Roman Regular"/>
          <w:b/>
          <w:bCs/>
          <w:sz w:val="32"/>
          <w:szCs w:val="32"/>
          <w:lang w:val="en-US" w:eastAsia="zh-CN"/>
        </w:rPr>
        <w:t>）信息公开制度建设情况</w:t>
      </w:r>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邵阳市北塔区信访局制定</w:t>
      </w:r>
      <w:r>
        <w:rPr>
          <w:rFonts w:hint="eastAsia" w:ascii="Times New Roman Regular" w:hAnsi="Times New Roman Regular" w:eastAsia="仿宋" w:cs="Times New Roman Regular"/>
          <w:b w:val="0"/>
          <w:bCs w:val="0"/>
          <w:sz w:val="32"/>
          <w:szCs w:val="32"/>
          <w:lang w:val="en-US" w:eastAsia="zh-CN"/>
        </w:rPr>
        <w:t>了</w:t>
      </w:r>
      <w:r>
        <w:rPr>
          <w:rFonts w:hint="default" w:ascii="Times New Roman Regular" w:hAnsi="Times New Roman Regular" w:eastAsia="仿宋" w:cs="Times New Roman Regular"/>
          <w:b w:val="0"/>
          <w:bCs w:val="0"/>
          <w:sz w:val="32"/>
          <w:szCs w:val="32"/>
          <w:lang w:val="en-US" w:eastAsia="zh-CN"/>
        </w:rPr>
        <w:t>《政务公开制度》</w:t>
      </w:r>
      <w:r>
        <w:rPr>
          <w:rFonts w:hint="eastAsia" w:ascii="Times New Roman Regular" w:hAnsi="Times New Roman Regular" w:eastAsia="仿宋" w:cs="Times New Roman Regular"/>
          <w:b w:val="0"/>
          <w:bCs w:val="0"/>
          <w:sz w:val="32"/>
          <w:szCs w:val="32"/>
          <w:lang w:val="en-US" w:eastAsia="zh-CN"/>
        </w:rPr>
        <w:t>，对政府公开的内容及任务分解、政务公开的形式、政务公开的监督保障等方面进行了相关规定。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33" w:name="_Toc7661"/>
      <w:bookmarkStart w:id="34" w:name="_Toc6954"/>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5" w:name="_Toc1034"/>
      <w:bookmarkStart w:id="36" w:name="_Toc27478"/>
      <w:r>
        <w:rPr>
          <w:rFonts w:hint="default" w:ascii="Times New Roman Regular" w:hAnsi="Times New Roman Regular" w:eastAsia="楷体" w:cs="Times New Roman Regular"/>
          <w:b/>
          <w:bCs/>
          <w:sz w:val="32"/>
          <w:szCs w:val="32"/>
          <w:lang w:val="en-US" w:eastAsia="zh-CN"/>
        </w:rPr>
        <w:t>（一）重点绩效评价目的</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三公”经费、降低一般运行经费、加强项目支出管理等方面取得的成绩、存在的问题及改进措施。增强职能设置科学合理性、部门中长期财政规划适应性、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7" w:name="_Toc24006"/>
      <w:bookmarkStart w:id="38" w:name="_Toc5525"/>
      <w:r>
        <w:rPr>
          <w:rFonts w:hint="default" w:ascii="Times New Roman Regular" w:hAnsi="Times New Roman Regular" w:eastAsia="楷体" w:cs="Times New Roman Regular"/>
          <w:b/>
          <w:bCs/>
          <w:sz w:val="32"/>
          <w:szCs w:val="32"/>
          <w:lang w:val="en-US" w:eastAsia="zh-CN"/>
        </w:rPr>
        <w:t>（二）重点绩效评价工作过程</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参考《湖南省财政厅关于印发&lt;湖南省预算支出绩效评价管理办法&gt;的通知》（湘财绩〔2020〕7号）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通关与相关负责人员面对面交谈、现场查看区</w:t>
      </w:r>
      <w:r>
        <w:rPr>
          <w:rFonts w:hint="eastAsia" w:ascii="Times New Roman Regular" w:hAnsi="Times New Roman Regular" w:eastAsia="仿宋" w:cs="Times New Roman Regular"/>
          <w:b w:val="0"/>
          <w:bCs w:val="0"/>
          <w:sz w:val="32"/>
          <w:szCs w:val="32"/>
          <w:lang w:val="en-US" w:eastAsia="zh-CN"/>
        </w:rPr>
        <w:t>信访</w:t>
      </w:r>
      <w:r>
        <w:rPr>
          <w:rFonts w:hint="default" w:ascii="Times New Roman Regular" w:hAnsi="Times New Roman Regular" w:eastAsia="仿宋" w:cs="Times New Roman Regular"/>
          <w:b w:val="0"/>
          <w:bCs w:val="0"/>
          <w:sz w:val="32"/>
          <w:szCs w:val="32"/>
          <w:lang w:val="en-US" w:eastAsia="zh-CN"/>
        </w:rPr>
        <w:t>局单位专项项目实施等方式，采集了相关数据，核查了资金使用、相关制度落实等情况；三是形成评价报告。通过对相关资料进行综合分析，按照确定的评价指标和标准，结合现场评价情况，得出评价结论，形成绩效评价报告。</w:t>
      </w:r>
    </w:p>
    <w:p>
      <w:pPr>
        <w:numPr>
          <w:ilvl w:val="0"/>
          <w:numId w:val="0"/>
        </w:numPr>
        <w:ind w:firstLine="622" w:firstLineChars="200"/>
        <w:jc w:val="both"/>
        <w:outlineLvl w:val="0"/>
        <w:rPr>
          <w:rFonts w:hint="default" w:ascii="Times New Roman Regular" w:hAnsi="Times New Roman Regular" w:eastAsia="仿宋" w:cs="Times New Roman Regular"/>
          <w:b w:val="0"/>
          <w:bCs w:val="0"/>
          <w:sz w:val="31"/>
          <w:szCs w:val="31"/>
          <w:highlight w:val="none"/>
          <w:lang w:val="en-US" w:eastAsia="zh-CN"/>
        </w:rPr>
      </w:pPr>
      <w:bookmarkStart w:id="39" w:name="_Toc13440"/>
      <w:bookmarkStart w:id="40" w:name="_Toc17741"/>
      <w:r>
        <w:rPr>
          <w:rFonts w:hint="default" w:ascii="Times New Roman Regular" w:hAnsi="Times New Roman Regular" w:eastAsia="黑体" w:cs="Times New Roman Regular"/>
          <w:b/>
          <w:bCs/>
          <w:kern w:val="2"/>
          <w:sz w:val="31"/>
          <w:szCs w:val="31"/>
          <w:highlight w:val="none"/>
          <w:lang w:val="en-US" w:eastAsia="zh-CN" w:bidi="ar-SA"/>
        </w:rPr>
        <w:t>五、部门整体支出绩效情况</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41" w:name="_Toc9652"/>
      <w:bookmarkStart w:id="42" w:name="_Toc29943"/>
      <w:r>
        <w:rPr>
          <w:rFonts w:hint="default" w:ascii="Times New Roman Regular" w:hAnsi="Times New Roman Regular" w:eastAsia="楷体" w:cs="Times New Roman Regular"/>
          <w:b/>
          <w:bCs/>
          <w:sz w:val="32"/>
          <w:szCs w:val="32"/>
          <w:lang w:val="en-US" w:eastAsia="zh-CN"/>
        </w:rPr>
        <w:t>（一）部门整体实际产出情况</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1.进京上访情况。截止11月，未发生一起进京上访登记情况，同比下降300%。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2.赴省走访情况。共处置各类赴省访9批17人次（含集访1批9人次），同比下降63.04%。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3.到市走访情况。共处置到市上访57批159人次（含集访5批52次），同比下降23.55%。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4.到区上访情况。区本级接待群众上访125批340人次（含集访22批193人次）同比下降33.07%。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5.来信和网信情况。共办理人民来信29件次数、网上信访100件次数，信访事项及时受理率100%，信访事项按期答复率100%，一次性化解率97.56%，责任单位参评率97.2%，参评满意率99%。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43" w:name="_Toc14682"/>
      <w:bookmarkStart w:id="44" w:name="_Toc8184"/>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部门整体效益情况</w:t>
      </w:r>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圆满完成全国、全省“两会”、冬奥会、冬残奥会、党的二十大等信访维稳任务。今年以来，北塔区信访局紧紧围绕全力以赴服务好党的二十大政治安全稳定为工作目标，集全区力量，在重要时间节点、重大活动期间、重点敏感期，积极做好矛盾纠纷排查化解工作，积极开展领导干部开门接访、下访约访行动，将矛盾纠纷及时处理在萌芽阶段、人员稳定在当地。在全国全省“两会”、冬奥会、东残奥会、党的二十大等重大活动期间，均取得“零进京、零非访、零滞留、零滋事、零违纪</w:t>
      </w:r>
      <w:bookmarkStart w:id="65" w:name="_GoBack"/>
      <w:bookmarkEnd w:id="65"/>
      <w:r>
        <w:rPr>
          <w:rFonts w:hint="eastAsia" w:ascii="Times New Roman Regular" w:hAnsi="Times New Roman Regular" w:eastAsia="仿宋" w:cs="Times New Roman Regular"/>
          <w:b w:val="0"/>
          <w:bCs w:val="0"/>
          <w:sz w:val="32"/>
          <w:szCs w:val="32"/>
          <w:lang w:val="en-US" w:eastAsia="zh-CN"/>
        </w:rPr>
        <w:t>”的良好成效，圆满实现了省、市、区确定的工作目标。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深入推进治理重复信访、化解信访积案工作。中央信访联席办第一批交办北塔区信访局的33件重复信访件，已全部办结；第二批交办北塔区信访局5件，已全部办结。目前，全区“治重化积”专项行动，信访案件审核后再次信访件0件，总审核化解率100%，在全市率先完成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3.夯实信访基础，做好源头预防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严格落实领导干部包案化解制度。区信访联席会议办公室对所梳理的43个个访，13个集访，严格落实区级领导包案化解，并延伸到各责任单位，逐一落实“五包一”责任制（包案领导、包案街道干部、包案社区干部、包案民警、责任单位负责人），一级一级跟踪督办，一项一项抓好落实，做到“措施明、责任实”。截止到11月底，共化解19个信访积案，1个集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持续推动二级领导干部坐班接访工作制度。全区采取二级领导干部坐班接访制度。区内由区委书记亲自挂帅，22名区级领导干部实行轮流坐班接访，各镇街道园安排党政领导班子采取每日轮流坐班接访。在重要节点和敏感时期，全区实行区、镇街道二级同步的全天候坐班接访，各级领导干部主动下访约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积极推进“一站式”社会矛盾纠纷调处化解中心的运行。今年以来，区委区政府坚决落实市域社会治理工作要求，先后投资30余万元，以区级中心建设为依托，在全区6个镇街道园及所属村社区同步推进中心建设。形成了集日常信访接待、涉法涉诉接待、法律援助、诉讼服务、矛盾纠纷调处化解等“一站式”综合性的接待中心。充分发挥各种力量资源在矛盾纠纷排查化解和源头治理中的基层基础作用。截止目前，中心建设和运行得到了市领导的高度肯定，其中陈家桥镇利用平台运用，成功化解一起信访事项受到市局推介，并于湖南日报刊发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4）群众满意度信访件办理稳步推进。群众满意度事关政府形象，始终大力抓实国家满意度信访件办理，4月份以来，北塔区信访事项群众满意率达到100%，从年初全市信访工作考评名列末位到目前的全市名列前茅，信访事项办理稳步向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4.大力开展《信访工作条例》学习宣传。《信访工作条例》正式实施以来，区委、区政府高度重视，先后召开区委常委会、区政府常务会组织开展集中学习条例，并邀请市信访局主要领导开展《信访工作条例》的宣讲会，进一步提升对《信访工作条例》新的认知，学懂弄通条例内容，熟练掌握重点要点，开拓全区信访工作新局面。区信访局先后印发了2000余册《信访工作条例》宣传册、制作了宣传视频，联合区纪委、区委政法委、各镇街道园，通过发放宣传册、悬挂宣传横幅、现场解答等形式，在区内人员相对集中的群众休闲广场、社区活动中心等地开展宣传活动，得到了全区广大人民群众的积极参与，进一步正确引导了群众合理合法合规的开展信访活动。</w:t>
      </w:r>
    </w:p>
    <w:p>
      <w:pPr>
        <w:numPr>
          <w:ilvl w:val="0"/>
          <w:numId w:val="0"/>
        </w:numPr>
        <w:ind w:firstLine="622" w:firstLineChars="200"/>
        <w:jc w:val="both"/>
        <w:outlineLvl w:val="1"/>
        <w:rPr>
          <w:rFonts w:hint="default" w:ascii="Times New Roman Regular" w:hAnsi="Times New Roman Regular" w:eastAsia="仿宋" w:cs="Times New Roman Regular"/>
          <w:b w:val="0"/>
          <w:bCs w:val="0"/>
          <w:sz w:val="31"/>
          <w:szCs w:val="31"/>
          <w:highlight w:val="none"/>
          <w:lang w:val="en-US" w:eastAsia="zh-CN"/>
        </w:rPr>
      </w:pPr>
      <w:bookmarkStart w:id="45" w:name="_Toc655"/>
      <w:bookmarkStart w:id="46" w:name="_Toc32117"/>
      <w:r>
        <w:rPr>
          <w:rFonts w:hint="default" w:ascii="Times New Roman Regular" w:hAnsi="Times New Roman Regular" w:eastAsia="楷体" w:cs="Times New Roman Regular"/>
          <w:b/>
          <w:bCs/>
          <w:sz w:val="31"/>
          <w:szCs w:val="31"/>
          <w:highlight w:val="none"/>
          <w:lang w:val="en-US" w:eastAsia="zh-CN"/>
        </w:rPr>
        <w:t>（三）部门整体满意度</w:t>
      </w:r>
      <w:bookmarkEnd w:id="45"/>
      <w:bookmarkEnd w:id="46"/>
    </w:p>
    <w:p>
      <w:pPr>
        <w:numPr>
          <w:ilvl w:val="0"/>
          <w:numId w:val="0"/>
        </w:numPr>
        <w:spacing w:line="600" w:lineRule="exact"/>
        <w:ind w:firstLine="640" w:firstLineChars="200"/>
        <w:jc w:val="both"/>
        <w:rPr>
          <w:rFonts w:hint="eastAsia"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绩效评价小组针对信访局整体情况通过现场向管理人员、群众发放问卷进行满意度调查，共收集有效问卷38份。经统计，2022年信访局整体满意度为97.37%。</w:t>
      </w:r>
    </w:p>
    <w:p>
      <w:pPr>
        <w:numPr>
          <w:ilvl w:val="0"/>
          <w:numId w:val="0"/>
        </w:numPr>
        <w:ind w:firstLine="622" w:firstLineChars="200"/>
        <w:jc w:val="both"/>
        <w:outlineLvl w:val="0"/>
        <w:rPr>
          <w:rFonts w:hint="default" w:ascii="Times New Roman Regular" w:hAnsi="Times New Roman Regular" w:eastAsia="黑体" w:cs="Times New Roman Regular"/>
          <w:b/>
          <w:bCs/>
          <w:kern w:val="2"/>
          <w:sz w:val="31"/>
          <w:szCs w:val="31"/>
          <w:highlight w:val="none"/>
          <w:lang w:val="en-US" w:eastAsia="zh-CN" w:bidi="ar-SA"/>
        </w:rPr>
      </w:pPr>
      <w:bookmarkStart w:id="47" w:name="_Toc11462"/>
      <w:bookmarkStart w:id="48" w:name="_Toc25620"/>
      <w:r>
        <w:rPr>
          <w:rFonts w:hint="default" w:ascii="Times New Roman Regular" w:hAnsi="Times New Roman Regular" w:eastAsia="黑体" w:cs="Times New Roman Regular"/>
          <w:b/>
          <w:bCs/>
          <w:kern w:val="2"/>
          <w:sz w:val="31"/>
          <w:szCs w:val="31"/>
          <w:highlight w:val="none"/>
          <w:lang w:val="en-US" w:eastAsia="zh-CN" w:bidi="ar-SA"/>
        </w:rPr>
        <w:t>六、综合评价情况及评价结论</w:t>
      </w:r>
      <w:bookmarkEnd w:id="47"/>
      <w:bookmarkEnd w:id="48"/>
    </w:p>
    <w:p>
      <w:pPr>
        <w:numPr>
          <w:ilvl w:val="0"/>
          <w:numId w:val="0"/>
        </w:numPr>
        <w:spacing w:line="600" w:lineRule="exact"/>
        <w:ind w:firstLine="640" w:firstLineChars="200"/>
        <w:jc w:val="both"/>
        <w:rPr>
          <w:rFonts w:hint="eastAsia"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根据资金绩效评价指标体系和绩效检查情况，2022年度部门整体支出重点绩效评价分值100分，从部门决策、部门预算、内部制度管理、部门产出、部门效益等方面总体评价，实得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sz w:val="32"/>
          <w:szCs w:val="32"/>
          <w:lang w:val="en-US" w:eastAsia="zh-CN"/>
        </w:rPr>
        <w:t>93.00</w:t>
      </w:r>
      <w:r>
        <w:rPr>
          <w:rFonts w:hint="eastAsia" w:ascii="Times New Roman Regular" w:hAnsi="Times New Roman Regular" w:eastAsia="仿宋" w:cs="Times New Roman Regular"/>
          <w:b w:val="0"/>
          <w:bCs w:val="0"/>
          <w:sz w:val="32"/>
          <w:szCs w:val="32"/>
          <w:highlight w:val="none"/>
          <w:lang w:val="en-US" w:eastAsia="zh-CN"/>
        </w:rPr>
        <w:t>分，被评为“</w:t>
      </w:r>
      <w:r>
        <w:rPr>
          <w:rFonts w:hint="eastAsia" w:ascii="Times New Roman Regular" w:hAnsi="Times New Roman Regular" w:eastAsia="仿宋" w:cs="Times New Roman Regular"/>
          <w:b w:val="0"/>
          <w:bCs w:val="0"/>
          <w:sz w:val="32"/>
          <w:szCs w:val="32"/>
          <w:lang w:val="en-US" w:eastAsia="zh-CN"/>
        </w:rPr>
        <w:t>优</w:t>
      </w:r>
      <w:r>
        <w:rPr>
          <w:rFonts w:hint="eastAsia" w:ascii="Times New Roman Regular" w:hAnsi="Times New Roman Regular" w:eastAsia="仿宋" w:cs="Times New Roman Regular"/>
          <w:b w:val="0"/>
          <w:bCs w:val="0"/>
          <w:sz w:val="32"/>
          <w:szCs w:val="32"/>
          <w:highlight w:val="none"/>
          <w:lang w:val="en-US" w:eastAsia="zh-CN"/>
        </w:rPr>
        <w:t>”等级（详见附件）。</w:t>
      </w:r>
    </w:p>
    <w:p>
      <w:pPr>
        <w:numPr>
          <w:ilvl w:val="0"/>
          <w:numId w:val="1"/>
        </w:numPr>
        <w:ind w:firstLine="622" w:firstLineChars="200"/>
        <w:jc w:val="both"/>
        <w:outlineLvl w:val="0"/>
        <w:rPr>
          <w:rFonts w:hint="default" w:ascii="Times New Roman Regular" w:hAnsi="Times New Roman Regular" w:eastAsia="黑体" w:cs="Times New Roman Regular"/>
          <w:b/>
          <w:bCs/>
          <w:kern w:val="2"/>
          <w:sz w:val="31"/>
          <w:szCs w:val="31"/>
          <w:highlight w:val="none"/>
          <w:lang w:val="en-US" w:eastAsia="zh-CN" w:bidi="ar-SA"/>
        </w:rPr>
      </w:pPr>
      <w:bookmarkStart w:id="49" w:name="_Toc18209"/>
      <w:bookmarkStart w:id="50" w:name="_Toc459"/>
      <w:r>
        <w:rPr>
          <w:rFonts w:hint="default" w:ascii="Times New Roman Regular" w:hAnsi="Times New Roman Regular" w:eastAsia="黑体" w:cs="Times New Roman Regular"/>
          <w:b/>
          <w:bCs/>
          <w:kern w:val="2"/>
          <w:sz w:val="31"/>
          <w:szCs w:val="31"/>
          <w:highlight w:val="none"/>
          <w:lang w:val="en-US" w:eastAsia="zh-CN" w:bidi="ar-SA"/>
        </w:rPr>
        <w:t>存在的主要问题</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51" w:name="_Toc6192"/>
      <w:r>
        <w:rPr>
          <w:rFonts w:hint="eastAsia" w:ascii="Times New Roman Regular" w:hAnsi="Times New Roman Regular" w:eastAsia="楷体" w:cs="Times New Roman Regular"/>
          <w:b/>
          <w:bCs/>
          <w:sz w:val="32"/>
          <w:szCs w:val="32"/>
          <w:lang w:val="en-US" w:eastAsia="zh-CN"/>
        </w:rPr>
        <w:t>（一）绩效管理方面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绩效管理意识薄弱。区信访局未根据年度总体目标对年度整体的任务进行细化、量化，没有以清晰或是可衡量的指标值体现。由于平时工作中未加强对绩效监控工作的重视，绩效监控工作容易滞后，未形成对绩效目标进行监控的习惯。</w:t>
      </w:r>
    </w:p>
    <w:bookmarkEnd w:id="51"/>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52" w:name="_Toc5541"/>
      <w:r>
        <w:rPr>
          <w:rFonts w:hint="default" w:ascii="Times New Roman Regular" w:hAnsi="Times New Roman Regular" w:eastAsia="楷体" w:cs="Times New Roman Regular"/>
          <w:b/>
          <w:bCs/>
          <w:sz w:val="31"/>
          <w:szCs w:val="31"/>
          <w:highlight w:val="none"/>
          <w:lang w:val="en-US" w:eastAsia="zh-CN"/>
        </w:rPr>
        <w:t>（</w:t>
      </w:r>
      <w:r>
        <w:rPr>
          <w:rFonts w:hint="eastAsia" w:ascii="Times New Roman Regular" w:hAnsi="Times New Roman Regular" w:eastAsia="楷体" w:cs="Times New Roman Regular"/>
          <w:b/>
          <w:bCs/>
          <w:sz w:val="31"/>
          <w:szCs w:val="31"/>
          <w:highlight w:val="none"/>
          <w:lang w:val="en-US" w:eastAsia="zh-CN"/>
        </w:rPr>
        <w:t>二</w:t>
      </w:r>
      <w:r>
        <w:rPr>
          <w:rFonts w:hint="default" w:ascii="Times New Roman Regular" w:hAnsi="Times New Roman Regular" w:eastAsia="楷体" w:cs="Times New Roman Regular"/>
          <w:b/>
          <w:bCs/>
          <w:sz w:val="31"/>
          <w:szCs w:val="31"/>
          <w:highlight w:val="none"/>
          <w:lang w:val="en-US" w:eastAsia="zh-CN"/>
        </w:rPr>
        <w:t>）</w:t>
      </w:r>
      <w:r>
        <w:rPr>
          <w:rFonts w:hint="eastAsia" w:ascii="Times New Roman Regular" w:hAnsi="Times New Roman Regular" w:eastAsia="楷体" w:cs="Times New Roman Regular"/>
          <w:b/>
          <w:bCs/>
          <w:sz w:val="32"/>
          <w:szCs w:val="32"/>
          <w:highlight w:val="none"/>
          <w:lang w:val="en-US" w:eastAsia="zh-CN"/>
        </w:rPr>
        <w:t>政府采购方面</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政府采购决算数远超预算数。</w:t>
      </w:r>
      <w:r>
        <w:rPr>
          <w:rFonts w:hint="default" w:ascii="Times New Roman Regular" w:hAnsi="Times New Roman Regular" w:eastAsia="仿宋" w:cs="Times New Roman Regular"/>
          <w:b w:val="0"/>
          <w:bCs w:val="0"/>
          <w:sz w:val="32"/>
          <w:szCs w:val="32"/>
          <w:lang w:val="en-US" w:eastAsia="zh-CN"/>
        </w:rPr>
        <w:t>单位2022年政府采购预算数经财政审批预算2万元；经查看单位2022年决算公开，政府采购决算数82.54万元，均为政府采购平台下单购买所有支出，导致政府采购无预算支出80.54万元。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3" w:name="_Toc7385"/>
      <w:r>
        <w:rPr>
          <w:rFonts w:hint="eastAsia" w:ascii="Times New Roman Regular" w:hAnsi="Times New Roman Regular" w:eastAsia="楷体" w:cs="Times New Roman Regular"/>
          <w:b/>
          <w:bCs/>
          <w:sz w:val="32"/>
          <w:szCs w:val="32"/>
          <w:lang w:val="en-US" w:eastAsia="zh-CN"/>
        </w:rPr>
        <w:t>（三）资产管理方面</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存在资产管理不规范的情况。经现场抽查固定资产盘点，发现资产管理存在如下问题：一是单位固定资产均未贴标；二是单位未对固定资产每年进行一次盘点，部分资产使用状态不明确，资产卡片显示在用，实际为已报废，如“201500000004”台式电脑、“201500000024”空调、“201500000022”空调；三是大部分资产在资产卡片列表中未写明资产存放位置，不利于单位资产管理，如“TY2022000013”电视机、“TY2022000012”视频监控设备等资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54" w:name="_Toc21520"/>
      <w:bookmarkStart w:id="55" w:name="_Toc10967"/>
      <w:r>
        <w:rPr>
          <w:rFonts w:hint="eastAsia" w:ascii="Times New Roman Regular" w:hAnsi="Times New Roman Regular" w:eastAsia="黑体" w:cs="Times New Roman Regular"/>
          <w:b/>
          <w:bCs/>
          <w:kern w:val="2"/>
          <w:sz w:val="32"/>
          <w:szCs w:val="32"/>
          <w:lang w:val="en-US" w:eastAsia="zh-CN" w:bidi="ar-SA"/>
        </w:rPr>
        <w:t>八、</w:t>
      </w:r>
      <w:r>
        <w:rPr>
          <w:rFonts w:hint="default" w:ascii="Times New Roman Regular" w:hAnsi="Times New Roman Regular" w:eastAsia="黑体" w:cs="Times New Roman Regular"/>
          <w:b/>
          <w:bCs/>
          <w:kern w:val="2"/>
          <w:sz w:val="32"/>
          <w:szCs w:val="32"/>
          <w:lang w:val="en-US" w:eastAsia="zh-CN" w:bidi="ar-SA"/>
        </w:rPr>
        <w:t>相关建议</w:t>
      </w:r>
      <w:bookmarkEnd w:id="54"/>
      <w:bookmarkEnd w:id="55"/>
      <w:bookmarkStart w:id="56" w:name="_Toc759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highlight w:val="none"/>
          <w:lang w:val="en-US" w:eastAsia="zh-CN"/>
        </w:rPr>
      </w:pPr>
      <w:bookmarkStart w:id="57" w:name="_Toc25649"/>
      <w:bookmarkStart w:id="58" w:name="_Toc11316"/>
      <w:r>
        <w:rPr>
          <w:rFonts w:hint="eastAsia" w:ascii="Times New Roman Regular" w:hAnsi="Times New Roman Regular" w:eastAsia="楷体" w:cs="Times New Roman Regular"/>
          <w:b/>
          <w:bCs/>
          <w:sz w:val="32"/>
          <w:szCs w:val="32"/>
          <w:highlight w:val="none"/>
          <w:lang w:val="en-US" w:eastAsia="zh-CN"/>
        </w:rPr>
        <w:t>（一）</w:t>
      </w:r>
      <w:bookmarkEnd w:id="57"/>
      <w:r>
        <w:rPr>
          <w:rFonts w:hint="eastAsia" w:ascii="Times New Roman Regular" w:hAnsi="Times New Roman Regular" w:eastAsia="楷体" w:cs="Times New Roman Regular"/>
          <w:b/>
          <w:bCs/>
          <w:sz w:val="32"/>
          <w:szCs w:val="32"/>
          <w:highlight w:val="none"/>
        </w:rPr>
        <w:t>增强绩效目标管理意识</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kern w:val="2"/>
          <w:sz w:val="32"/>
          <w:szCs w:val="32"/>
          <w:lang w:val="en-US" w:eastAsia="zh-CN" w:bidi="ar-SA"/>
        </w:rPr>
      </w:pPr>
      <w:bookmarkStart w:id="59" w:name="_Toc18003"/>
      <w:r>
        <w:rPr>
          <w:rFonts w:hint="eastAsia" w:ascii="Times New Roman Regular" w:hAnsi="Times New Roman Regular" w:eastAsia="仿宋" w:cs="Times New Roman Regular"/>
          <w:b w:val="0"/>
          <w:bCs w:val="0"/>
          <w:kern w:val="2"/>
          <w:sz w:val="32"/>
          <w:szCs w:val="32"/>
          <w:lang w:val="en-US" w:eastAsia="zh-CN" w:bidi="ar-SA"/>
        </w:rPr>
        <w:t>单位可以通过开展绩效管理培训等方式，让行政事业单位的负责人和承担项目绩效管理的相关人员深化财政项目绩效理念，逐步增强责任意识，提升项目预算管理水平。项目单位应在项目入库前结合项目具体建设内容、预算情况、实施条件以及项目特点，编制相应的预算草案、绩效目标，并将整体的绩效目标细化、分解为清晰、可衡量的绩效指标，在编制项目预算的同时编制绩效目标，实现绩效目标与预算编制一体化。</w:t>
      </w:r>
      <w:bookmarkEnd w:id="59"/>
    </w:p>
    <w:bookmarkEnd w:id="56"/>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60" w:name="_Toc18214"/>
      <w:bookmarkStart w:id="61" w:name="_Toc22533"/>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）加强政府采购管理</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二是采购项目不得超过预算定额，增强采购的计划性，三是减少临时性采购，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62" w:name="_Toc6802"/>
      <w:r>
        <w:rPr>
          <w:rFonts w:hint="eastAsia" w:ascii="Times New Roman Regular" w:hAnsi="Times New Roman Regular" w:eastAsia="楷体" w:cs="Times New Roman Regular"/>
          <w:b/>
          <w:bCs/>
          <w:sz w:val="32"/>
          <w:szCs w:val="32"/>
          <w:lang w:val="en-US" w:eastAsia="zh-CN"/>
        </w:rPr>
        <w:t>（三）规范资产管理</w:t>
      </w:r>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建议</w:t>
      </w:r>
      <w:r>
        <w:rPr>
          <w:rFonts w:hint="eastAsia" w:ascii="Times New Roman Regular" w:hAnsi="Times New Roman Regular" w:eastAsia="仿宋" w:cs="Times New Roman Regular"/>
          <w:b w:val="0"/>
          <w:bCs w:val="0"/>
          <w:sz w:val="32"/>
          <w:szCs w:val="32"/>
          <w:lang w:val="en-US" w:eastAsia="zh-CN"/>
        </w:rPr>
        <w:t>单位进一步</w:t>
      </w:r>
      <w:r>
        <w:rPr>
          <w:rFonts w:hint="default" w:ascii="Times New Roman Regular" w:hAnsi="Times New Roman Regular" w:eastAsia="仿宋" w:cs="Times New Roman Regular"/>
          <w:b w:val="0"/>
          <w:bCs w:val="0"/>
          <w:sz w:val="32"/>
          <w:szCs w:val="32"/>
          <w:lang w:val="en-US" w:eastAsia="zh-CN"/>
        </w:rPr>
        <w:t>规范实物资产的管理，对</w:t>
      </w:r>
      <w:r>
        <w:rPr>
          <w:rFonts w:hint="eastAsia" w:ascii="Times New Roman Regular" w:hAnsi="Times New Roman Regular" w:eastAsia="仿宋" w:cs="Times New Roman Regular"/>
          <w:b w:val="0"/>
          <w:bCs w:val="0"/>
          <w:sz w:val="32"/>
          <w:szCs w:val="32"/>
          <w:lang w:val="en-US" w:eastAsia="zh-CN"/>
        </w:rPr>
        <w:t>实物</w:t>
      </w:r>
      <w:r>
        <w:rPr>
          <w:rFonts w:hint="default" w:ascii="Times New Roman Regular" w:hAnsi="Times New Roman Regular" w:eastAsia="仿宋" w:cs="Times New Roman Regular"/>
          <w:b w:val="0"/>
          <w:bCs w:val="0"/>
          <w:sz w:val="32"/>
          <w:szCs w:val="32"/>
          <w:lang w:val="en-US" w:eastAsia="zh-CN"/>
        </w:rPr>
        <w:t>资产进行定期或不定期的盘点，</w:t>
      </w:r>
      <w:r>
        <w:rPr>
          <w:rFonts w:hint="eastAsia" w:ascii="Times New Roman Regular" w:hAnsi="Times New Roman Regular" w:eastAsia="仿宋" w:cs="Times New Roman Regular"/>
          <w:b w:val="0"/>
          <w:bCs w:val="0"/>
          <w:sz w:val="32"/>
          <w:szCs w:val="32"/>
          <w:lang w:val="en-US" w:eastAsia="zh-CN"/>
        </w:rPr>
        <w:t>对于资产分类、资产品牌、规格型号等资产信息录入错误的情况及时更正，</w:t>
      </w:r>
      <w:r>
        <w:rPr>
          <w:rFonts w:hint="default" w:ascii="Times New Roman Regular" w:hAnsi="Times New Roman Regular" w:eastAsia="仿宋" w:cs="Times New Roman Regular"/>
          <w:b w:val="0"/>
          <w:bCs w:val="0"/>
          <w:sz w:val="32"/>
          <w:szCs w:val="32"/>
          <w:lang w:val="en-US" w:eastAsia="zh-CN"/>
        </w:rPr>
        <w:t>确保固定资产账实相符，对固定资产实行卡片管理，</w:t>
      </w:r>
      <w:r>
        <w:rPr>
          <w:rFonts w:hint="eastAsia" w:ascii="Times New Roman Regular" w:hAnsi="Times New Roman Regular" w:eastAsia="仿宋" w:cs="Times New Roman Regular"/>
          <w:b w:val="0"/>
          <w:bCs w:val="0"/>
          <w:sz w:val="32"/>
          <w:szCs w:val="32"/>
          <w:lang w:val="en-US" w:eastAsia="zh-CN"/>
        </w:rPr>
        <w:t>每一个固定资产进行贴标，</w:t>
      </w:r>
      <w:r>
        <w:rPr>
          <w:rFonts w:hint="default" w:ascii="Times New Roman Regular" w:hAnsi="Times New Roman Regular" w:eastAsia="仿宋" w:cs="Times New Roman Regular"/>
          <w:b w:val="0"/>
          <w:bCs w:val="0"/>
          <w:sz w:val="32"/>
          <w:szCs w:val="32"/>
          <w:lang w:val="en-US" w:eastAsia="zh-CN"/>
        </w:rPr>
        <w:t>明确使用部门及责任，确保国有资产的安全、完整。</w:t>
      </w:r>
    </w:p>
    <w:p>
      <w:pPr>
        <w:numPr>
          <w:ilvl w:val="0"/>
          <w:numId w:val="0"/>
        </w:numPr>
        <w:ind w:firstLine="622" w:firstLineChars="200"/>
        <w:jc w:val="both"/>
        <w:outlineLvl w:val="0"/>
        <w:rPr>
          <w:rFonts w:hint="default" w:ascii="Times New Roman Regular" w:hAnsi="Times New Roman Regular" w:eastAsia="仿宋" w:cs="Times New Roman Regular"/>
          <w:b w:val="0"/>
          <w:bCs w:val="0"/>
          <w:sz w:val="31"/>
          <w:szCs w:val="31"/>
          <w:lang w:val="en-US" w:eastAsia="zh-CN"/>
        </w:rPr>
      </w:pPr>
      <w:bookmarkStart w:id="63" w:name="_Toc32752"/>
      <w:bookmarkStart w:id="64" w:name="_Toc21890"/>
      <w:r>
        <w:rPr>
          <w:rFonts w:hint="default" w:ascii="Times New Roman Regular" w:hAnsi="Times New Roman Regular" w:eastAsia="黑体" w:cs="Times New Roman Regular"/>
          <w:b/>
          <w:bCs/>
          <w:kern w:val="2"/>
          <w:sz w:val="31"/>
          <w:szCs w:val="31"/>
          <w:lang w:val="en-US" w:eastAsia="zh-CN" w:bidi="ar-SA"/>
        </w:rPr>
        <w:t>九、报告使用情况说明</w:t>
      </w:r>
      <w:bookmarkEnd w:id="63"/>
      <w:bookmarkEnd w:id="64"/>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1"/>
          <w:szCs w:val="31"/>
          <w:lang w:val="en-US" w:eastAsia="zh-CN"/>
        </w:rPr>
        <w:t>邵阳市北塔区信访局</w:t>
      </w:r>
      <w:r>
        <w:rPr>
          <w:rFonts w:hint="default" w:ascii="Times New Roman Regular" w:hAnsi="Times New Roman Regular" w:eastAsia="仿宋" w:cs="Times New Roman Regular"/>
          <w:b w:val="0"/>
          <w:bCs w:val="0"/>
          <w:sz w:val="31"/>
          <w:szCs w:val="31"/>
          <w:lang w:val="en-US" w:eastAsia="zh-CN"/>
        </w:rPr>
        <w:t>加强部门整体绩效管理参考使用，非经委托方和本所许可，不得用于其他目的。</w:t>
      </w:r>
    </w:p>
    <w:p>
      <w:pPr>
        <w:pStyle w:val="2"/>
        <w:rPr>
          <w:rFonts w:hint="default" w:ascii="Times New Roman Regular" w:hAnsi="Times New Roman Regular" w:eastAsia="仿宋" w:cs="Times New Roman Regular"/>
          <w:b w:val="0"/>
          <w:bCs w:val="0"/>
          <w:sz w:val="31"/>
          <w:szCs w:val="31"/>
          <w:lang w:val="en-US" w:eastAsia="zh-CN"/>
        </w:rPr>
      </w:pPr>
    </w:p>
    <w:p>
      <w:pPr>
        <w:pStyle w:val="2"/>
        <w:rPr>
          <w:rFonts w:hint="default" w:ascii="Times New Roman Regular" w:hAnsi="Times New Roman Regular" w:eastAsia="仿宋" w:cs="Times New Roman Regular"/>
          <w:b w:val="0"/>
          <w:bCs w:val="0"/>
          <w:sz w:val="31"/>
          <w:szCs w:val="31"/>
          <w:lang w:val="en-US" w:eastAsia="zh-CN"/>
        </w:rPr>
      </w:pPr>
    </w:p>
    <w:p>
      <w:pPr>
        <w:numPr>
          <w:ilvl w:val="0"/>
          <w:numId w:val="0"/>
        </w:numPr>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附件</w:t>
      </w:r>
      <w:r>
        <w:rPr>
          <w:rFonts w:hint="eastAsia" w:ascii="Times New Roman Regular" w:hAnsi="Times New Roman Regular" w:eastAsia="仿宋" w:cs="Times New Roman Regular"/>
          <w:b w:val="0"/>
          <w:bCs w:val="0"/>
          <w:sz w:val="31"/>
          <w:szCs w:val="31"/>
          <w:lang w:val="en-US" w:eastAsia="zh-CN"/>
        </w:rPr>
        <w:t>1</w:t>
      </w:r>
      <w:r>
        <w:rPr>
          <w:rFonts w:hint="default" w:ascii="Times New Roman Regular" w:hAnsi="Times New Roman Regular" w:eastAsia="仿宋" w:cs="Times New Roman Regular"/>
          <w:b w:val="0"/>
          <w:bCs w:val="0"/>
          <w:sz w:val="31"/>
          <w:szCs w:val="31"/>
          <w:lang w:val="en-US" w:eastAsia="zh-CN"/>
        </w:rPr>
        <w:t>：2022年度邵阳市北塔区信访局部门整体支出绩效评价指标表</w:t>
      </w:r>
    </w:p>
    <w:p>
      <w:pPr>
        <w:pStyle w:val="11"/>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1"/>
          <w:szCs w:val="31"/>
          <w:lang w:val="en-US" w:eastAsia="zh-CN"/>
        </w:rPr>
        <w:t>附件</w:t>
      </w:r>
      <w:r>
        <w:rPr>
          <w:rFonts w:hint="eastAsia" w:ascii="Times New Roman Regular" w:hAnsi="Times New Roman Regular" w:eastAsia="仿宋" w:cs="Times New Roman Regular"/>
          <w:b w:val="0"/>
          <w:bCs w:val="0"/>
          <w:sz w:val="31"/>
          <w:szCs w:val="31"/>
          <w:lang w:val="en-US" w:eastAsia="zh-CN"/>
        </w:rPr>
        <w:t>2</w:t>
      </w:r>
      <w:r>
        <w:rPr>
          <w:rFonts w:hint="default" w:ascii="Times New Roman Regular" w:hAnsi="Times New Roman Regular" w:eastAsia="仿宋" w:cs="Times New Roman Regular"/>
          <w:b w:val="0"/>
          <w:bCs w:val="0"/>
          <w:sz w:val="31"/>
          <w:szCs w:val="31"/>
          <w:lang w:val="en-US" w:eastAsia="zh-CN"/>
        </w:rPr>
        <w:t>：2022年度邵阳市北塔区信访局部门整体支出</w:t>
      </w:r>
      <w:r>
        <w:rPr>
          <w:rFonts w:hint="eastAsia" w:ascii="Times New Roman Regular" w:hAnsi="Times New Roman Regular" w:eastAsia="仿宋" w:cs="Times New Roman Regular"/>
          <w:b w:val="0"/>
          <w:bCs w:val="0"/>
          <w:sz w:val="31"/>
          <w:szCs w:val="31"/>
          <w:lang w:val="en-US" w:eastAsia="zh-CN"/>
        </w:rPr>
        <w:t>绩效评价</w:t>
      </w:r>
      <w:r>
        <w:rPr>
          <w:rFonts w:hint="eastAsia" w:ascii="Times New Roman Regular" w:hAnsi="Times New Roman Regular" w:eastAsia="仿宋" w:cs="Times New Roman Regular"/>
          <w:b w:val="0"/>
          <w:bCs w:val="0"/>
          <w:sz w:val="32"/>
          <w:szCs w:val="32"/>
          <w:lang w:val="en-US" w:eastAsia="zh-CN"/>
        </w:rPr>
        <w:t>基础数据表</w:t>
      </w:r>
    </w:p>
    <w:p>
      <w:pPr>
        <w:pStyle w:val="11"/>
        <w:rPr>
          <w:rFonts w:hint="default" w:ascii="Times New Roman Regular" w:hAnsi="Times New Roman Regular" w:eastAsia="仿宋" w:cs="Times New Roman Regular"/>
          <w:b w:val="0"/>
          <w:bCs w:val="0"/>
          <w:sz w:val="28"/>
          <w:szCs w:val="28"/>
          <w:lang w:val="en-US" w:eastAsia="zh-CN"/>
        </w:rPr>
      </w:pPr>
      <w:r>
        <w:rPr>
          <w:rFonts w:hint="default" w:ascii="Times New Roman Regular" w:hAnsi="Times New Roman Regular" w:eastAsia="仿宋" w:cs="Times New Roman Regular"/>
          <w:b w:val="0"/>
          <w:bCs w:val="0"/>
          <w:sz w:val="31"/>
          <w:szCs w:val="31"/>
          <w:lang w:val="en-US" w:eastAsia="zh-CN"/>
        </w:rPr>
        <w:t>附件</w:t>
      </w:r>
      <w:r>
        <w:rPr>
          <w:rFonts w:hint="eastAsia" w:ascii="Times New Roman Regular" w:hAnsi="Times New Roman Regular" w:eastAsia="仿宋" w:cs="Times New Roman Regular"/>
          <w:b w:val="0"/>
          <w:bCs w:val="0"/>
          <w:sz w:val="31"/>
          <w:szCs w:val="31"/>
          <w:lang w:val="en-US" w:eastAsia="zh-CN"/>
        </w:rPr>
        <w:t>3：</w:t>
      </w:r>
      <w:r>
        <w:rPr>
          <w:rFonts w:hint="default" w:ascii="Times New Roman Regular" w:hAnsi="Times New Roman Regular" w:eastAsia="仿宋" w:cs="Times New Roman Regular"/>
          <w:b w:val="0"/>
          <w:bCs w:val="0"/>
          <w:sz w:val="31"/>
          <w:szCs w:val="31"/>
          <w:lang w:val="en-US" w:eastAsia="zh-CN"/>
        </w:rPr>
        <w:t>2022年度邵阳市北塔区信访局部门整体支出</w:t>
      </w:r>
      <w:r>
        <w:rPr>
          <w:rFonts w:hint="eastAsia" w:ascii="Times New Roman Regular" w:hAnsi="Times New Roman Regular" w:eastAsia="仿宋" w:cs="Times New Roman Regular"/>
          <w:b w:val="0"/>
          <w:bCs w:val="0"/>
          <w:sz w:val="32"/>
          <w:szCs w:val="32"/>
          <w:lang w:val="en-US" w:eastAsia="zh-CN"/>
        </w:rPr>
        <w:t>绩效评价自评表</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11"/>
        <w:rPr>
          <w:rFonts w:hint="default" w:ascii="Times New Roman Regular" w:hAnsi="Times New Roman Regular" w:eastAsia="仿宋" w:cs="Times New Roman Regular"/>
          <w:b w:val="0"/>
          <w:bCs w:val="0"/>
          <w:sz w:val="28"/>
          <w:szCs w:val="28"/>
          <w:lang w:val="en-US" w:eastAsia="zh-CN"/>
        </w:rPr>
      </w:pPr>
    </w:p>
    <w:p>
      <w:pPr>
        <w:pStyle w:val="11"/>
        <w:rPr>
          <w:rFonts w:hint="default" w:ascii="Times New Roman Regular" w:hAnsi="Times New Roman Regular" w:eastAsia="楷体" w:cs="Times New Roman Regular"/>
          <w:sz w:val="30"/>
          <w:szCs w:val="30"/>
          <w:lang w:val="en-US" w:eastAsia="zh-CN"/>
        </w:rPr>
      </w:pPr>
    </w:p>
    <w:p>
      <w:pPr>
        <w:pStyle w:val="11"/>
        <w:rPr>
          <w:rFonts w:hint="default" w:ascii="Times New Roman Regular" w:hAnsi="Times New Roman Regular" w:eastAsia="楷体" w:cs="Times New Roman Regular"/>
          <w:sz w:val="30"/>
          <w:szCs w:val="30"/>
          <w:lang w:val="en-US" w:eastAsia="zh-CN"/>
        </w:rPr>
      </w:pPr>
    </w:p>
    <w:p>
      <w:pPr>
        <w:pStyle w:val="11"/>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1"/>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Regular" w:hAnsi="Times New Roman Regular" w:eastAsia="楷体" w:cs="Times New Roman Regular"/>
          <w:kern w:val="2"/>
          <w:sz w:val="30"/>
          <w:szCs w:val="30"/>
          <w:lang w:val="en-US" w:eastAsia="zh-CN" w:bidi="ar-SA"/>
        </w:rPr>
        <w:t>二〇二三年十月二十日</w:t>
      </w: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邵阳市北塔区信访局2022年度部门整体支出绩效评价指标表</w:t>
      </w:r>
    </w:p>
    <w:tbl>
      <w:tblPr>
        <w:tblStyle w:val="1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1"/>
        <w:gridCol w:w="1089"/>
        <w:gridCol w:w="1581"/>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default" w:ascii="Times New Roman" w:hAnsi="Times New Roman" w:cs="Times New Roman"/>
                <w:color w:val="000000"/>
                <w:sz w:val="18"/>
                <w:szCs w:val="18"/>
                <w:lang w:val="en-US" w:eastAsia="zh-CN"/>
              </w:rPr>
              <w:t>经查看《整体支出绩效目标表》》，</w:t>
            </w:r>
            <w:r>
              <w:rPr>
                <w:rFonts w:hint="eastAsia" w:ascii="Times New Roman" w:hAnsi="Times New Roman" w:cs="Times New Roman"/>
                <w:color w:val="000000"/>
                <w:sz w:val="18"/>
                <w:szCs w:val="18"/>
                <w:lang w:val="en-US" w:eastAsia="zh-CN"/>
              </w:rPr>
              <w:t>未根据年度总体目标对年度整体的任务进行细化、量化，没有以清晰或是可衡量的指标值体现，不得分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决算数（82.54万元）远超预算数（2万元），无预算支出80.54万元，扣2分。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一是资产未贴标；二是存在使用状态不明确的情况</w:t>
            </w:r>
            <w:r>
              <w:rPr>
                <w:rFonts w:ascii="Times New Roman" w:hAnsi="Times New Roman" w:cs="Times New Roman" w:eastAsiaTheme="minorEastAsia"/>
                <w:color w:val="000000"/>
                <w:sz w:val="18"/>
                <w:szCs w:val="18"/>
              </w:rPr>
              <w:t>，扣</w:t>
            </w:r>
            <w:r>
              <w:rPr>
                <w:rFonts w:hint="eastAsia" w:ascii="Times New Roman" w:hAnsi="Times New Roman" w:cs="Times New Roman"/>
                <w:color w:val="000000"/>
                <w:sz w:val="18"/>
                <w:szCs w:val="18"/>
                <w:lang w:val="en-US" w:eastAsia="zh-CN"/>
              </w:rPr>
              <w:t>2分</w:t>
            </w:r>
            <w:r>
              <w:rPr>
                <w:rFonts w:ascii="Times New Roman" w:hAnsi="Times New Roman" w:cs="Times New Roman" w:eastAsiaTheme="minorEastAsia"/>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3"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产出</w:t>
            </w:r>
            <w:r>
              <w:rPr>
                <w:rFonts w:hint="eastAsia" w:ascii="Times New Roman" w:hAnsi="Times New Roman" w:cs="Times New Roman"/>
                <w:color w:val="000000"/>
                <w:sz w:val="18"/>
                <w:szCs w:val="18"/>
                <w:lang w:eastAsia="zh-CN"/>
              </w:rPr>
              <w:t>（</w:t>
            </w:r>
            <w:r>
              <w:rPr>
                <w:rFonts w:hint="eastAsia" w:ascii="Times New Roman" w:hAnsi="Times New Roman" w:cs="Times New Roman" w:eastAsiaTheme="minorEastAsia"/>
                <w:color w:val="000000"/>
                <w:sz w:val="18"/>
                <w:szCs w:val="18"/>
              </w:rPr>
              <w:t>30分</w:t>
            </w:r>
            <w:r>
              <w:rPr>
                <w:rFonts w:hint="eastAsia" w:ascii="Times New Roman" w:hAnsi="Times New Roman" w:cs="Times New Roman"/>
                <w:color w:val="000000"/>
                <w:sz w:val="18"/>
                <w:szCs w:val="18"/>
                <w:lang w:eastAsia="zh-CN"/>
              </w:rPr>
              <w:t>）</w:t>
            </w:r>
          </w:p>
        </w:tc>
        <w:tc>
          <w:tcPr>
            <w:tcW w:w="361" w:type="pct"/>
            <w:vMerge w:val="restart"/>
            <w:vAlign w:val="center"/>
          </w:tcPr>
          <w:p>
            <w:pPr>
              <w:spacing w:line="360" w:lineRule="exact"/>
              <w:rPr>
                <w:rFonts w:hint="default" w:eastAsiaTheme="minorEastAsia"/>
                <w:lang w:val="en-US" w:eastAsia="zh-CN"/>
              </w:rPr>
            </w:pPr>
            <w:r>
              <w:rPr>
                <w:rFonts w:hint="eastAsia"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（10分）</w:t>
            </w:r>
          </w:p>
        </w:tc>
        <w:tc>
          <w:tcPr>
            <w:tcW w:w="523" w:type="pct"/>
            <w:shd w:val="clear" w:color="auto" w:fill="auto"/>
            <w:vAlign w:val="center"/>
          </w:tcPr>
          <w:p>
            <w:pPr>
              <w:spacing w:line="36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信访工作完成率</w:t>
            </w:r>
          </w:p>
        </w:tc>
        <w:tc>
          <w:tcPr>
            <w:tcW w:w="326" w:type="pct"/>
            <w:shd w:val="clear" w:color="auto" w:fill="auto"/>
            <w:vAlign w:val="center"/>
          </w:tcPr>
          <w:p>
            <w:pPr>
              <w:spacing w:line="360" w:lineRule="exact"/>
              <w:jc w:val="center"/>
              <w:rPr>
                <w:rFonts w:hint="default"/>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rPr>
              <w:t>结合现场检查情况和问卷调查情况，通过以下指标考核单位信访工作完成程度。一是降低进京上访人次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计2.5分</w:t>
            </w:r>
            <w:r>
              <w:rPr>
                <w:rFonts w:hint="eastAsia" w:ascii="Times New Roman" w:hAnsi="Times New Roman" w:cs="Times New Roman" w:eastAsiaTheme="minorEastAsia"/>
                <w:color w:val="000000"/>
                <w:sz w:val="18"/>
                <w:szCs w:val="18"/>
              </w:rPr>
              <w:t>；二是降低赴省上访人次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计2.5分</w:t>
            </w:r>
            <w:r>
              <w:rPr>
                <w:rFonts w:hint="eastAsia" w:ascii="Times New Roman" w:hAnsi="Times New Roman" w:cs="Times New Roman" w:eastAsiaTheme="minorEastAsia"/>
                <w:color w:val="000000"/>
                <w:sz w:val="18"/>
                <w:szCs w:val="18"/>
              </w:rPr>
              <w:t>；三是降低到市上访人次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计2.5分</w:t>
            </w:r>
            <w:r>
              <w:rPr>
                <w:rFonts w:hint="eastAsia" w:ascii="Times New Roman" w:hAnsi="Times New Roman" w:cs="Times New Roman" w:eastAsiaTheme="minorEastAsia"/>
                <w:color w:val="000000"/>
                <w:sz w:val="18"/>
                <w:szCs w:val="18"/>
              </w:rPr>
              <w:t>；四是提高来信、网信办结率</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计2.5分</w:t>
            </w:r>
            <w:r>
              <w:rPr>
                <w:rFonts w:hint="eastAsia" w:ascii="Times New Roman" w:hAnsi="Times New Roman" w:cs="Times New Roman"/>
                <w:color w:val="000000"/>
                <w:sz w:val="18"/>
                <w:szCs w:val="18"/>
                <w:lang w:eastAsia="zh-CN"/>
              </w:rPr>
              <w:t>。</w:t>
            </w:r>
          </w:p>
        </w:tc>
        <w:tc>
          <w:tcPr>
            <w:tcW w:w="331" w:type="pct"/>
            <w:shd w:val="clear" w:color="auto" w:fill="auto"/>
            <w:vAlign w:val="center"/>
          </w:tcPr>
          <w:p>
            <w:pPr>
              <w:spacing w:line="36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信访工作完成及时率</w:t>
            </w:r>
          </w:p>
        </w:tc>
        <w:tc>
          <w:tcPr>
            <w:tcW w:w="326" w:type="pct"/>
            <w:shd w:val="clear" w:color="auto" w:fill="auto"/>
            <w:vAlign w:val="center"/>
          </w:tcPr>
          <w:p>
            <w:pPr>
              <w:spacing w:line="36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结合现场检查情况和问卷调查情况，每发现一起居民因上访问题解决不及时而投诉的事件扣1分。</w:t>
            </w:r>
          </w:p>
        </w:tc>
        <w:tc>
          <w:tcPr>
            <w:tcW w:w="331" w:type="pct"/>
            <w:shd w:val="clear" w:color="auto" w:fill="auto"/>
            <w:vAlign w:val="center"/>
          </w:tcPr>
          <w:p>
            <w:pPr>
              <w:spacing w:line="36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成本节约率</w:t>
            </w:r>
          </w:p>
        </w:tc>
        <w:tc>
          <w:tcPr>
            <w:tcW w:w="326" w:type="pct"/>
            <w:shd w:val="clear" w:color="auto" w:fill="auto"/>
            <w:vAlign w:val="center"/>
          </w:tcPr>
          <w:p>
            <w:pPr>
              <w:spacing w:line="36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highlight w:val="none"/>
              </w:rPr>
              <w:t>成本节约率=[（计划成本-实际成本）/计划成本]×100%，成本节约率≥0%，不扣分，每下降1%，扣0.5分，扣完为止。</w:t>
            </w:r>
          </w:p>
        </w:tc>
        <w:tc>
          <w:tcPr>
            <w:tcW w:w="331" w:type="pct"/>
            <w:shd w:val="clear" w:color="auto" w:fill="auto"/>
            <w:vAlign w:val="center"/>
          </w:tcPr>
          <w:p>
            <w:pPr>
              <w:spacing w:line="36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highlight w:val="none"/>
                <w:lang w:val="en-US" w:eastAsia="zh-CN"/>
              </w:rPr>
              <w:t>10</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highlight w:val="none"/>
              </w:rPr>
            </w:pPr>
            <w:r>
              <w:rPr>
                <w:rFonts w:hint="eastAsia" w:ascii="Times New Roman" w:hAnsi="Times New Roman" w:cs="Times New Roman"/>
                <w:color w:val="000000"/>
                <w:sz w:val="18"/>
                <w:szCs w:val="18"/>
                <w:highlight w:val="none"/>
                <w:lang w:val="en-US" w:eastAsia="zh-CN"/>
              </w:rPr>
              <w:t>经查看现场，单位开展解决居民上访问题的工作能够对当地居民带来实质性的帮助、给当地带来可持续发展的计满分，否则酌情扣分。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highlight w:val="none"/>
              </w:rPr>
            </w:pPr>
            <w:r>
              <w:rPr>
                <w:rFonts w:hint="eastAsia" w:ascii="Times New Roman" w:hAnsi="Times New Roman" w:cs="Times New Roman"/>
                <w:color w:val="000000"/>
                <w:sz w:val="18"/>
                <w:szCs w:val="18"/>
                <w:highlight w:val="none"/>
                <w:lang w:val="en-US" w:eastAsia="zh-CN"/>
              </w:rPr>
              <w:t>根据现场检查情况及问卷调查结果，单位解决上访问题的效果较好计10分，效果一般计5分，效果不好计0分。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10</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5"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社会公众或服务对象满意度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highlight w:val="none"/>
              </w:rPr>
            </w:pPr>
            <w:r>
              <w:rPr>
                <w:rFonts w:hint="eastAsia" w:ascii="Times New Roman" w:hAnsi="Times New Roman" w:cs="Times New Roman" w:eastAsiaTheme="minorEastAsia"/>
                <w:color w:val="000000"/>
                <w:sz w:val="18"/>
                <w:szCs w:val="18"/>
                <w:highlight w:val="none"/>
              </w:rPr>
              <w:t>90%（含）以上计满分；满意度每下降5%，扣1分。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93.00</w:t>
            </w:r>
          </w:p>
        </w:tc>
        <w:tc>
          <w:tcPr>
            <w:tcW w:w="1008"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p>
        </w:tc>
      </w:tr>
    </w:tbl>
    <w:p>
      <w:pPr>
        <w:sectPr>
          <w:headerReference r:id="rId5" w:type="default"/>
          <w:footerReference r:id="rId6" w:type="default"/>
          <w:pgSz w:w="16838" w:h="11906" w:orient="landscape"/>
          <w:pgMar w:top="1389" w:right="986" w:bottom="1389" w:left="986" w:header="624"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2</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2022年度邵阳市北塔区信访局部门部门整体</w:t>
      </w:r>
    </w:p>
    <w:p>
      <w:pPr>
        <w:widowControl/>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lang w:val="en-US" w:eastAsia="zh-CN"/>
        </w:rPr>
        <w:t>支出绩效评价基础数据表</w:t>
      </w:r>
      <w:r>
        <w:rPr>
          <w:rFonts w:hint="default" w:ascii="Times New Roman" w:hAnsi="Times New Roman" w:eastAsia="方正小标宋_GBK" w:cs="Times New Roman"/>
          <w:sz w:val="36"/>
          <w:szCs w:val="36"/>
          <w:highlight w:val="none"/>
        </w:rPr>
        <w:tab/>
      </w:r>
    </w:p>
    <w:tbl>
      <w:tblPr>
        <w:tblStyle w:val="16"/>
        <w:tblW w:w="9111" w:type="dxa"/>
        <w:jc w:val="center"/>
        <w:tblLayout w:type="fixed"/>
        <w:tblCellMar>
          <w:top w:w="0" w:type="dxa"/>
          <w:left w:w="108" w:type="dxa"/>
          <w:bottom w:w="0" w:type="dxa"/>
          <w:right w:w="108" w:type="dxa"/>
        </w:tblCellMar>
      </w:tblPr>
      <w:tblGrid>
        <w:gridCol w:w="3351"/>
        <w:gridCol w:w="1717"/>
        <w:gridCol w:w="2326"/>
        <w:gridCol w:w="1717"/>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编制数</w:t>
            </w:r>
          </w:p>
        </w:tc>
        <w:tc>
          <w:tcPr>
            <w:tcW w:w="232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年末实际在职人数</w:t>
            </w:r>
          </w:p>
        </w:tc>
        <w:tc>
          <w:tcPr>
            <w:tcW w:w="171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9</w:t>
            </w:r>
          </w:p>
        </w:tc>
        <w:tc>
          <w:tcPr>
            <w:tcW w:w="232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9</w:t>
            </w:r>
          </w:p>
        </w:tc>
        <w:tc>
          <w:tcPr>
            <w:tcW w:w="171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100%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当年决算数</w:t>
            </w: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当年预算数</w:t>
            </w: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410.9</w:t>
            </w: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209.33</w:t>
            </w: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495.48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其中： 1、压缩一般性支出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0</w:t>
            </w: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1</w:t>
            </w: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0</w:t>
            </w: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1</w:t>
            </w: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出国（境）经费</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1</w:t>
            </w:r>
            <w:r>
              <w:rPr>
                <w:rFonts w:hint="eastAsia" w:ascii="Times New Roman" w:hAnsi="Times New Roman" w:cs="Times New Roman" w:eastAsiaTheme="minorEastAsia"/>
                <w:color w:val="000000"/>
                <w:kern w:val="0"/>
                <w:sz w:val="21"/>
                <w:szCs w:val="21"/>
              </w:rPr>
              <w:t>、业务工作专项</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文化旅游体育与传媒支出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节能环保支出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农林水支出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商业服务业等支出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灾害防治及应急管理支出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其他支出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2</w:t>
            </w:r>
            <w:r>
              <w:rPr>
                <w:rFonts w:hint="eastAsia" w:ascii="Times New Roman" w:hAnsi="Times New Roman" w:cs="Times New Roman" w:eastAsiaTheme="minorEastAsia"/>
                <w:color w:val="000000"/>
                <w:kern w:val="0"/>
                <w:sz w:val="21"/>
                <w:szCs w:val="21"/>
              </w:rPr>
              <w:t>、运行维护专项</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一般公共服务支出</w:t>
            </w:r>
          </w:p>
        </w:tc>
        <w:tc>
          <w:tcPr>
            <w:tcW w:w="170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社会保障和就业支出</w:t>
            </w:r>
          </w:p>
        </w:tc>
        <w:tc>
          <w:tcPr>
            <w:tcW w:w="1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城乡社区支出</w:t>
            </w:r>
          </w:p>
        </w:tc>
        <w:tc>
          <w:tcPr>
            <w:tcW w:w="1714"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232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c>
          <w:tcPr>
            <w:tcW w:w="1719" w:type="dxa"/>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政府采购金额</w:t>
            </w:r>
          </w:p>
        </w:tc>
        <w:tc>
          <w:tcPr>
            <w:tcW w:w="171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82.54</w:t>
            </w:r>
          </w:p>
        </w:tc>
        <w:tc>
          <w:tcPr>
            <w:tcW w:w="23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2</w:t>
            </w:r>
          </w:p>
        </w:tc>
        <w:tc>
          <w:tcPr>
            <w:tcW w:w="1719" w:type="dxa"/>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88.38</w:t>
            </w:r>
          </w:p>
        </w:tc>
      </w:tr>
      <w:tr>
        <w:tblPrEx>
          <w:tblCellMar>
            <w:top w:w="0" w:type="dxa"/>
            <w:left w:w="108" w:type="dxa"/>
            <w:bottom w:w="0" w:type="dxa"/>
            <w:right w:w="108" w:type="dxa"/>
          </w:tblCellMar>
        </w:tblPrEx>
        <w:trPr>
          <w:trHeight w:val="321"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spacing w:line="240" w:lineRule="auto"/>
              <w:ind w:left="0" w:right="0" w:firstLine="0" w:firstLineChars="0"/>
              <w:jc w:val="center"/>
              <w:rPr>
                <w:rFonts w:hint="default" w:ascii="Times New Roman" w:hAnsi="Times New Roman" w:cs="Times New Roman" w:eastAsiaTheme="minorEastAsia"/>
                <w:color w:val="000000"/>
                <w:kern w:val="0"/>
                <w:sz w:val="21"/>
                <w:szCs w:val="21"/>
              </w:rPr>
            </w:pPr>
            <w:r>
              <w:rPr>
                <w:rFonts w:hint="eastAsia" w:ascii="Times New Roman" w:hAnsi="Times New Roman" w:cs="Times New Roman" w:eastAsiaTheme="minorEastAsia"/>
                <w:color w:val="000000"/>
                <w:kern w:val="0"/>
                <w:sz w:val="21"/>
                <w:szCs w:val="21"/>
              </w:rPr>
              <w:tab/>
            </w:r>
            <w:r>
              <w:rPr>
                <w:rFonts w:hint="eastAsia" w:ascii="Times New Roman" w:hAnsi="Times New Roman" w:cs="Times New Roman" w:eastAsiaTheme="minorEastAsia"/>
                <w:color w:val="000000"/>
                <w:kern w:val="0"/>
                <w:sz w:val="21"/>
                <w:szCs w:val="21"/>
              </w:rPr>
              <w:t>严格控制三公经费支出　　</w:t>
            </w:r>
          </w:p>
        </w:tc>
      </w:tr>
    </w:tbl>
    <w:p>
      <w:pPr>
        <w:pStyle w:val="2"/>
      </w:pPr>
    </w:p>
    <w:p>
      <w:pPr>
        <w:pStyle w:val="2"/>
      </w:pPr>
    </w:p>
    <w:p>
      <w:pPr>
        <w:pStyle w:val="2"/>
        <w:ind w:left="0" w:leftChars="0" w:firstLine="0" w:firstLineChars="0"/>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3</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2022年度邵阳市北塔区信访局部门部门整体</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lang w:val="en-US" w:eastAsia="zh-CN"/>
        </w:rPr>
      </w:pPr>
      <w:r>
        <w:rPr>
          <w:rFonts w:hint="eastAsia" w:ascii="Times New Roman" w:hAnsi="Times New Roman" w:eastAsia="方正小标宋_GBK" w:cs="Times New Roman"/>
          <w:sz w:val="32"/>
          <w:szCs w:val="32"/>
          <w:highlight w:val="none"/>
          <w:lang w:val="en-US" w:eastAsia="zh-CN"/>
        </w:rPr>
        <w:t>绩效评价</w:t>
      </w:r>
      <w:r>
        <w:rPr>
          <w:rFonts w:hint="default" w:ascii="Times New Roman" w:hAnsi="Times New Roman" w:eastAsia="方正小标宋_GBK" w:cs="Times New Roman"/>
          <w:sz w:val="32"/>
          <w:szCs w:val="32"/>
          <w:highlight w:val="none"/>
          <w:lang w:val="en-US" w:eastAsia="zh-CN"/>
        </w:rPr>
        <w:t>自评表</w:t>
      </w:r>
    </w:p>
    <w:tbl>
      <w:tblPr>
        <w:tblStyle w:val="16"/>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760"/>
        <w:gridCol w:w="1190"/>
        <w:gridCol w:w="1005"/>
        <w:gridCol w:w="1914"/>
        <w:gridCol w:w="1501"/>
        <w:gridCol w:w="1379"/>
        <w:gridCol w:w="6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0" w:hRule="atLeast"/>
          <w:jc w:val="center"/>
        </w:trPr>
        <w:tc>
          <w:tcPr>
            <w:tcW w:w="612" w:type="dxa"/>
            <w:vMerge w:val="restart"/>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部门资金（万元）</w:t>
            </w: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全年预算数</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全年执行数</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预算执行率</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年度资金总额　</w:t>
            </w: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209.33</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410.9</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196.29%</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4869" w:type="dxa"/>
            <w:gridSpan w:val="4"/>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按收入性质分类</w:t>
            </w:r>
          </w:p>
        </w:tc>
        <w:tc>
          <w:tcPr>
            <w:tcW w:w="4431" w:type="dxa"/>
            <w:gridSpan w:val="4"/>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一般公共预算拨款</w:t>
            </w: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410.9</w:t>
            </w:r>
          </w:p>
        </w:tc>
        <w:tc>
          <w:tcPr>
            <w:tcW w:w="2880"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基本支出</w:t>
            </w:r>
          </w:p>
        </w:tc>
        <w:tc>
          <w:tcPr>
            <w:tcW w:w="1551"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1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政府性基金拨款</w:t>
            </w: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880"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1.人员经费</w:t>
            </w:r>
          </w:p>
        </w:tc>
        <w:tc>
          <w:tcPr>
            <w:tcW w:w="1551"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3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纳入管理的非税收入拨款</w:t>
            </w: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2880"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w:t>
            </w:r>
            <w:r>
              <w:rPr>
                <w:rFonts w:hint="eastAsia" w:ascii="Times New Roman" w:hAnsi="Times New Roman" w:cs="Times New Roman" w:eastAsiaTheme="minorEastAsia"/>
                <w:color w:val="000000"/>
                <w:kern w:val="0"/>
                <w:sz w:val="18"/>
                <w:szCs w:val="18"/>
                <w:highlight w:val="none"/>
                <w:lang w:val="en-US" w:eastAsia="zh-CN"/>
              </w:rPr>
              <w:t xml:space="preserve">    </w:t>
            </w:r>
            <w:r>
              <w:rPr>
                <w:rFonts w:hint="default" w:ascii="Times New Roman" w:hAnsi="Times New Roman" w:cs="Times New Roman" w:eastAsiaTheme="minorEastAsia"/>
                <w:color w:val="000000"/>
                <w:kern w:val="0"/>
                <w:sz w:val="18"/>
                <w:szCs w:val="18"/>
                <w:highlight w:val="none"/>
              </w:rPr>
              <w:t>2.公用经费</w:t>
            </w:r>
          </w:p>
        </w:tc>
        <w:tc>
          <w:tcPr>
            <w:tcW w:w="1551"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277.46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……拨款</w:t>
            </w: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880"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其中：三公经费</w:t>
            </w:r>
          </w:p>
        </w:tc>
        <w:tc>
          <w:tcPr>
            <w:tcW w:w="1551"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4"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55" w:type="dxa"/>
            <w:gridSpan w:val="3"/>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其他资金</w:t>
            </w:r>
          </w:p>
        </w:tc>
        <w:tc>
          <w:tcPr>
            <w:tcW w:w="1914"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2880"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项目支出</w:t>
            </w:r>
          </w:p>
        </w:tc>
        <w:tc>
          <w:tcPr>
            <w:tcW w:w="1551"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62" w:hRule="atLeast"/>
          <w:jc w:val="center"/>
        </w:trPr>
        <w:tc>
          <w:tcPr>
            <w:tcW w:w="612" w:type="dxa"/>
            <w:vMerge w:val="restart"/>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年度总体目标</w:t>
            </w:r>
          </w:p>
        </w:tc>
        <w:tc>
          <w:tcPr>
            <w:tcW w:w="4869" w:type="dxa"/>
            <w:gridSpan w:val="4"/>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年初预期（设定）目标　</w:t>
            </w:r>
          </w:p>
        </w:tc>
        <w:tc>
          <w:tcPr>
            <w:tcW w:w="4431" w:type="dxa"/>
            <w:gridSpan w:val="4"/>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60" w:hRule="atLeast"/>
          <w:jc w:val="center"/>
        </w:trPr>
        <w:tc>
          <w:tcPr>
            <w:tcW w:w="612" w:type="dxa"/>
            <w:vMerge w:val="continue"/>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4869" w:type="dxa"/>
            <w:gridSpan w:val="4"/>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在本年度收支预算内，确保完成以下整体目标：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完成全国两会维稳工作；2、完成省两会维稳工作;3、完成市、区两会维稳工作;4、完成积案化解工作；5、完成区驻京办的正常工作运行开展;6、完成区驻长办的正常工作开展；7、完成“一站式”矛盾调处化解中心工作开展；8、区信访局工作正常开展。</w:t>
            </w:r>
          </w:p>
        </w:tc>
        <w:tc>
          <w:tcPr>
            <w:tcW w:w="4431" w:type="dxa"/>
            <w:gridSpan w:val="4"/>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按照财政预算，严控三公经费，2022年本单位正常运行，人员相关经费按照政策及时发放到位。</w:t>
            </w:r>
            <w:r>
              <w:rPr>
                <w:rFonts w:hint="default" w:ascii="Times New Roman" w:hAnsi="Times New Roman" w:cs="Times New Roman" w:eastAsiaTheme="minorEastAsia"/>
                <w:color w:val="000000"/>
                <w:kern w:val="0"/>
                <w:sz w:val="18"/>
                <w:szCs w:val="18"/>
                <w:highlight w:val="none"/>
              </w:rPr>
              <w:t>　</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2" w:hRule="exact"/>
          <w:jc w:val="center"/>
        </w:trPr>
        <w:tc>
          <w:tcPr>
            <w:tcW w:w="612" w:type="dxa"/>
            <w:vMerge w:val="restart"/>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76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一级指标</w:t>
            </w:r>
          </w:p>
        </w:tc>
        <w:tc>
          <w:tcPr>
            <w:tcW w:w="119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二级指标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三级指标　</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年度指标值</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实际完成值</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4"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76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产出</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（50分）</w:t>
            </w:r>
          </w:p>
        </w:tc>
        <w:tc>
          <w:tcPr>
            <w:tcW w:w="119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数量指标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完成全国两会、省两会以及市、区两会维稳工作</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3个</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3个</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9"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完成积案化解工作、保证驻京办、驻长办以及区信访局工作正常开展、完成“一站式”矛盾调处化解中心工作开展</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5个</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5个</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质量指标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全国两会、省两会以及市、区两会维稳工作取得成功</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3个</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3个</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9</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46" w:hRule="exact"/>
          <w:jc w:val="center"/>
        </w:trPr>
        <w:tc>
          <w:tcPr>
            <w:tcW w:w="612" w:type="dxa"/>
            <w:vMerge w:val="continue"/>
            <w:tcBorders>
              <w:top w:val="nil"/>
            </w:tcBorders>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760" w:type="dxa"/>
            <w:vMerge w:val="continue"/>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Merge w:val="continue"/>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19" w:type="dxa"/>
            <w:gridSpan w:val="2"/>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成功化解积案25件，驻京办、驻长办以及区信访局工作正常开展，“一站式”矛盾调处化解中心工作正常开展</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5个</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5个</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64"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时效指标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重点工作办结率</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按</w:t>
            </w:r>
            <w:r>
              <w:rPr>
                <w:rFonts w:hint="eastAsia" w:ascii="Times New Roman" w:hAnsi="Times New Roman" w:cs="Times New Roman"/>
                <w:color w:val="000000"/>
                <w:kern w:val="0"/>
                <w:sz w:val="18"/>
                <w:szCs w:val="18"/>
                <w:highlight w:val="none"/>
                <w:lang w:val="en-US" w:eastAsia="zh-CN"/>
              </w:rPr>
              <w:t>时</w:t>
            </w:r>
            <w:r>
              <w:rPr>
                <w:rFonts w:hint="eastAsia" w:ascii="Times New Roman" w:hAnsi="Times New Roman" w:cs="Times New Roman" w:eastAsiaTheme="minorEastAsia"/>
                <w:color w:val="000000"/>
                <w:kern w:val="0"/>
                <w:sz w:val="18"/>
                <w:szCs w:val="18"/>
                <w:highlight w:val="none"/>
              </w:rPr>
              <w:t>办结100%</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按时办结100%</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4" w:hRule="exact"/>
          <w:jc w:val="center"/>
        </w:trPr>
        <w:tc>
          <w:tcPr>
            <w:tcW w:w="612" w:type="dxa"/>
            <w:vMerge w:val="continue"/>
            <w:tcBorders>
              <w:top w:val="nil"/>
            </w:tcBorders>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760" w:type="dxa"/>
            <w:vMerge w:val="continue"/>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成本指标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各项业务经费不超出预算，超支审批</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100%</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100%</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9</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1" w:hRule="exact"/>
          <w:jc w:val="center"/>
        </w:trPr>
        <w:tc>
          <w:tcPr>
            <w:tcW w:w="612" w:type="dxa"/>
            <w:vMerge w:val="restart"/>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76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效益</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（30分）</w:t>
            </w:r>
          </w:p>
        </w:tc>
        <w:tc>
          <w:tcPr>
            <w:tcW w:w="119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经济效益指标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2022年上访人数有所下降</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较上年有所下降</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有所下降</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77" w:hRule="exact"/>
          <w:jc w:val="center"/>
        </w:trPr>
        <w:tc>
          <w:tcPr>
            <w:tcW w:w="612" w:type="dxa"/>
            <w:vMerge w:val="continue"/>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760" w:type="dxa"/>
            <w:vMerge w:val="continue"/>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Merge w:val="continue"/>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实现重大活动零非访</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较去年有所提高</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有所提高</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6" w:hRule="atLeast"/>
          <w:jc w:val="center"/>
        </w:trPr>
        <w:tc>
          <w:tcPr>
            <w:tcW w:w="612"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社会效益指标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社会安定和谐</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持续提升</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持续提升</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13</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5"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生态效益指标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rPr>
            </w:pPr>
            <w:r>
              <w:rPr>
                <w:rFonts w:hint="eastAsia" w:ascii="Times New Roman" w:hAnsi="Times New Roman" w:cs="Times New Roman" w:eastAsiaTheme="minorEastAsia"/>
                <w:color w:val="000000"/>
                <w:kern w:val="0"/>
                <w:sz w:val="18"/>
                <w:szCs w:val="18"/>
                <w:highlight w:val="none"/>
                <w:lang w:val="en-US"/>
              </w:rPr>
              <w:t>生态文明</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有所</w:t>
            </w:r>
            <w:r>
              <w:rPr>
                <w:rFonts w:hint="default" w:ascii="Times New Roman" w:hAnsi="Times New Roman" w:cs="Times New Roman" w:eastAsiaTheme="minorEastAsia"/>
                <w:color w:val="000000"/>
                <w:kern w:val="0"/>
                <w:sz w:val="18"/>
                <w:szCs w:val="18"/>
                <w:highlight w:val="none"/>
              </w:rPr>
              <w:t>提升</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有所提升</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2"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tcBorders>
              <w:top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可持续影响指标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上访民众思想文化素养</w:t>
            </w:r>
          </w:p>
        </w:tc>
        <w:tc>
          <w:tcPr>
            <w:tcW w:w="1501" w:type="dxa"/>
            <w:tcBorders>
              <w:bottom w:val="nil"/>
            </w:tcBorders>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有所提高</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民众思想文化素养提高，文明环境持续加强</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8"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76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满意度</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（10分）</w:t>
            </w:r>
          </w:p>
        </w:tc>
        <w:tc>
          <w:tcPr>
            <w:tcW w:w="1190" w:type="dxa"/>
            <w:vMerge w:val="restart"/>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社会公众或服务对象满意度指标</w:t>
            </w: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干部职工满意度</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员工满意度≥95%</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98%</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10" w:hRule="exact"/>
          <w:jc w:val="center"/>
        </w:trPr>
        <w:tc>
          <w:tcPr>
            <w:tcW w:w="612"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76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90" w:type="dxa"/>
            <w:vMerge w:val="continue"/>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919" w:type="dxa"/>
            <w:gridSpan w:val="2"/>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社会公众或服务对象满意度</w:t>
            </w:r>
          </w:p>
        </w:tc>
        <w:tc>
          <w:tcPr>
            <w:tcW w:w="150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社会公众或服务对象满意度≥95%</w:t>
            </w:r>
          </w:p>
        </w:tc>
        <w:tc>
          <w:tcPr>
            <w:tcW w:w="1379"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100%</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8361" w:type="dxa"/>
            <w:gridSpan w:val="7"/>
            <w:vAlign w:val="center"/>
          </w:tcPr>
          <w:p>
            <w:pPr>
              <w:pageBreakBefore w:val="0"/>
              <w:widowControl/>
              <w:kinsoku/>
              <w:wordWrap/>
              <w:overflowPunct/>
              <w:topLinePunct w:val="0"/>
              <w:autoSpaceDE/>
              <w:autoSpaceDN/>
              <w:bidi w:val="0"/>
              <w:spacing w:line="240" w:lineRule="exact"/>
              <w:jc w:val="center"/>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color w:val="000000"/>
                <w:kern w:val="0"/>
                <w:sz w:val="18"/>
                <w:szCs w:val="18"/>
                <w:highlight w:val="none"/>
                <w:lang w:val="en-US" w:eastAsia="zh-CN"/>
              </w:rPr>
              <w:t>合计</w:t>
            </w:r>
          </w:p>
        </w:tc>
        <w:tc>
          <w:tcPr>
            <w:tcW w:w="620"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931" w:type="dxa"/>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r>
    </w:tbl>
    <w:p>
      <w:pPr>
        <w:pStyle w:val="2"/>
      </w:pPr>
    </w:p>
    <w:sectPr>
      <w:headerReference r:id="rId7"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                 邵阳市北塔区信访局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                                                                                                  邵阳市北塔区信访局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                          邵阳市北塔区信访局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42E25"/>
    <w:multiLevelType w:val="singleLevel"/>
    <w:tmpl w:val="7A142E2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53A92E7F"/>
    <w:rsid w:val="03F91360"/>
    <w:rsid w:val="067A5F0E"/>
    <w:rsid w:val="079C0BE9"/>
    <w:rsid w:val="08A93E40"/>
    <w:rsid w:val="092D54BA"/>
    <w:rsid w:val="0AF33BEE"/>
    <w:rsid w:val="16C148E4"/>
    <w:rsid w:val="1F441ABA"/>
    <w:rsid w:val="26056635"/>
    <w:rsid w:val="26AC3A6A"/>
    <w:rsid w:val="26D85306"/>
    <w:rsid w:val="286B1703"/>
    <w:rsid w:val="28900B92"/>
    <w:rsid w:val="2A110088"/>
    <w:rsid w:val="2AAA3A39"/>
    <w:rsid w:val="2E045F3A"/>
    <w:rsid w:val="362D624A"/>
    <w:rsid w:val="38991FFE"/>
    <w:rsid w:val="3F730A5E"/>
    <w:rsid w:val="3F781CF5"/>
    <w:rsid w:val="3FD024D6"/>
    <w:rsid w:val="40660302"/>
    <w:rsid w:val="42E67EAC"/>
    <w:rsid w:val="436160C4"/>
    <w:rsid w:val="4407632C"/>
    <w:rsid w:val="45EA143A"/>
    <w:rsid w:val="47D9036E"/>
    <w:rsid w:val="53A92E7F"/>
    <w:rsid w:val="56420FBA"/>
    <w:rsid w:val="580B5F93"/>
    <w:rsid w:val="595F3832"/>
    <w:rsid w:val="5A2F2B8D"/>
    <w:rsid w:val="5C7D4F86"/>
    <w:rsid w:val="644B3E9B"/>
    <w:rsid w:val="65E07695"/>
    <w:rsid w:val="65F1662C"/>
    <w:rsid w:val="66D05182"/>
    <w:rsid w:val="6900365F"/>
    <w:rsid w:val="6BF53BCF"/>
    <w:rsid w:val="71F80007"/>
    <w:rsid w:val="739E5AB6"/>
    <w:rsid w:val="75295853"/>
    <w:rsid w:val="75F776FF"/>
    <w:rsid w:val="78E37F45"/>
    <w:rsid w:val="7CD978A1"/>
    <w:rsid w:val="7D951CD7"/>
    <w:rsid w:val="7F23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autoRedefine/>
    <w:qFormat/>
    <w:uiPriority w:val="0"/>
    <w:pPr>
      <w:keepNext/>
      <w:keepLines/>
      <w:spacing w:beforeLines="0"/>
      <w:ind w:firstLine="482"/>
      <w:outlineLvl w:val="0"/>
    </w:pPr>
    <w:rPr>
      <w:rFonts w:eastAsia="黑体"/>
      <w:b/>
      <w:kern w:val="44"/>
      <w:sz w:val="32"/>
      <w:szCs w:val="22"/>
    </w:rPr>
  </w:style>
  <w:style w:type="paragraph" w:styleId="6">
    <w:name w:val="heading 2"/>
    <w:basedOn w:val="1"/>
    <w:next w:val="1"/>
    <w:autoRedefine/>
    <w:unhideWhenUsed/>
    <w:qFormat/>
    <w:uiPriority w:val="9"/>
    <w:pPr>
      <w:keepNext w:val="0"/>
      <w:keepLines/>
      <w:spacing w:beforeLines="0" w:beforeAutospacing="0" w:afterLines="0" w:afterAutospacing="0" w:line="600" w:lineRule="exact"/>
      <w:ind w:firstLine="420" w:firstLineChars="200"/>
      <w:outlineLvl w:val="1"/>
    </w:pPr>
    <w:rPr>
      <w:rFonts w:ascii="Arial" w:hAnsi="Arial" w:eastAsia="楷体"/>
      <w:b/>
      <w:sz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ind w:left="120"/>
    </w:pPr>
    <w:rPr>
      <w:rFonts w:ascii="仿宋" w:hAnsi="仿宋" w:eastAsia="仿宋" w:cs="仿宋"/>
      <w:sz w:val="32"/>
      <w:szCs w:val="32"/>
      <w:lang w:val="zh-CN" w:bidi="zh-CN"/>
    </w:rPr>
  </w:style>
  <w:style w:type="paragraph" w:styleId="7">
    <w:name w:val="annotation text"/>
    <w:basedOn w:val="1"/>
    <w:autoRedefine/>
    <w:qFormat/>
    <w:uiPriority w:val="0"/>
    <w:pPr>
      <w:jc w:val="left"/>
    </w:pPr>
  </w:style>
  <w:style w:type="paragraph" w:styleId="8">
    <w:name w:val="Body Text Indent"/>
    <w:basedOn w:val="1"/>
    <w:autoRedefine/>
    <w:unhideWhenUsed/>
    <w:qFormat/>
    <w:uiPriority w:val="99"/>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Autospacing="1" w:afterAutospacing="1"/>
      <w:jc w:val="left"/>
    </w:pPr>
    <w:rPr>
      <w:rFonts w:cs="Times New Roman"/>
      <w:kern w:val="0"/>
      <w:sz w:val="24"/>
    </w:rPr>
  </w:style>
  <w:style w:type="paragraph" w:styleId="15">
    <w:name w:val="Body Text First Indent 2"/>
    <w:basedOn w:val="8"/>
    <w:autoRedefine/>
    <w:qFormat/>
    <w:uiPriority w:val="0"/>
    <w:pPr>
      <w:ind w:left="420" w:leftChars="200" w:firstLine="210"/>
    </w:p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2023-10-29T07:09:00Z</dcterms:created>
  <dc:creator>沙特阿拉伯張</dc:creator>
  <cp:lastModifiedBy>随风而起</cp:lastModifiedBy>
  <dcterms:modified xsi:type="dcterms:W3CDTF">2024-01-17T09:44:50Z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B7CD923962974063BDEA15B3BFC04A43_13</vt:lpwstr>
  </property>
</Properties>
</file>