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480" w:lineRule="atLeast"/>
        <w:jc w:val="center"/>
        <w:rPr>
          <w:rFonts w:hint="default" w:ascii="微软雅黑" w:hAnsi="微软雅黑" w:cs="微软雅黑"/>
          <w:color w:val="666666"/>
          <w:sz w:val="32"/>
          <w:szCs w:val="32"/>
        </w:rPr>
      </w:pPr>
      <w:r>
        <w:rPr>
          <w:color w:val="000000"/>
          <w:sz w:val="32"/>
          <w:szCs w:val="32"/>
          <w:shd w:val="clear" w:color="auto" w:fill="FFFFFF"/>
        </w:rPr>
        <w:t>邵阳市北塔区信访局2022年度部门整体支出绩效评价报告</w:t>
      </w:r>
    </w:p>
    <w:p>
      <w:pPr>
        <w:pStyle w:val="3"/>
        <w:widowControl/>
        <w:spacing w:before="240" w:beforeAutospacing="0" w:afterAutospacing="0" w:line="720" w:lineRule="auto"/>
        <w:ind w:firstLine="420"/>
        <w:jc w:val="both"/>
        <w:rPr>
          <w:rFonts w:ascii="宋体" w:hAnsi="宋体" w:eastAsia="宋体" w:cs="宋体"/>
          <w:sz w:val="32"/>
          <w:szCs w:val="32"/>
        </w:rPr>
      </w:pPr>
      <w:r>
        <w:rPr>
          <w:rFonts w:hint="eastAsia" w:ascii="宋体" w:hAnsi="宋体" w:eastAsia="宋体" w:cs="宋体"/>
          <w:b/>
          <w:bCs/>
          <w:color w:val="444444"/>
          <w:sz w:val="32"/>
          <w:szCs w:val="32"/>
          <w:shd w:val="clear" w:color="auto" w:fill="FFFFFF"/>
        </w:rPr>
        <w:t>一、部门基本情况</w:t>
      </w:r>
    </w:p>
    <w:p>
      <w:pPr>
        <w:spacing w:line="480" w:lineRule="auto"/>
        <w:ind w:firstLine="643" w:firstLineChars="200"/>
        <w:jc w:val="left"/>
        <w:rPr>
          <w:rFonts w:ascii="宋体" w:hAnsi="宋体" w:eastAsia="宋体" w:cs="宋体"/>
          <w:b/>
          <w:bCs/>
          <w:color w:val="444444"/>
          <w:sz w:val="32"/>
          <w:szCs w:val="32"/>
          <w:shd w:val="clear" w:color="auto" w:fill="FFFFFF"/>
        </w:rPr>
      </w:pPr>
      <w:r>
        <w:rPr>
          <w:rFonts w:hint="eastAsia" w:ascii="宋体" w:hAnsi="宋体" w:eastAsia="宋体" w:cs="宋体"/>
          <w:b/>
          <w:bCs/>
          <w:color w:val="444444"/>
          <w:sz w:val="32"/>
          <w:szCs w:val="32"/>
          <w:shd w:val="clear" w:color="auto" w:fill="FFFFFF"/>
        </w:rPr>
        <w:t>（一）机构设置及人员情况</w:t>
      </w:r>
    </w:p>
    <w:p>
      <w:pPr>
        <w:spacing w:line="480" w:lineRule="auto"/>
        <w:ind w:firstLine="643" w:firstLineChars="200"/>
        <w:jc w:val="left"/>
        <w:rPr>
          <w:rFonts w:ascii="宋体" w:hAnsi="宋体" w:eastAsia="宋体" w:cs="宋体"/>
          <w:b/>
          <w:bCs/>
          <w:color w:val="444444"/>
          <w:sz w:val="32"/>
          <w:szCs w:val="32"/>
          <w:shd w:val="clear" w:color="auto" w:fill="FFFFFF"/>
        </w:rPr>
      </w:pPr>
      <w:r>
        <w:rPr>
          <w:rFonts w:hint="eastAsia" w:ascii="宋体" w:hAnsi="宋体" w:eastAsia="宋体" w:cs="宋体"/>
          <w:b/>
          <w:bCs/>
          <w:color w:val="444444"/>
          <w:sz w:val="32"/>
          <w:szCs w:val="32"/>
          <w:shd w:val="clear" w:color="auto" w:fill="FFFFFF"/>
        </w:rPr>
        <w:t>1、机构设置情况</w:t>
      </w:r>
    </w:p>
    <w:p>
      <w:pPr>
        <w:widowControl/>
        <w:spacing w:after="168" w:line="480" w:lineRule="atLeast"/>
        <w:ind w:left="150" w:right="150" w:firstLine="480"/>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根据邵北办发【2019】47号文件精神，邵阳市北塔区信访局机关内设3股1室（办公室、复查复核股、网信办信股、督查股）。下设区接待办理中心和区驻长维稳劝返工作站两个二级机构，均为事业单位。</w:t>
      </w:r>
    </w:p>
    <w:p>
      <w:pPr>
        <w:spacing w:line="480" w:lineRule="auto"/>
        <w:ind w:firstLine="643" w:firstLineChars="200"/>
        <w:jc w:val="left"/>
        <w:rPr>
          <w:rFonts w:ascii="宋体" w:hAnsi="宋体" w:eastAsia="宋体" w:cs="宋体"/>
          <w:b/>
          <w:bCs/>
          <w:color w:val="444444"/>
          <w:sz w:val="32"/>
          <w:szCs w:val="32"/>
          <w:shd w:val="clear" w:color="auto" w:fill="FFFFFF"/>
        </w:rPr>
      </w:pPr>
      <w:r>
        <w:rPr>
          <w:rFonts w:hint="eastAsia" w:ascii="宋体" w:hAnsi="宋体" w:eastAsia="宋体" w:cs="宋体"/>
          <w:b/>
          <w:bCs/>
          <w:color w:val="444444"/>
          <w:sz w:val="32"/>
          <w:szCs w:val="32"/>
          <w:shd w:val="clear" w:color="auto" w:fill="FFFFFF"/>
        </w:rPr>
        <w:t>2、人员情况</w:t>
      </w:r>
    </w:p>
    <w:p>
      <w:pPr>
        <w:widowControl/>
        <w:spacing w:after="168" w:line="480" w:lineRule="atLeast"/>
        <w:ind w:left="150" w:right="150" w:firstLine="480"/>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2022年北塔区信访局在职实有人数9人，离退休人数0人，其中区信访局机关5人，参照公务员法管理事业人员4人，财政全额供养9人。</w:t>
      </w:r>
    </w:p>
    <w:p>
      <w:pPr>
        <w:spacing w:line="480" w:lineRule="auto"/>
        <w:ind w:firstLine="643" w:firstLineChars="200"/>
        <w:jc w:val="left"/>
        <w:rPr>
          <w:rFonts w:ascii="宋体" w:hAnsi="宋体" w:eastAsia="宋体" w:cs="宋体"/>
          <w:b/>
          <w:bCs/>
          <w:color w:val="444444"/>
          <w:sz w:val="32"/>
          <w:szCs w:val="32"/>
          <w:shd w:val="clear" w:color="auto" w:fill="FFFFFF"/>
        </w:rPr>
      </w:pPr>
      <w:r>
        <w:rPr>
          <w:rFonts w:hint="eastAsia" w:ascii="宋体" w:hAnsi="宋体" w:eastAsia="宋体" w:cs="宋体"/>
          <w:b/>
          <w:bCs/>
          <w:color w:val="444444"/>
          <w:sz w:val="32"/>
          <w:szCs w:val="32"/>
          <w:shd w:val="clear" w:color="auto" w:fill="FFFFFF"/>
        </w:rPr>
        <w:t>（二）主要工作职责</w:t>
      </w:r>
    </w:p>
    <w:p>
      <w:pPr>
        <w:widowControl/>
        <w:spacing w:after="168" w:line="480" w:lineRule="atLeast"/>
        <w:ind w:left="150" w:right="150" w:firstLine="480"/>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1、贯彻执行中央和省、市有关信访工作的方针、政策、指示、拟定本区的信访工作规定和制度。</w:t>
      </w:r>
    </w:p>
    <w:p>
      <w:pPr>
        <w:widowControl/>
        <w:spacing w:after="168" w:line="480" w:lineRule="atLeast"/>
        <w:ind w:left="150" w:right="150" w:firstLine="480"/>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2、负责处理上级交办和区委、区政府领导批办的信访案件。</w:t>
      </w:r>
    </w:p>
    <w:p>
      <w:pPr>
        <w:widowControl/>
        <w:spacing w:after="168" w:line="480" w:lineRule="atLeast"/>
        <w:ind w:left="150" w:right="150" w:firstLine="480"/>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3、负责接待和处理人民群众来信来访，积极与有关部门协商解决政策范围内的信访问题。</w:t>
      </w:r>
    </w:p>
    <w:p>
      <w:pPr>
        <w:widowControl/>
        <w:spacing w:after="168" w:line="480" w:lineRule="atLeast"/>
        <w:ind w:left="150" w:right="150" w:firstLine="480"/>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4、搞好信访预测，及时掌握群众集体上访苗头，耐心劝阻集体上访；做好信访老户的稳定工作。</w:t>
      </w:r>
    </w:p>
    <w:p>
      <w:pPr>
        <w:widowControl/>
        <w:spacing w:after="168" w:line="480" w:lineRule="atLeast"/>
        <w:ind w:left="150" w:right="150" w:firstLine="480"/>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5、收集、筛选信访信息，及时报送区委、区政府领导，为领导决策当参谋。</w:t>
      </w:r>
    </w:p>
    <w:p>
      <w:pPr>
        <w:widowControl/>
        <w:spacing w:after="168" w:line="480" w:lineRule="atLeast"/>
        <w:ind w:left="150" w:right="150" w:firstLine="480"/>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6、检查、督促、指导全区的信访工作，发现问题，解决问题，组织交流信访工作经验。</w:t>
      </w:r>
    </w:p>
    <w:p>
      <w:pPr>
        <w:widowControl/>
        <w:spacing w:after="168" w:line="480" w:lineRule="atLeast"/>
        <w:ind w:left="150" w:right="150" w:firstLine="480"/>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7、定期综合研究人民群众来信来访反映的情况和问题，及时向有关领导和有关部门反映，并提出解决问题的建议。</w:t>
      </w:r>
    </w:p>
    <w:p>
      <w:pPr>
        <w:widowControl/>
        <w:spacing w:after="168" w:line="480" w:lineRule="atLeast"/>
        <w:ind w:left="150" w:right="150" w:firstLine="480"/>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8、完成区委、区政府和上级交办的其他事项。</w:t>
      </w:r>
    </w:p>
    <w:p>
      <w:pPr>
        <w:pStyle w:val="3"/>
        <w:widowControl/>
        <w:spacing w:before="240" w:beforeAutospacing="0" w:afterAutospacing="0" w:line="720" w:lineRule="auto"/>
        <w:ind w:firstLine="420"/>
        <w:jc w:val="both"/>
        <w:rPr>
          <w:rFonts w:ascii="宋体" w:hAnsi="宋体" w:eastAsia="宋体" w:cs="宋体"/>
          <w:b/>
          <w:bCs/>
          <w:color w:val="444444"/>
          <w:sz w:val="32"/>
          <w:szCs w:val="32"/>
          <w:shd w:val="clear" w:color="auto" w:fill="FFFFFF"/>
        </w:rPr>
      </w:pPr>
      <w:r>
        <w:rPr>
          <w:rFonts w:hint="eastAsia" w:ascii="宋体" w:hAnsi="宋体" w:eastAsia="宋体" w:cs="宋体"/>
          <w:b/>
          <w:bCs/>
          <w:color w:val="444444"/>
          <w:sz w:val="32"/>
          <w:szCs w:val="32"/>
          <w:shd w:val="clear" w:color="auto" w:fill="FFFFFF"/>
        </w:rPr>
        <w:t>二、部门整体支出管理及使用情况</w:t>
      </w:r>
    </w:p>
    <w:p>
      <w:pPr>
        <w:spacing w:line="480" w:lineRule="auto"/>
        <w:ind w:firstLine="643" w:firstLineChars="200"/>
        <w:jc w:val="left"/>
        <w:rPr>
          <w:rFonts w:ascii="宋体" w:hAnsi="宋体" w:eastAsia="宋体" w:cs="宋体"/>
          <w:b/>
          <w:bCs/>
          <w:color w:val="444444"/>
          <w:sz w:val="32"/>
          <w:szCs w:val="32"/>
          <w:shd w:val="clear" w:color="auto" w:fill="FFFFFF"/>
        </w:rPr>
      </w:pPr>
      <w:r>
        <w:rPr>
          <w:rFonts w:hint="eastAsia" w:ascii="宋体" w:hAnsi="宋体" w:eastAsia="宋体" w:cs="宋体"/>
          <w:b/>
          <w:bCs/>
          <w:color w:val="444444"/>
          <w:sz w:val="32"/>
          <w:szCs w:val="32"/>
          <w:shd w:val="clear" w:color="auto" w:fill="FFFFFF"/>
        </w:rPr>
        <w:t>（一）预算执行情况</w:t>
      </w:r>
    </w:p>
    <w:p>
      <w:pPr>
        <w:spacing w:line="480" w:lineRule="exact"/>
        <w:ind w:firstLine="560" w:firstLineChars="200"/>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2022年决算收入410.9万元，其中年初结转和结余0万元，财政拨款410.9万元；决算支出410.9万元，年末结转和结余累计0万元。2022年预、决算收入、支出及年末结转和结余明细如下（单位：万元）：</w:t>
      </w:r>
    </w:p>
    <w:tbl>
      <w:tblPr>
        <w:tblStyle w:val="4"/>
        <w:tblW w:w="96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1071"/>
        <w:gridCol w:w="965"/>
        <w:gridCol w:w="1082"/>
        <w:gridCol w:w="846"/>
        <w:gridCol w:w="1147"/>
        <w:gridCol w:w="1092"/>
        <w:gridCol w:w="1383"/>
        <w:gridCol w:w="1050"/>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493" w:type="dxa"/>
            <w:vMerge w:val="restart"/>
            <w:shd w:val="clear" w:color="auto" w:fill="auto"/>
            <w:vAlign w:val="center"/>
          </w:tcPr>
          <w:p>
            <w:pPr>
              <w:widowControl/>
              <w:spacing w:before="120" w:after="120" w:line="360" w:lineRule="auto"/>
              <w:ind w:left="105" w:leftChars="50" w:right="105" w:rightChars="50"/>
              <w:jc w:val="center"/>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项目</w:t>
            </w:r>
          </w:p>
        </w:tc>
        <w:tc>
          <w:tcPr>
            <w:tcW w:w="1071" w:type="dxa"/>
            <w:vMerge w:val="restart"/>
            <w:shd w:val="clear" w:color="auto" w:fill="auto"/>
            <w:vAlign w:val="center"/>
          </w:tcPr>
          <w:p>
            <w:pPr>
              <w:widowControl/>
              <w:spacing w:before="120" w:after="120" w:line="360" w:lineRule="auto"/>
              <w:ind w:left="105" w:leftChars="50" w:right="105" w:rightChars="50"/>
              <w:jc w:val="center"/>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合计</w:t>
            </w:r>
          </w:p>
        </w:tc>
        <w:tc>
          <w:tcPr>
            <w:tcW w:w="2893" w:type="dxa"/>
            <w:gridSpan w:val="3"/>
            <w:shd w:val="clear" w:color="auto" w:fill="auto"/>
            <w:vAlign w:val="center"/>
          </w:tcPr>
          <w:p>
            <w:pPr>
              <w:widowControl/>
              <w:spacing w:before="120" w:after="120" w:line="360" w:lineRule="auto"/>
              <w:ind w:left="105" w:leftChars="50" w:right="105" w:rightChars="50"/>
              <w:jc w:val="center"/>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收入</w:t>
            </w:r>
          </w:p>
        </w:tc>
        <w:tc>
          <w:tcPr>
            <w:tcW w:w="4672" w:type="dxa"/>
            <w:gridSpan w:val="4"/>
            <w:shd w:val="clear" w:color="auto" w:fill="auto"/>
            <w:vAlign w:val="center"/>
          </w:tcPr>
          <w:p>
            <w:pPr>
              <w:widowControl/>
              <w:spacing w:before="120" w:after="120" w:line="360" w:lineRule="auto"/>
              <w:ind w:left="105" w:leftChars="50" w:right="105" w:rightChars="50"/>
              <w:jc w:val="center"/>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支出</w:t>
            </w:r>
          </w:p>
        </w:tc>
        <w:tc>
          <w:tcPr>
            <w:tcW w:w="567" w:type="dxa"/>
            <w:vMerge w:val="restart"/>
            <w:shd w:val="clear" w:color="auto" w:fill="auto"/>
            <w:vAlign w:val="center"/>
          </w:tcPr>
          <w:p>
            <w:pPr>
              <w:widowControl/>
              <w:spacing w:before="120" w:after="120" w:line="360" w:lineRule="auto"/>
              <w:ind w:left="105" w:leftChars="50" w:right="105" w:rightChars="50"/>
              <w:jc w:val="center"/>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年末结转结余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vMerge w:val="continue"/>
            <w:shd w:val="clear" w:color="auto" w:fill="auto"/>
            <w:vAlign w:val="center"/>
          </w:tcPr>
          <w:p>
            <w:pPr>
              <w:widowControl/>
              <w:spacing w:before="120" w:after="120" w:line="360" w:lineRule="auto"/>
              <w:ind w:left="105" w:leftChars="50" w:right="105" w:rightChars="50"/>
              <w:jc w:val="center"/>
              <w:rPr>
                <w:rFonts w:ascii="宋体" w:hAnsi="宋体" w:eastAsia="宋体" w:cs="宋体"/>
                <w:color w:val="444444"/>
                <w:sz w:val="28"/>
                <w:szCs w:val="28"/>
                <w:shd w:val="clear" w:color="auto" w:fill="FFFFFF"/>
              </w:rPr>
            </w:pPr>
          </w:p>
        </w:tc>
        <w:tc>
          <w:tcPr>
            <w:tcW w:w="1071" w:type="dxa"/>
            <w:vMerge w:val="continue"/>
            <w:shd w:val="clear" w:color="auto" w:fill="auto"/>
            <w:vAlign w:val="center"/>
          </w:tcPr>
          <w:p>
            <w:pPr>
              <w:widowControl/>
              <w:spacing w:before="120" w:after="120" w:line="360" w:lineRule="auto"/>
              <w:ind w:left="105" w:leftChars="50" w:right="105" w:rightChars="50"/>
              <w:jc w:val="center"/>
              <w:rPr>
                <w:rFonts w:ascii="宋体" w:hAnsi="宋体" w:eastAsia="宋体" w:cs="宋体"/>
                <w:color w:val="444444"/>
                <w:sz w:val="28"/>
                <w:szCs w:val="28"/>
                <w:shd w:val="clear" w:color="auto" w:fill="FFFFFF"/>
              </w:rPr>
            </w:pPr>
          </w:p>
        </w:tc>
        <w:tc>
          <w:tcPr>
            <w:tcW w:w="965" w:type="dxa"/>
            <w:vMerge w:val="restart"/>
            <w:shd w:val="clear" w:color="auto" w:fill="auto"/>
            <w:vAlign w:val="center"/>
          </w:tcPr>
          <w:p>
            <w:pPr>
              <w:widowControl/>
              <w:spacing w:before="120" w:after="120" w:line="360" w:lineRule="auto"/>
              <w:ind w:left="105" w:leftChars="50" w:right="105" w:rightChars="50"/>
              <w:jc w:val="center"/>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年初结转、结余</w:t>
            </w:r>
          </w:p>
        </w:tc>
        <w:tc>
          <w:tcPr>
            <w:tcW w:w="1082" w:type="dxa"/>
            <w:vMerge w:val="restart"/>
            <w:shd w:val="clear" w:color="auto" w:fill="auto"/>
            <w:vAlign w:val="center"/>
          </w:tcPr>
          <w:p>
            <w:pPr>
              <w:widowControl/>
              <w:spacing w:before="120" w:after="120" w:line="360" w:lineRule="auto"/>
              <w:ind w:left="105" w:leftChars="50" w:right="105" w:rightChars="50"/>
              <w:jc w:val="center"/>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财政拨款</w:t>
            </w:r>
          </w:p>
        </w:tc>
        <w:tc>
          <w:tcPr>
            <w:tcW w:w="846" w:type="dxa"/>
            <w:vMerge w:val="restart"/>
            <w:shd w:val="clear" w:color="auto" w:fill="auto"/>
            <w:vAlign w:val="center"/>
          </w:tcPr>
          <w:p>
            <w:pPr>
              <w:widowControl/>
              <w:spacing w:before="120" w:after="120" w:line="360" w:lineRule="auto"/>
              <w:ind w:left="105" w:leftChars="50" w:right="105" w:rightChars="50"/>
              <w:jc w:val="center"/>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其他收入</w:t>
            </w:r>
          </w:p>
        </w:tc>
        <w:tc>
          <w:tcPr>
            <w:tcW w:w="1147" w:type="dxa"/>
            <w:vMerge w:val="restart"/>
            <w:shd w:val="clear" w:color="auto" w:fill="auto"/>
            <w:vAlign w:val="center"/>
          </w:tcPr>
          <w:p>
            <w:pPr>
              <w:widowControl/>
              <w:spacing w:before="120" w:after="120" w:line="360" w:lineRule="auto"/>
              <w:ind w:left="105" w:leftChars="50" w:right="105" w:rightChars="50"/>
              <w:jc w:val="center"/>
              <w:rPr>
                <w:rFonts w:ascii="宋体" w:hAnsi="宋体" w:eastAsia="宋体" w:cs="宋体"/>
                <w:color w:val="444444"/>
                <w:sz w:val="28"/>
                <w:szCs w:val="28"/>
                <w:shd w:val="clear" w:color="auto" w:fill="FFFFFF"/>
              </w:rPr>
            </w:pPr>
          </w:p>
          <w:p>
            <w:pPr>
              <w:spacing w:before="120" w:after="120" w:line="360" w:lineRule="auto"/>
              <w:ind w:left="105" w:leftChars="50" w:right="105" w:rightChars="50"/>
              <w:jc w:val="center"/>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小计</w:t>
            </w:r>
          </w:p>
        </w:tc>
        <w:tc>
          <w:tcPr>
            <w:tcW w:w="2475" w:type="dxa"/>
            <w:gridSpan w:val="2"/>
            <w:shd w:val="clear" w:color="auto" w:fill="auto"/>
            <w:vAlign w:val="center"/>
          </w:tcPr>
          <w:p>
            <w:pPr>
              <w:widowControl/>
              <w:spacing w:before="120" w:after="120" w:line="360" w:lineRule="auto"/>
              <w:ind w:left="105" w:leftChars="50" w:right="105" w:rightChars="50"/>
              <w:jc w:val="center"/>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基本支出</w:t>
            </w:r>
          </w:p>
        </w:tc>
        <w:tc>
          <w:tcPr>
            <w:tcW w:w="1050" w:type="dxa"/>
            <w:vMerge w:val="restart"/>
            <w:shd w:val="clear" w:color="auto" w:fill="auto"/>
            <w:vAlign w:val="center"/>
          </w:tcPr>
          <w:p>
            <w:pPr>
              <w:widowControl/>
              <w:spacing w:before="120" w:after="120" w:line="360" w:lineRule="auto"/>
              <w:ind w:left="105" w:leftChars="50" w:right="105" w:rightChars="50"/>
              <w:jc w:val="center"/>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项目支出</w:t>
            </w:r>
          </w:p>
        </w:tc>
        <w:tc>
          <w:tcPr>
            <w:tcW w:w="567" w:type="dxa"/>
            <w:vMerge w:val="continue"/>
            <w:shd w:val="clear" w:color="auto" w:fill="auto"/>
            <w:vAlign w:val="center"/>
          </w:tcPr>
          <w:p>
            <w:pPr>
              <w:widowControl/>
              <w:spacing w:before="120" w:after="120" w:line="360" w:lineRule="auto"/>
              <w:ind w:left="105" w:leftChars="50" w:right="105" w:rightChars="50"/>
              <w:jc w:val="center"/>
              <w:rPr>
                <w:rFonts w:ascii="宋体" w:hAnsi="宋体" w:eastAsia="宋体" w:cs="宋体"/>
                <w:color w:val="444444"/>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4" w:hRule="atLeast"/>
          <w:jc w:val="center"/>
        </w:trPr>
        <w:tc>
          <w:tcPr>
            <w:tcW w:w="493" w:type="dxa"/>
            <w:vMerge w:val="continue"/>
            <w:shd w:val="clear" w:color="auto" w:fill="auto"/>
            <w:vAlign w:val="center"/>
          </w:tcPr>
          <w:p>
            <w:pPr>
              <w:widowControl/>
              <w:spacing w:before="120" w:after="120" w:line="360" w:lineRule="auto"/>
              <w:ind w:left="105" w:leftChars="50" w:right="105" w:rightChars="50"/>
              <w:jc w:val="center"/>
              <w:rPr>
                <w:rFonts w:ascii="宋体" w:hAnsi="宋体" w:eastAsia="宋体" w:cs="宋体"/>
                <w:color w:val="444444"/>
                <w:sz w:val="28"/>
                <w:szCs w:val="28"/>
                <w:shd w:val="clear" w:color="auto" w:fill="FFFFFF"/>
              </w:rPr>
            </w:pPr>
          </w:p>
        </w:tc>
        <w:tc>
          <w:tcPr>
            <w:tcW w:w="1071" w:type="dxa"/>
            <w:vMerge w:val="continue"/>
            <w:shd w:val="clear" w:color="auto" w:fill="auto"/>
            <w:vAlign w:val="center"/>
          </w:tcPr>
          <w:p>
            <w:pPr>
              <w:widowControl/>
              <w:spacing w:before="120" w:after="120" w:line="360" w:lineRule="auto"/>
              <w:ind w:left="105" w:leftChars="50" w:right="105" w:rightChars="50"/>
              <w:jc w:val="center"/>
              <w:rPr>
                <w:rFonts w:ascii="宋体" w:hAnsi="宋体" w:eastAsia="宋体" w:cs="宋体"/>
                <w:color w:val="444444"/>
                <w:sz w:val="28"/>
                <w:szCs w:val="28"/>
                <w:shd w:val="clear" w:color="auto" w:fill="FFFFFF"/>
              </w:rPr>
            </w:pPr>
          </w:p>
        </w:tc>
        <w:tc>
          <w:tcPr>
            <w:tcW w:w="965" w:type="dxa"/>
            <w:vMerge w:val="continue"/>
            <w:shd w:val="clear" w:color="auto" w:fill="auto"/>
            <w:vAlign w:val="center"/>
          </w:tcPr>
          <w:p>
            <w:pPr>
              <w:widowControl/>
              <w:spacing w:before="120" w:after="120" w:line="360" w:lineRule="auto"/>
              <w:ind w:left="105" w:leftChars="50" w:right="105" w:rightChars="50"/>
              <w:jc w:val="center"/>
              <w:rPr>
                <w:rFonts w:ascii="宋体" w:hAnsi="宋体" w:eastAsia="宋体" w:cs="宋体"/>
                <w:color w:val="444444"/>
                <w:sz w:val="28"/>
                <w:szCs w:val="28"/>
                <w:shd w:val="clear" w:color="auto" w:fill="FFFFFF"/>
              </w:rPr>
            </w:pPr>
          </w:p>
        </w:tc>
        <w:tc>
          <w:tcPr>
            <w:tcW w:w="1082" w:type="dxa"/>
            <w:vMerge w:val="continue"/>
            <w:shd w:val="clear" w:color="auto" w:fill="auto"/>
            <w:vAlign w:val="center"/>
          </w:tcPr>
          <w:p>
            <w:pPr>
              <w:widowControl/>
              <w:spacing w:before="120" w:after="120" w:line="360" w:lineRule="auto"/>
              <w:ind w:left="105" w:leftChars="50" w:right="105" w:rightChars="50"/>
              <w:jc w:val="center"/>
              <w:rPr>
                <w:rFonts w:ascii="宋体" w:hAnsi="宋体" w:eastAsia="宋体" w:cs="宋体"/>
                <w:color w:val="444444"/>
                <w:sz w:val="28"/>
                <w:szCs w:val="28"/>
                <w:shd w:val="clear" w:color="auto" w:fill="FFFFFF"/>
              </w:rPr>
            </w:pPr>
          </w:p>
        </w:tc>
        <w:tc>
          <w:tcPr>
            <w:tcW w:w="846" w:type="dxa"/>
            <w:vMerge w:val="continue"/>
            <w:shd w:val="clear" w:color="auto" w:fill="auto"/>
            <w:vAlign w:val="center"/>
          </w:tcPr>
          <w:p>
            <w:pPr>
              <w:widowControl/>
              <w:spacing w:before="120" w:after="120" w:line="360" w:lineRule="auto"/>
              <w:ind w:left="105" w:leftChars="50" w:right="105" w:rightChars="50"/>
              <w:jc w:val="center"/>
              <w:rPr>
                <w:rFonts w:ascii="宋体" w:hAnsi="宋体" w:eastAsia="宋体" w:cs="宋体"/>
                <w:color w:val="444444"/>
                <w:sz w:val="28"/>
                <w:szCs w:val="28"/>
                <w:shd w:val="clear" w:color="auto" w:fill="FFFFFF"/>
              </w:rPr>
            </w:pPr>
          </w:p>
        </w:tc>
        <w:tc>
          <w:tcPr>
            <w:tcW w:w="1147" w:type="dxa"/>
            <w:vMerge w:val="continue"/>
            <w:shd w:val="clear" w:color="auto" w:fill="auto"/>
            <w:vAlign w:val="center"/>
          </w:tcPr>
          <w:p>
            <w:pPr>
              <w:widowControl/>
              <w:spacing w:before="120" w:after="120" w:line="360" w:lineRule="auto"/>
              <w:ind w:left="105" w:leftChars="50" w:right="105" w:rightChars="50"/>
              <w:jc w:val="center"/>
              <w:rPr>
                <w:rFonts w:ascii="宋体" w:hAnsi="宋体" w:eastAsia="宋体" w:cs="宋体"/>
                <w:color w:val="444444"/>
                <w:sz w:val="28"/>
                <w:szCs w:val="28"/>
                <w:shd w:val="clear" w:color="auto" w:fill="FFFFFF"/>
              </w:rPr>
            </w:pPr>
          </w:p>
        </w:tc>
        <w:tc>
          <w:tcPr>
            <w:tcW w:w="1092" w:type="dxa"/>
            <w:shd w:val="clear" w:color="auto" w:fill="auto"/>
            <w:vAlign w:val="center"/>
          </w:tcPr>
          <w:p>
            <w:pPr>
              <w:widowControl/>
              <w:spacing w:before="120" w:after="120" w:line="360" w:lineRule="auto"/>
              <w:ind w:left="105" w:leftChars="50" w:right="105" w:rightChars="50"/>
              <w:jc w:val="center"/>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人员经费</w:t>
            </w:r>
          </w:p>
        </w:tc>
        <w:tc>
          <w:tcPr>
            <w:tcW w:w="1383" w:type="dxa"/>
            <w:shd w:val="clear" w:color="auto" w:fill="auto"/>
            <w:vAlign w:val="center"/>
          </w:tcPr>
          <w:p>
            <w:pPr>
              <w:widowControl/>
              <w:spacing w:before="120" w:after="120" w:line="360" w:lineRule="auto"/>
              <w:ind w:left="105" w:leftChars="50" w:right="105" w:rightChars="50"/>
              <w:jc w:val="center"/>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公用经费</w:t>
            </w:r>
          </w:p>
        </w:tc>
        <w:tc>
          <w:tcPr>
            <w:tcW w:w="1050" w:type="dxa"/>
            <w:vMerge w:val="continue"/>
            <w:shd w:val="clear" w:color="auto" w:fill="auto"/>
            <w:vAlign w:val="center"/>
          </w:tcPr>
          <w:p>
            <w:pPr>
              <w:widowControl/>
              <w:spacing w:before="120" w:after="120" w:line="360" w:lineRule="auto"/>
              <w:ind w:left="105" w:leftChars="50" w:right="105" w:rightChars="50"/>
              <w:jc w:val="center"/>
              <w:rPr>
                <w:rFonts w:ascii="宋体" w:hAnsi="宋体" w:eastAsia="宋体" w:cs="宋体"/>
                <w:color w:val="444444"/>
                <w:sz w:val="28"/>
                <w:szCs w:val="28"/>
                <w:shd w:val="clear" w:color="auto" w:fill="FFFFFF"/>
              </w:rPr>
            </w:pPr>
          </w:p>
        </w:tc>
        <w:tc>
          <w:tcPr>
            <w:tcW w:w="567" w:type="dxa"/>
            <w:vMerge w:val="continue"/>
            <w:shd w:val="clear" w:color="auto" w:fill="auto"/>
            <w:vAlign w:val="center"/>
          </w:tcPr>
          <w:p>
            <w:pPr>
              <w:widowControl/>
              <w:spacing w:before="120" w:after="120" w:line="360" w:lineRule="auto"/>
              <w:ind w:left="105" w:leftChars="50" w:right="105" w:rightChars="50"/>
              <w:jc w:val="center"/>
              <w:rPr>
                <w:rFonts w:ascii="宋体" w:hAnsi="宋体" w:eastAsia="宋体" w:cs="宋体"/>
                <w:color w:val="444444"/>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shd w:val="clear" w:color="auto" w:fill="auto"/>
            <w:vAlign w:val="center"/>
          </w:tcPr>
          <w:p>
            <w:pPr>
              <w:widowControl/>
              <w:spacing w:before="120" w:after="120" w:line="360" w:lineRule="auto"/>
              <w:ind w:left="105" w:leftChars="50" w:right="105" w:rightChars="50"/>
              <w:jc w:val="center"/>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预算</w:t>
            </w:r>
          </w:p>
        </w:tc>
        <w:tc>
          <w:tcPr>
            <w:tcW w:w="1071" w:type="dxa"/>
            <w:shd w:val="clear" w:color="auto" w:fill="auto"/>
            <w:vAlign w:val="center"/>
          </w:tcPr>
          <w:p>
            <w:pPr>
              <w:widowControl/>
              <w:spacing w:before="120" w:after="120" w:line="360" w:lineRule="auto"/>
              <w:ind w:left="105" w:leftChars="50" w:right="105" w:rightChars="50"/>
              <w:jc w:val="center"/>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209.33</w:t>
            </w:r>
          </w:p>
        </w:tc>
        <w:tc>
          <w:tcPr>
            <w:tcW w:w="965" w:type="dxa"/>
            <w:shd w:val="clear" w:color="auto" w:fill="auto"/>
            <w:vAlign w:val="center"/>
          </w:tcPr>
          <w:p>
            <w:pPr>
              <w:widowControl/>
              <w:spacing w:before="120" w:after="120" w:line="360" w:lineRule="auto"/>
              <w:ind w:left="105" w:leftChars="50" w:right="105" w:rightChars="50"/>
              <w:jc w:val="center"/>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0</w:t>
            </w:r>
          </w:p>
        </w:tc>
        <w:tc>
          <w:tcPr>
            <w:tcW w:w="1082" w:type="dxa"/>
            <w:shd w:val="clear" w:color="auto" w:fill="auto"/>
            <w:vAlign w:val="center"/>
          </w:tcPr>
          <w:p>
            <w:pPr>
              <w:widowControl/>
              <w:spacing w:before="120" w:after="120" w:line="360" w:lineRule="auto"/>
              <w:ind w:left="105" w:leftChars="50" w:right="105" w:rightChars="50"/>
              <w:jc w:val="center"/>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209.33</w:t>
            </w:r>
          </w:p>
        </w:tc>
        <w:tc>
          <w:tcPr>
            <w:tcW w:w="846" w:type="dxa"/>
            <w:shd w:val="clear" w:color="auto" w:fill="auto"/>
            <w:vAlign w:val="center"/>
          </w:tcPr>
          <w:p>
            <w:pPr>
              <w:widowControl/>
              <w:spacing w:before="120" w:after="120" w:line="360" w:lineRule="auto"/>
              <w:ind w:left="105" w:leftChars="50" w:right="105" w:rightChars="50"/>
              <w:jc w:val="center"/>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0</w:t>
            </w:r>
          </w:p>
        </w:tc>
        <w:tc>
          <w:tcPr>
            <w:tcW w:w="1147" w:type="dxa"/>
            <w:shd w:val="clear" w:color="auto" w:fill="auto"/>
            <w:vAlign w:val="center"/>
          </w:tcPr>
          <w:p>
            <w:pPr>
              <w:widowControl/>
              <w:spacing w:before="120" w:after="120" w:line="360" w:lineRule="auto"/>
              <w:ind w:left="105" w:leftChars="50" w:right="105" w:rightChars="50"/>
              <w:jc w:val="center"/>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209.33</w:t>
            </w:r>
          </w:p>
        </w:tc>
        <w:tc>
          <w:tcPr>
            <w:tcW w:w="1092" w:type="dxa"/>
            <w:shd w:val="clear" w:color="auto" w:fill="auto"/>
            <w:vAlign w:val="center"/>
          </w:tcPr>
          <w:p>
            <w:pPr>
              <w:widowControl/>
              <w:spacing w:before="120" w:after="120" w:line="360" w:lineRule="auto"/>
              <w:ind w:left="105" w:leftChars="50" w:right="105" w:rightChars="50"/>
              <w:jc w:val="center"/>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110.75</w:t>
            </w:r>
          </w:p>
        </w:tc>
        <w:tc>
          <w:tcPr>
            <w:tcW w:w="1383" w:type="dxa"/>
            <w:shd w:val="clear" w:color="auto" w:fill="auto"/>
            <w:vAlign w:val="center"/>
          </w:tcPr>
          <w:p>
            <w:pPr>
              <w:widowControl/>
              <w:spacing w:before="120" w:after="120" w:line="360" w:lineRule="auto"/>
              <w:ind w:left="105" w:leftChars="50" w:right="105" w:rightChars="50"/>
              <w:jc w:val="center"/>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13.58</w:t>
            </w:r>
          </w:p>
        </w:tc>
        <w:tc>
          <w:tcPr>
            <w:tcW w:w="1050" w:type="dxa"/>
            <w:shd w:val="clear" w:color="auto" w:fill="auto"/>
            <w:vAlign w:val="center"/>
          </w:tcPr>
          <w:p>
            <w:pPr>
              <w:widowControl/>
              <w:spacing w:before="120" w:after="120" w:line="360" w:lineRule="auto"/>
              <w:ind w:left="105" w:leftChars="50" w:right="105" w:rightChars="50"/>
              <w:jc w:val="center"/>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85</w:t>
            </w:r>
          </w:p>
        </w:tc>
        <w:tc>
          <w:tcPr>
            <w:tcW w:w="567" w:type="dxa"/>
            <w:shd w:val="clear" w:color="auto" w:fill="auto"/>
            <w:vAlign w:val="center"/>
          </w:tcPr>
          <w:p>
            <w:pPr>
              <w:widowControl/>
              <w:spacing w:before="120" w:after="120" w:line="360" w:lineRule="auto"/>
              <w:ind w:left="105" w:leftChars="50" w:right="105" w:rightChars="50"/>
              <w:jc w:val="center"/>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shd w:val="clear" w:color="auto" w:fill="auto"/>
            <w:vAlign w:val="center"/>
          </w:tcPr>
          <w:p>
            <w:pPr>
              <w:widowControl/>
              <w:spacing w:before="120" w:after="120" w:line="360" w:lineRule="auto"/>
              <w:ind w:left="105" w:leftChars="50" w:right="105" w:rightChars="50"/>
              <w:jc w:val="center"/>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决算</w:t>
            </w:r>
          </w:p>
        </w:tc>
        <w:tc>
          <w:tcPr>
            <w:tcW w:w="1071" w:type="dxa"/>
            <w:shd w:val="clear" w:color="auto" w:fill="auto"/>
            <w:vAlign w:val="center"/>
          </w:tcPr>
          <w:p>
            <w:pPr>
              <w:widowControl/>
              <w:spacing w:before="120" w:after="120" w:line="360" w:lineRule="auto"/>
              <w:ind w:left="105" w:leftChars="50" w:right="105" w:rightChars="50"/>
              <w:jc w:val="center"/>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410.9</w:t>
            </w:r>
          </w:p>
        </w:tc>
        <w:tc>
          <w:tcPr>
            <w:tcW w:w="965" w:type="dxa"/>
            <w:shd w:val="clear" w:color="auto" w:fill="auto"/>
            <w:vAlign w:val="center"/>
          </w:tcPr>
          <w:p>
            <w:pPr>
              <w:widowControl/>
              <w:spacing w:before="120" w:after="120" w:line="360" w:lineRule="auto"/>
              <w:ind w:left="105" w:leftChars="50" w:right="105" w:rightChars="50"/>
              <w:jc w:val="center"/>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0</w:t>
            </w:r>
          </w:p>
        </w:tc>
        <w:tc>
          <w:tcPr>
            <w:tcW w:w="1082" w:type="dxa"/>
            <w:shd w:val="clear" w:color="auto" w:fill="auto"/>
            <w:vAlign w:val="center"/>
          </w:tcPr>
          <w:p>
            <w:pPr>
              <w:widowControl/>
              <w:spacing w:before="120" w:after="120" w:line="360" w:lineRule="auto"/>
              <w:ind w:left="105" w:leftChars="50" w:right="105" w:rightChars="50"/>
              <w:jc w:val="center"/>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410.9</w:t>
            </w:r>
          </w:p>
        </w:tc>
        <w:tc>
          <w:tcPr>
            <w:tcW w:w="846" w:type="dxa"/>
            <w:shd w:val="clear" w:color="auto" w:fill="auto"/>
            <w:vAlign w:val="center"/>
          </w:tcPr>
          <w:p>
            <w:pPr>
              <w:widowControl/>
              <w:spacing w:before="120" w:after="120" w:line="360" w:lineRule="auto"/>
              <w:ind w:left="105" w:leftChars="50" w:right="105" w:rightChars="50"/>
              <w:jc w:val="center"/>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0</w:t>
            </w:r>
          </w:p>
        </w:tc>
        <w:tc>
          <w:tcPr>
            <w:tcW w:w="1147" w:type="dxa"/>
            <w:shd w:val="clear" w:color="auto" w:fill="auto"/>
            <w:vAlign w:val="center"/>
          </w:tcPr>
          <w:p>
            <w:pPr>
              <w:widowControl/>
              <w:spacing w:before="120" w:after="120" w:line="360" w:lineRule="auto"/>
              <w:ind w:left="105" w:leftChars="50" w:right="105" w:rightChars="50"/>
              <w:jc w:val="center"/>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410.9</w:t>
            </w:r>
          </w:p>
        </w:tc>
        <w:tc>
          <w:tcPr>
            <w:tcW w:w="1092" w:type="dxa"/>
            <w:shd w:val="clear" w:color="auto" w:fill="auto"/>
            <w:vAlign w:val="center"/>
          </w:tcPr>
          <w:p>
            <w:pPr>
              <w:widowControl/>
              <w:spacing w:before="120" w:after="120" w:line="360" w:lineRule="auto"/>
              <w:ind w:left="105" w:leftChars="50" w:right="105" w:rightChars="50"/>
              <w:jc w:val="center"/>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133.44</w:t>
            </w:r>
          </w:p>
        </w:tc>
        <w:tc>
          <w:tcPr>
            <w:tcW w:w="1383" w:type="dxa"/>
            <w:shd w:val="clear" w:color="auto" w:fill="auto"/>
            <w:vAlign w:val="center"/>
          </w:tcPr>
          <w:p>
            <w:pPr>
              <w:widowControl/>
              <w:spacing w:before="120" w:after="120" w:line="360" w:lineRule="auto"/>
              <w:ind w:left="105" w:leftChars="50" w:right="105" w:rightChars="50"/>
              <w:jc w:val="center"/>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277.46</w:t>
            </w:r>
          </w:p>
        </w:tc>
        <w:tc>
          <w:tcPr>
            <w:tcW w:w="1050" w:type="dxa"/>
            <w:shd w:val="clear" w:color="auto" w:fill="auto"/>
            <w:vAlign w:val="center"/>
          </w:tcPr>
          <w:p>
            <w:pPr>
              <w:widowControl/>
              <w:spacing w:before="120" w:after="120" w:line="360" w:lineRule="auto"/>
              <w:ind w:left="105" w:leftChars="50" w:right="105" w:rightChars="50"/>
              <w:jc w:val="center"/>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0</w:t>
            </w:r>
          </w:p>
        </w:tc>
        <w:tc>
          <w:tcPr>
            <w:tcW w:w="567" w:type="dxa"/>
            <w:shd w:val="clear" w:color="auto" w:fill="auto"/>
            <w:vAlign w:val="center"/>
          </w:tcPr>
          <w:p>
            <w:pPr>
              <w:widowControl/>
              <w:spacing w:before="120" w:after="120" w:line="360" w:lineRule="auto"/>
              <w:ind w:left="105" w:leftChars="50" w:right="105" w:rightChars="50"/>
              <w:jc w:val="center"/>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shd w:val="clear" w:color="auto" w:fill="auto"/>
            <w:vAlign w:val="center"/>
          </w:tcPr>
          <w:p>
            <w:pPr>
              <w:widowControl/>
              <w:spacing w:before="120" w:after="120" w:line="360" w:lineRule="auto"/>
              <w:ind w:left="105" w:leftChars="50" w:right="105" w:rightChars="50"/>
              <w:jc w:val="center"/>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差异率</w:t>
            </w:r>
          </w:p>
        </w:tc>
        <w:tc>
          <w:tcPr>
            <w:tcW w:w="1071" w:type="dxa"/>
            <w:shd w:val="clear" w:color="auto" w:fill="auto"/>
            <w:vAlign w:val="center"/>
          </w:tcPr>
          <w:p>
            <w:pPr>
              <w:widowControl/>
              <w:spacing w:before="120" w:after="120" w:line="360" w:lineRule="auto"/>
              <w:ind w:left="105" w:leftChars="50" w:right="105" w:rightChars="50"/>
              <w:jc w:val="center"/>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96.29%</w:t>
            </w:r>
          </w:p>
        </w:tc>
        <w:tc>
          <w:tcPr>
            <w:tcW w:w="965" w:type="dxa"/>
            <w:shd w:val="clear" w:color="auto" w:fill="auto"/>
            <w:vAlign w:val="center"/>
          </w:tcPr>
          <w:p>
            <w:pPr>
              <w:widowControl/>
              <w:spacing w:before="120" w:after="120" w:line="360" w:lineRule="auto"/>
              <w:ind w:left="105" w:leftChars="50" w:right="105" w:rightChars="50"/>
              <w:jc w:val="center"/>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0%</w:t>
            </w:r>
          </w:p>
        </w:tc>
        <w:tc>
          <w:tcPr>
            <w:tcW w:w="1082" w:type="dxa"/>
            <w:shd w:val="clear" w:color="auto" w:fill="auto"/>
            <w:vAlign w:val="center"/>
          </w:tcPr>
          <w:p>
            <w:pPr>
              <w:widowControl/>
              <w:spacing w:before="120" w:after="120" w:line="360" w:lineRule="auto"/>
              <w:ind w:left="105" w:leftChars="50" w:right="105" w:rightChars="50"/>
              <w:jc w:val="center"/>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96.29%</w:t>
            </w:r>
          </w:p>
        </w:tc>
        <w:tc>
          <w:tcPr>
            <w:tcW w:w="846" w:type="dxa"/>
            <w:shd w:val="clear" w:color="auto" w:fill="auto"/>
            <w:vAlign w:val="center"/>
          </w:tcPr>
          <w:p>
            <w:pPr>
              <w:widowControl/>
              <w:spacing w:before="120" w:after="120" w:line="360" w:lineRule="auto"/>
              <w:ind w:left="105" w:leftChars="50" w:right="105" w:rightChars="50"/>
              <w:jc w:val="center"/>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0%</w:t>
            </w:r>
          </w:p>
        </w:tc>
        <w:tc>
          <w:tcPr>
            <w:tcW w:w="1147" w:type="dxa"/>
            <w:shd w:val="clear" w:color="auto" w:fill="auto"/>
            <w:vAlign w:val="center"/>
          </w:tcPr>
          <w:p>
            <w:pPr>
              <w:widowControl/>
              <w:spacing w:before="120" w:after="120" w:line="360" w:lineRule="auto"/>
              <w:ind w:left="105" w:leftChars="50" w:right="105" w:rightChars="50"/>
              <w:jc w:val="center"/>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96.29%</w:t>
            </w:r>
          </w:p>
        </w:tc>
        <w:tc>
          <w:tcPr>
            <w:tcW w:w="1092" w:type="dxa"/>
            <w:shd w:val="clear" w:color="auto" w:fill="auto"/>
            <w:vAlign w:val="center"/>
          </w:tcPr>
          <w:p>
            <w:pPr>
              <w:widowControl/>
              <w:spacing w:before="120" w:after="120" w:line="360" w:lineRule="auto"/>
              <w:ind w:left="105" w:leftChars="50" w:right="105" w:rightChars="50"/>
              <w:jc w:val="center"/>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20.49%</w:t>
            </w:r>
          </w:p>
        </w:tc>
        <w:tc>
          <w:tcPr>
            <w:tcW w:w="1383" w:type="dxa"/>
            <w:shd w:val="clear" w:color="auto" w:fill="auto"/>
            <w:vAlign w:val="center"/>
          </w:tcPr>
          <w:p>
            <w:pPr>
              <w:widowControl/>
              <w:spacing w:before="120" w:after="120" w:line="360" w:lineRule="auto"/>
              <w:ind w:left="105" w:leftChars="50" w:right="105" w:rightChars="50"/>
              <w:jc w:val="center"/>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1943.15%</w:t>
            </w:r>
          </w:p>
        </w:tc>
        <w:tc>
          <w:tcPr>
            <w:tcW w:w="1050" w:type="dxa"/>
            <w:shd w:val="clear" w:color="auto" w:fill="auto"/>
            <w:vAlign w:val="center"/>
          </w:tcPr>
          <w:p>
            <w:pPr>
              <w:widowControl/>
              <w:spacing w:before="120" w:after="120" w:line="360" w:lineRule="auto"/>
              <w:ind w:left="105" w:leftChars="50" w:right="105" w:rightChars="50"/>
              <w:jc w:val="center"/>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-100%</w:t>
            </w:r>
          </w:p>
        </w:tc>
        <w:tc>
          <w:tcPr>
            <w:tcW w:w="567" w:type="dxa"/>
            <w:shd w:val="clear" w:color="auto" w:fill="auto"/>
            <w:vAlign w:val="center"/>
          </w:tcPr>
          <w:p>
            <w:pPr>
              <w:widowControl/>
              <w:spacing w:before="120" w:after="120" w:line="360" w:lineRule="auto"/>
              <w:ind w:left="105" w:leftChars="50" w:right="105" w:rightChars="50"/>
              <w:jc w:val="center"/>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0</w:t>
            </w:r>
          </w:p>
        </w:tc>
      </w:tr>
    </w:tbl>
    <w:p>
      <w:pPr>
        <w:spacing w:line="480" w:lineRule="auto"/>
        <w:ind w:firstLine="643" w:firstLineChars="200"/>
        <w:jc w:val="left"/>
        <w:rPr>
          <w:rFonts w:ascii="宋体" w:hAnsi="宋体" w:eastAsia="宋体" w:cs="宋体"/>
          <w:b/>
          <w:bCs/>
          <w:color w:val="444444"/>
          <w:sz w:val="32"/>
          <w:szCs w:val="32"/>
          <w:shd w:val="clear" w:color="auto" w:fill="FFFFFF"/>
        </w:rPr>
      </w:pPr>
    </w:p>
    <w:p>
      <w:pPr>
        <w:spacing w:line="480" w:lineRule="auto"/>
        <w:ind w:firstLine="643" w:firstLineChars="200"/>
        <w:jc w:val="left"/>
        <w:rPr>
          <w:rFonts w:ascii="宋体" w:hAnsi="宋体" w:eastAsia="宋体" w:cs="宋体"/>
          <w:b/>
          <w:bCs/>
          <w:color w:val="444444"/>
          <w:sz w:val="32"/>
          <w:szCs w:val="32"/>
          <w:shd w:val="clear" w:color="auto" w:fill="FFFFFF"/>
        </w:rPr>
      </w:pPr>
      <w:r>
        <w:rPr>
          <w:rFonts w:hint="eastAsia" w:ascii="宋体" w:hAnsi="宋体" w:eastAsia="宋体" w:cs="宋体"/>
          <w:b/>
          <w:bCs/>
          <w:color w:val="444444"/>
          <w:sz w:val="32"/>
          <w:szCs w:val="32"/>
          <w:shd w:val="clear" w:color="auto" w:fill="FFFFFF"/>
        </w:rPr>
        <w:t>（二）基本支出情况</w:t>
      </w:r>
    </w:p>
    <w:p>
      <w:pPr>
        <w:spacing w:line="480" w:lineRule="exact"/>
        <w:ind w:firstLine="560" w:firstLineChars="200"/>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2022年，我局基本支出410.9万元，其中包含年初预算安排的项目支出（驻京办经费65万元，驻长劝返工作站工作经费10万元，信访救助金额4万元，群众工作经费4万元，视频租赁费用2万元），基本支出主要用于保障人员的工资和福利支出、正常办公所需的商品和服务支出及对个人和家庭的补助支出。按支出经济分类：其中工资福利支出133.14万元，占基本支出的32.4%；商品服务支出267.68万元，占基本支出的65.15%；对个人家庭补助支出0.3万元，占基本支出的0.07%；资本性支出9.78万元，占基本支出的2.38%。</w:t>
      </w:r>
    </w:p>
    <w:p>
      <w:pPr>
        <w:spacing w:line="480" w:lineRule="auto"/>
        <w:ind w:firstLine="643" w:firstLineChars="200"/>
        <w:jc w:val="left"/>
        <w:rPr>
          <w:rFonts w:ascii="宋体" w:hAnsi="宋体" w:eastAsia="宋体" w:cs="宋体"/>
          <w:b/>
          <w:bCs/>
          <w:color w:val="444444"/>
          <w:sz w:val="32"/>
          <w:szCs w:val="32"/>
          <w:shd w:val="clear" w:color="auto" w:fill="FFFFFF"/>
        </w:rPr>
      </w:pPr>
      <w:r>
        <w:rPr>
          <w:rFonts w:hint="eastAsia" w:ascii="宋体" w:hAnsi="宋体" w:eastAsia="宋体" w:cs="宋体"/>
          <w:b/>
          <w:bCs/>
          <w:color w:val="444444"/>
          <w:sz w:val="32"/>
          <w:szCs w:val="32"/>
          <w:shd w:val="clear" w:color="auto" w:fill="FFFFFF"/>
        </w:rPr>
        <w:t>（三）项目支出情况</w:t>
      </w:r>
    </w:p>
    <w:p>
      <w:pPr>
        <w:spacing w:line="480" w:lineRule="exact"/>
        <w:ind w:firstLine="560" w:firstLineChars="200"/>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2022年，我局项目支出0万元，按支出经济分类：其中商品和服务支出0万元，占项目支出的0%；对个人家庭补助支出0万元，占项目支出的0%；资本性支出0万元，占项目支出的0%。  </w:t>
      </w:r>
    </w:p>
    <w:p>
      <w:pPr>
        <w:pStyle w:val="3"/>
        <w:widowControl/>
        <w:spacing w:before="240" w:beforeAutospacing="0" w:afterAutospacing="0" w:line="720" w:lineRule="auto"/>
        <w:ind w:firstLine="420"/>
        <w:jc w:val="both"/>
        <w:rPr>
          <w:rFonts w:ascii="宋体" w:hAnsi="宋体" w:eastAsia="宋体" w:cs="宋体"/>
          <w:b/>
          <w:bCs/>
          <w:color w:val="444444"/>
          <w:sz w:val="32"/>
          <w:szCs w:val="32"/>
          <w:shd w:val="clear" w:color="auto" w:fill="FFFFFF"/>
        </w:rPr>
      </w:pPr>
      <w:r>
        <w:rPr>
          <w:rFonts w:hint="eastAsia" w:ascii="宋体" w:hAnsi="宋体" w:eastAsia="宋体" w:cs="宋体"/>
          <w:b/>
          <w:bCs/>
          <w:color w:val="444444"/>
          <w:sz w:val="32"/>
          <w:szCs w:val="32"/>
          <w:shd w:val="clear" w:color="auto" w:fill="FFFFFF"/>
        </w:rPr>
        <w:t>三、部门整体支出绩效情况</w:t>
      </w:r>
    </w:p>
    <w:p>
      <w:pPr>
        <w:spacing w:line="480" w:lineRule="auto"/>
        <w:ind w:firstLine="643" w:firstLineChars="200"/>
        <w:jc w:val="left"/>
        <w:rPr>
          <w:rFonts w:ascii="宋体" w:hAnsi="宋体" w:eastAsia="宋体" w:cs="宋体"/>
          <w:b/>
          <w:bCs/>
          <w:color w:val="444444"/>
          <w:sz w:val="32"/>
          <w:szCs w:val="32"/>
          <w:shd w:val="clear" w:color="auto" w:fill="FFFFFF"/>
        </w:rPr>
      </w:pPr>
      <w:r>
        <w:rPr>
          <w:rFonts w:hint="eastAsia" w:ascii="宋体" w:hAnsi="宋体" w:eastAsia="宋体" w:cs="宋体"/>
          <w:b/>
          <w:bCs/>
          <w:color w:val="444444"/>
          <w:sz w:val="32"/>
          <w:szCs w:val="32"/>
          <w:shd w:val="clear" w:color="auto" w:fill="FFFFFF"/>
        </w:rPr>
        <w:t>（一）主要绩效指标完成情况</w:t>
      </w:r>
    </w:p>
    <w:p>
      <w:pPr>
        <w:pStyle w:val="3"/>
        <w:widowControl/>
        <w:spacing w:before="240" w:beforeAutospacing="0" w:afterAutospacing="0" w:line="480" w:lineRule="atLeast"/>
        <w:ind w:firstLine="420"/>
        <w:jc w:val="both"/>
        <w:rPr>
          <w:rFonts w:ascii="宋体" w:hAnsi="宋体" w:eastAsia="宋体" w:cs="宋体"/>
          <w:color w:val="444444"/>
          <w:kern w:val="2"/>
          <w:sz w:val="28"/>
          <w:szCs w:val="28"/>
          <w:shd w:val="clear" w:color="auto" w:fill="FFFFFF"/>
        </w:rPr>
      </w:pPr>
      <w:r>
        <w:rPr>
          <w:rFonts w:hint="eastAsia" w:ascii="宋体" w:hAnsi="宋体" w:eastAsia="宋体" w:cs="宋体"/>
          <w:b/>
          <w:bCs/>
          <w:color w:val="444444"/>
          <w:sz w:val="32"/>
          <w:szCs w:val="32"/>
          <w:shd w:val="clear" w:color="auto" w:fill="FFFFFF"/>
        </w:rPr>
        <w:t>1、预算执行情况。</w:t>
      </w:r>
      <w:r>
        <w:rPr>
          <w:rFonts w:hint="eastAsia" w:ascii="宋体" w:hAnsi="宋体" w:eastAsia="宋体" w:cs="宋体"/>
          <w:color w:val="444444"/>
          <w:kern w:val="2"/>
          <w:sz w:val="28"/>
          <w:szCs w:val="28"/>
          <w:shd w:val="clear" w:color="auto" w:fill="FFFFFF"/>
        </w:rPr>
        <w:t>⑴2022年财政拨款预算执行数410.9万元，预算安排数209.33万元，预算执行率为196.29%，当年预算有超支201.57万元；⑵公用经费预算13.58万元，实际支出277.46万元，公用经费控制率为2043.15%；、（3）“三公经费”年初预算安排1万元，实际支出0万元，“三公经费”控制率为0%。（4）政府采购年初预算2万元，实际政府采购金额82.54万元，政府采购执行率4127%。</w:t>
      </w:r>
    </w:p>
    <w:p>
      <w:pPr>
        <w:pStyle w:val="3"/>
        <w:widowControl/>
        <w:spacing w:before="240" w:beforeAutospacing="0" w:afterAutospacing="0" w:line="480" w:lineRule="atLeast"/>
        <w:ind w:firstLine="420"/>
        <w:jc w:val="both"/>
        <w:rPr>
          <w:rFonts w:ascii="宋体" w:hAnsi="宋体" w:eastAsia="宋体" w:cs="宋体"/>
          <w:color w:val="444444"/>
          <w:kern w:val="2"/>
          <w:sz w:val="28"/>
          <w:szCs w:val="28"/>
          <w:shd w:val="clear" w:color="auto" w:fill="FFFFFF"/>
        </w:rPr>
      </w:pPr>
      <w:r>
        <w:rPr>
          <w:rFonts w:hint="eastAsia" w:ascii="宋体" w:hAnsi="宋体" w:eastAsia="宋体" w:cs="宋体"/>
          <w:b/>
          <w:bCs/>
          <w:color w:val="444444"/>
          <w:sz w:val="32"/>
          <w:szCs w:val="32"/>
          <w:shd w:val="clear" w:color="auto" w:fill="FFFFFF"/>
        </w:rPr>
        <w:t>2、预决算信息公开情况。</w:t>
      </w:r>
      <w:r>
        <w:rPr>
          <w:rFonts w:hint="eastAsia" w:ascii="宋体" w:hAnsi="宋体" w:eastAsia="宋体" w:cs="宋体"/>
          <w:color w:val="444444"/>
          <w:sz w:val="28"/>
          <w:szCs w:val="28"/>
          <w:shd w:val="clear" w:color="auto" w:fill="FFFFFF"/>
        </w:rPr>
        <w:t>邵阳市北塔区信访局</w:t>
      </w:r>
      <w:r>
        <w:rPr>
          <w:rFonts w:hint="eastAsia" w:ascii="宋体" w:hAnsi="宋体" w:eastAsia="宋体" w:cs="宋体"/>
          <w:color w:val="444444"/>
          <w:kern w:val="2"/>
          <w:sz w:val="28"/>
          <w:szCs w:val="28"/>
          <w:shd w:val="clear" w:color="auto" w:fill="FFFFFF"/>
        </w:rPr>
        <w:t>及时在区政府统一平台公开了部门预算、决算和绩效目标、绩效自评报告、“三公经费”等信息，接受群众和社会监督。</w:t>
      </w:r>
    </w:p>
    <w:p>
      <w:pPr>
        <w:pStyle w:val="3"/>
        <w:widowControl/>
        <w:spacing w:before="240" w:beforeAutospacing="0" w:afterAutospacing="0" w:line="480" w:lineRule="atLeast"/>
        <w:ind w:firstLine="420"/>
        <w:jc w:val="both"/>
        <w:rPr>
          <w:rFonts w:ascii="宋体" w:hAnsi="宋体" w:eastAsia="宋体" w:cs="宋体"/>
          <w:color w:val="444444"/>
          <w:kern w:val="2"/>
          <w:sz w:val="28"/>
          <w:szCs w:val="28"/>
          <w:shd w:val="clear" w:color="auto" w:fill="FFFFFF"/>
        </w:rPr>
      </w:pPr>
      <w:r>
        <w:rPr>
          <w:rFonts w:hint="eastAsia" w:ascii="宋体" w:hAnsi="宋体" w:eastAsia="宋体" w:cs="宋体"/>
          <w:b/>
          <w:bCs/>
          <w:color w:val="444444"/>
          <w:sz w:val="32"/>
          <w:szCs w:val="32"/>
          <w:shd w:val="clear" w:color="auto" w:fill="FFFFFF"/>
        </w:rPr>
        <w:t>3、资产管理情况。</w:t>
      </w:r>
      <w:r>
        <w:rPr>
          <w:rFonts w:hint="eastAsia" w:ascii="宋体" w:hAnsi="宋体" w:eastAsia="宋体" w:cs="宋体"/>
          <w:color w:val="444444"/>
          <w:kern w:val="2"/>
          <w:sz w:val="28"/>
          <w:szCs w:val="28"/>
          <w:shd w:val="clear" w:color="auto" w:fill="FFFFFF"/>
        </w:rPr>
        <w:t>截止2022年12月31日，</w:t>
      </w:r>
      <w:r>
        <w:rPr>
          <w:rFonts w:hint="eastAsia" w:ascii="宋体" w:hAnsi="宋体" w:eastAsia="宋体" w:cs="宋体"/>
          <w:color w:val="444444"/>
          <w:sz w:val="28"/>
          <w:szCs w:val="28"/>
          <w:shd w:val="clear" w:color="auto" w:fill="FFFFFF"/>
        </w:rPr>
        <w:t>邵阳市北塔区信访局</w:t>
      </w:r>
      <w:r>
        <w:rPr>
          <w:rFonts w:hint="eastAsia" w:ascii="宋体" w:hAnsi="宋体" w:eastAsia="宋体" w:cs="宋体"/>
          <w:color w:val="444444"/>
          <w:kern w:val="2"/>
          <w:sz w:val="28"/>
          <w:szCs w:val="28"/>
          <w:shd w:val="clear" w:color="auto" w:fill="FFFFFF"/>
        </w:rPr>
        <w:t>拥有各类资产总额21.18万元，其中流动资产3.38万元，固定资产17.8万元。单位为加强资产管理，内部制定了资产管理制度，对各类资产的购置、保管、使用、报废、处置等方面都作出了明确的规定，制度要求所有办公设备（含办公用品）的添置，先由各委室提出申请，经业务分管领导审核同意后，再由办公室及时采购并建立固定资产实物登记台账，工作人员异动，必须及时办理固定资产移交手续，不得侵占和擅自带走，各委室不得擅自购买任何办公用品和设备，否则不予报销。</w:t>
      </w:r>
    </w:p>
    <w:p>
      <w:pPr>
        <w:spacing w:line="720" w:lineRule="auto"/>
        <w:ind w:firstLine="643" w:firstLineChars="200"/>
        <w:jc w:val="left"/>
        <w:rPr>
          <w:rFonts w:ascii="宋体" w:hAnsi="宋体" w:eastAsia="宋体" w:cs="宋体"/>
          <w:b/>
          <w:bCs/>
          <w:color w:val="444444"/>
          <w:sz w:val="32"/>
          <w:szCs w:val="32"/>
          <w:shd w:val="clear" w:color="auto" w:fill="FFFFFF"/>
        </w:rPr>
      </w:pPr>
      <w:r>
        <w:rPr>
          <w:rFonts w:hint="eastAsia" w:ascii="宋体" w:hAnsi="宋体" w:eastAsia="宋体" w:cs="宋体"/>
          <w:b/>
          <w:bCs/>
          <w:color w:val="444444"/>
          <w:sz w:val="32"/>
          <w:szCs w:val="32"/>
          <w:shd w:val="clear" w:color="auto" w:fill="FFFFFF"/>
        </w:rPr>
        <w:t>（二）职责覆行和主要绩效情况</w:t>
      </w:r>
    </w:p>
    <w:p>
      <w:pPr>
        <w:spacing w:line="480" w:lineRule="exact"/>
        <w:ind w:firstLine="560" w:firstLineChars="200"/>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2022年，我局扎实推进了以下重点工作</w:t>
      </w:r>
    </w:p>
    <w:p>
      <w:pPr>
        <w:spacing w:line="600" w:lineRule="exact"/>
        <w:ind w:firstLine="560" w:firstLineChars="200"/>
        <w:rPr>
          <w:rFonts w:hint="eastAsia"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（一）整体访情得到有效的改善</w:t>
      </w:r>
    </w:p>
    <w:p>
      <w:pPr>
        <w:spacing w:line="600" w:lineRule="exact"/>
        <w:ind w:firstLine="560" w:firstLineChars="200"/>
        <w:rPr>
          <w:rFonts w:hint="eastAsia"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1.走访情况。截止11月，未发生一起进京上访登记情况，同比下降300%。赴省走访9批17人次（含集访1批9人次），同比下降63.04%。到市走访57批159人次(含集访5批52次)，同比下降23.55%。到区上访人员125批340人次（含集访22批193人次）同比下降33.07%。</w:t>
      </w:r>
    </w:p>
    <w:p>
      <w:pPr>
        <w:spacing w:line="600" w:lineRule="exact"/>
        <w:ind w:firstLine="560" w:firstLineChars="200"/>
        <w:rPr>
          <w:rFonts w:hint="eastAsia"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2.来信和网信情况。共办理人民来信29件次数、网上信访100件次数，信访事项及时受理率100%,信访事项按期答复率100%，一次性化解率97.56%，责任单位参评率97.2%，参评满意率99%。</w:t>
      </w:r>
    </w:p>
    <w:p>
      <w:pPr>
        <w:spacing w:line="600" w:lineRule="exact"/>
        <w:ind w:firstLine="560" w:firstLineChars="200"/>
        <w:rPr>
          <w:rFonts w:hint="eastAsia"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二）圆满完成全国、全省“两会”、冬奥会、东残奥会、党的二十大等信访维稳任务。今年以来，北塔区信访局紧紧围绕全力以赴服务好党的二十大政治安全稳定为工作目标，集全区力量，在重要时间节点、重大活动期间、重点敏感期，积极做好矛盾纠纷排查化解工作，积极开展领导干</w:t>
      </w:r>
      <w:bookmarkStart w:id="0" w:name="_GoBack"/>
      <w:bookmarkEnd w:id="0"/>
      <w:r>
        <w:rPr>
          <w:rFonts w:hint="eastAsia" w:ascii="宋体" w:hAnsi="宋体" w:eastAsia="宋体" w:cs="宋体"/>
          <w:color w:val="444444"/>
          <w:sz w:val="28"/>
          <w:szCs w:val="28"/>
          <w:shd w:val="clear" w:color="auto" w:fill="FFFFFF"/>
        </w:rPr>
        <w:t>部开门接访、下访约访行动，将矛盾纠纷及时处理在萌芽阶段、人员稳定在当地。在全国全省“两会”、冬奥会、东残奥会、党的二十大等重大活动期间，均取得“零进京、零非访、零滞留、零滋事、零违纪”的良好成效，圆满实现了省、市、区确定的工作目标。</w:t>
      </w:r>
    </w:p>
    <w:p>
      <w:pPr>
        <w:spacing w:line="600" w:lineRule="exact"/>
        <w:ind w:firstLine="560" w:firstLineChars="200"/>
        <w:rPr>
          <w:rFonts w:hint="eastAsia"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（三）深入推进治理重复信访、化解信访积案工作</w:t>
      </w:r>
    </w:p>
    <w:p>
      <w:pPr>
        <w:spacing w:line="600" w:lineRule="exact"/>
        <w:ind w:firstLine="560" w:firstLineChars="200"/>
        <w:rPr>
          <w:rFonts w:hint="eastAsia"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中央信访联席办第一批交办我区的33件重复信访件，已全部办结；第二批交办我区5件，已全部办结。目前，全区“治重化积”专项行动，信访案件审核后再次信访件0件，总审核化解率100%，在全市率先完成任务。</w:t>
      </w:r>
    </w:p>
    <w:p>
      <w:pPr>
        <w:spacing w:line="360" w:lineRule="auto"/>
        <w:ind w:firstLine="560" w:firstLineChars="200"/>
        <w:rPr>
          <w:rFonts w:hint="eastAsia"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（四）夯实信访基础，做好源头预防</w:t>
      </w:r>
    </w:p>
    <w:p>
      <w:pPr>
        <w:spacing w:line="360" w:lineRule="auto"/>
        <w:ind w:firstLine="560" w:firstLineChars="200"/>
        <w:rPr>
          <w:rFonts w:hint="eastAsia"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1．严格落实领导干部包案化解制度。区信访联席会议办公室对所梳理的43个个访，13个集访，严格落实区级领导包案化解，并延伸到个责任单位，逐一落实“五包一”责任制（包案领导、包案街道干部、包案社区干部、包案民警、责任单位负责人），一级一级跟踪督办，一项一项抓好落实，做到“措施明、责任实”。截止到11月底，共化解19个信访积案，1个集访。</w:t>
      </w:r>
    </w:p>
    <w:p>
      <w:pPr>
        <w:widowControl/>
        <w:spacing w:line="600" w:lineRule="exact"/>
        <w:ind w:firstLine="560" w:firstLineChars="200"/>
        <w:rPr>
          <w:rFonts w:hint="eastAsia"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2.持续推动二级领导干部坐班接访工作制度。全区采取二级领导干部坐班接访制度。区内由区委书记亲自挂帅，22名区级领导干部实行轮流坐班接访，各政街道园安排党政领导班子采取每日轮流坐班接访。在重要节点和敏感时期，全区实行区、镇街道二级同步的全天候坐班接访，各级领导干部主动下访约访。</w:t>
      </w:r>
    </w:p>
    <w:p>
      <w:pPr>
        <w:widowControl/>
        <w:spacing w:line="600" w:lineRule="exact"/>
        <w:ind w:firstLine="560" w:firstLineChars="200"/>
        <w:rPr>
          <w:rFonts w:hint="eastAsia"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3.积极推进“一站式”社会矛盾纠纷调处化解中心的运行。今年以来，区委区政府坚决落实市域社会治理工作要求，先后投资30余万元，以区级中心建设为依托，在全区6个镇街道园及所属村社区同步推进中心建设。形成了集日常信访接待、涉法涉诉接待、法律援助、诉讼服务、矛盾纠纷调处化解等“一站式”综合性的接待中心。充分发挥各种力量资源在矛盾纠纷排查化解和源头治理中的基层基础作用。截止目前，中心建设和运行得到了市领导的高度肯定，其中陈家桥镇利用平台运用，成功化解一起信访事项受到市局推介，并于湖南日报刊发宣传。</w:t>
      </w:r>
    </w:p>
    <w:p>
      <w:pPr>
        <w:widowControl/>
        <w:spacing w:line="600" w:lineRule="exact"/>
        <w:ind w:firstLine="560" w:firstLineChars="200"/>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4.群众满意度信访件办理稳步推进。群众满意度事关政府形象，始终大力抓实国家满意度信访件办理，4月份以来，北塔区信访事项群众满意率达到100%，从年初全市信访工作考评名列末位到目前的全市名列前茅，信访事项办理稳步向前。</w:t>
      </w:r>
    </w:p>
    <w:p>
      <w:pPr>
        <w:spacing w:line="600" w:lineRule="exact"/>
        <w:ind w:firstLine="560" w:firstLineChars="200"/>
        <w:rPr>
          <w:rFonts w:hint="eastAsia"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（五）大力开展《信访工作条例》学习宣传</w:t>
      </w:r>
    </w:p>
    <w:p>
      <w:pPr>
        <w:spacing w:line="600" w:lineRule="exact"/>
        <w:ind w:firstLine="560" w:firstLineChars="200"/>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信访工作条例》正式实施以来，区委、区政府高度重视，先后召开区委常委会、区政府常务会组织开展集中学习条例，并邀请市信访局主要领导开展《信访工作条例》的宣讲会，进一步提升对《信访工作条例》新的认知，学懂弄通条例内容，熟练掌握重点要点，开拓全区信访工作新局面。区信访局先后印发了2000余册《信访工作条例》宣传册、制作了宣传视频，联合区纪委、区政法委、各镇街道园，通过发放宣传册、悬挂宣传横幅、现场解答等形式，在区内人员相对集中的群众休闲广场、社区活动中心等地开展宣传活动，得到了全区广大人民群众的积极参与，进一步正确引导了群众合理合法合规的开展信访活动。</w:t>
      </w:r>
    </w:p>
    <w:p>
      <w:pPr>
        <w:pStyle w:val="3"/>
        <w:widowControl/>
        <w:spacing w:before="240" w:beforeAutospacing="0" w:afterAutospacing="0" w:line="720" w:lineRule="auto"/>
        <w:ind w:firstLine="420"/>
        <w:jc w:val="both"/>
        <w:rPr>
          <w:rFonts w:hint="eastAsia" w:ascii="宋体" w:hAnsi="宋体" w:eastAsia="宋体" w:cs="宋体"/>
          <w:b/>
          <w:bCs/>
          <w:color w:val="444444"/>
          <w:sz w:val="32"/>
          <w:szCs w:val="32"/>
          <w:shd w:val="clear" w:color="auto" w:fill="FFFFFF"/>
        </w:rPr>
      </w:pPr>
      <w:r>
        <w:rPr>
          <w:rFonts w:hint="eastAsia" w:ascii="宋体" w:hAnsi="宋体" w:eastAsia="宋体" w:cs="宋体"/>
          <w:b/>
          <w:bCs/>
          <w:color w:val="444444"/>
          <w:sz w:val="32"/>
          <w:szCs w:val="32"/>
          <w:shd w:val="clear" w:color="auto" w:fill="FFFFFF"/>
        </w:rPr>
        <w:t>四、存在的问题及原因分析</w:t>
      </w:r>
    </w:p>
    <w:p>
      <w:pPr>
        <w:spacing w:line="480" w:lineRule="exact"/>
        <w:ind w:firstLine="560" w:firstLineChars="200"/>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1、绩效评价工作机制有待进一步完善，由于平时工作中未加强对绩效监控工作的重视，绩效监控工作容易滞后，未形成对绩效目标进行监控的习惯。</w:t>
      </w:r>
    </w:p>
    <w:p>
      <w:pPr>
        <w:spacing w:line="480" w:lineRule="exact"/>
        <w:ind w:firstLine="560" w:firstLineChars="200"/>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2、在编制部门年度预算时，虽然根据本单位职能职责和年度工作计划编制，但在2022年部门预算执行过程中，仍然存在一下问题，年初预算编制不合理或部分经费计划比较紧张，往往需要在年度中间进行预算追加和调整。</w:t>
      </w:r>
    </w:p>
    <w:p>
      <w:pPr>
        <w:pStyle w:val="3"/>
        <w:widowControl/>
        <w:spacing w:before="240" w:beforeAutospacing="0" w:afterAutospacing="0" w:line="720" w:lineRule="auto"/>
        <w:ind w:firstLine="420"/>
        <w:jc w:val="both"/>
        <w:rPr>
          <w:rFonts w:ascii="宋体" w:hAnsi="宋体" w:eastAsia="宋体" w:cs="宋体"/>
          <w:b/>
          <w:bCs/>
          <w:color w:val="444444"/>
          <w:sz w:val="32"/>
          <w:szCs w:val="32"/>
          <w:shd w:val="clear" w:color="auto" w:fill="FFFFFF"/>
        </w:rPr>
      </w:pPr>
      <w:r>
        <w:rPr>
          <w:rFonts w:hint="eastAsia" w:ascii="宋体" w:hAnsi="宋体" w:eastAsia="宋体" w:cs="宋体"/>
          <w:b/>
          <w:bCs/>
          <w:color w:val="444444"/>
          <w:sz w:val="32"/>
          <w:szCs w:val="32"/>
          <w:shd w:val="clear" w:color="auto" w:fill="FFFFFF"/>
        </w:rPr>
        <w:t>五、改进措施及有关建议</w:t>
      </w:r>
    </w:p>
    <w:p>
      <w:pPr>
        <w:spacing w:line="480" w:lineRule="exact"/>
        <w:ind w:firstLine="562" w:firstLineChars="200"/>
        <w:rPr>
          <w:rFonts w:ascii="宋体" w:hAnsi="宋体" w:eastAsia="宋体" w:cs="宋体"/>
          <w:b/>
          <w:color w:val="444444"/>
          <w:sz w:val="28"/>
          <w:szCs w:val="28"/>
          <w:shd w:val="clear" w:color="auto" w:fill="FFFFFF"/>
        </w:rPr>
      </w:pPr>
      <w:r>
        <w:rPr>
          <w:rFonts w:hint="eastAsia" w:ascii="宋体" w:hAnsi="宋体" w:eastAsia="宋体" w:cs="宋体"/>
          <w:b/>
          <w:color w:val="444444"/>
          <w:sz w:val="28"/>
          <w:szCs w:val="28"/>
          <w:shd w:val="clear" w:color="auto" w:fill="FFFFFF"/>
        </w:rPr>
        <w:t>（一）进一步加强资金管理</w:t>
      </w:r>
    </w:p>
    <w:p>
      <w:pPr>
        <w:spacing w:line="480" w:lineRule="exact"/>
        <w:ind w:firstLine="560" w:firstLineChars="200"/>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提前做好编制预算，按时间节点落实好资金管理，确保资金计划合理。资金的使用要事前计划、事中控制、事后总结，合理使用，充分体现资金投向的目标和效益。</w:t>
      </w:r>
    </w:p>
    <w:p>
      <w:pPr>
        <w:spacing w:line="480" w:lineRule="exact"/>
        <w:ind w:firstLine="562" w:firstLineChars="200"/>
        <w:rPr>
          <w:rFonts w:ascii="宋体" w:hAnsi="宋体" w:eastAsia="宋体" w:cs="宋体"/>
          <w:b/>
          <w:color w:val="444444"/>
          <w:sz w:val="28"/>
          <w:szCs w:val="28"/>
          <w:shd w:val="clear" w:color="auto" w:fill="FFFFFF"/>
        </w:rPr>
      </w:pPr>
      <w:r>
        <w:rPr>
          <w:rFonts w:hint="eastAsia" w:ascii="宋体" w:hAnsi="宋体" w:eastAsia="宋体" w:cs="宋体"/>
          <w:b/>
          <w:color w:val="444444"/>
          <w:sz w:val="28"/>
          <w:szCs w:val="28"/>
          <w:shd w:val="clear" w:color="auto" w:fill="FFFFFF"/>
        </w:rPr>
        <w:t>（二）进一步提高绩效管理水平</w:t>
      </w:r>
    </w:p>
    <w:p>
      <w:pPr>
        <w:spacing w:line="480" w:lineRule="exact"/>
        <w:ind w:firstLine="560" w:firstLineChars="200"/>
        <w:rPr>
          <w:rFonts w:hint="eastAsia"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加强预算执行的准确性，开展好支出绩效管理工作，运用好绩效评价结果，不断提升绩效管理水平。</w:t>
      </w:r>
    </w:p>
    <w:p>
      <w:pPr>
        <w:spacing w:line="600" w:lineRule="exact"/>
        <w:rPr>
          <w:rFonts w:hint="eastAsia" w:ascii="宋体" w:hAnsi="宋体" w:eastAsia="宋体" w:cs="宋体"/>
          <w:kern w:val="0"/>
          <w:sz w:val="30"/>
          <w:szCs w:val="30"/>
        </w:rPr>
      </w:pPr>
      <w:r>
        <w:rPr>
          <w:rFonts w:hint="eastAsia" w:ascii="宋体" w:hAnsi="宋体" w:eastAsia="宋体" w:cs="宋体"/>
          <w:kern w:val="0"/>
          <w:sz w:val="30"/>
          <w:szCs w:val="30"/>
        </w:rPr>
        <w:t>附件1</w:t>
      </w:r>
      <w:r>
        <w:rPr>
          <w:rFonts w:hint="eastAsia" w:ascii="宋体" w:hAnsi="宋体" w:eastAsia="宋体" w:cs="宋体"/>
          <w:kern w:val="0"/>
          <w:sz w:val="30"/>
          <w:szCs w:val="30"/>
        </w:rPr>
        <w:tab/>
      </w:r>
      <w:r>
        <w:rPr>
          <w:rFonts w:hint="eastAsia" w:ascii="宋体" w:hAnsi="宋体" w:eastAsia="宋体" w:cs="宋体"/>
          <w:kern w:val="0"/>
          <w:sz w:val="30"/>
          <w:szCs w:val="30"/>
        </w:rPr>
        <w:tab/>
      </w:r>
      <w:r>
        <w:rPr>
          <w:rFonts w:hint="eastAsia" w:ascii="宋体" w:hAnsi="宋体" w:eastAsia="宋体" w:cs="宋体"/>
          <w:kern w:val="0"/>
          <w:sz w:val="30"/>
          <w:szCs w:val="30"/>
        </w:rPr>
        <w:tab/>
      </w:r>
      <w:r>
        <w:rPr>
          <w:rFonts w:hint="eastAsia" w:ascii="宋体" w:hAnsi="宋体" w:eastAsia="宋体" w:cs="宋体"/>
          <w:kern w:val="0"/>
          <w:sz w:val="30"/>
          <w:szCs w:val="30"/>
        </w:rPr>
        <w:tab/>
      </w:r>
      <w:r>
        <w:rPr>
          <w:rFonts w:hint="eastAsia" w:ascii="宋体" w:hAnsi="宋体" w:eastAsia="宋体" w:cs="宋体"/>
          <w:kern w:val="0"/>
          <w:sz w:val="30"/>
          <w:szCs w:val="30"/>
        </w:rPr>
        <w:tab/>
      </w:r>
      <w:r>
        <w:rPr>
          <w:rFonts w:hint="eastAsia" w:ascii="宋体" w:hAnsi="宋体" w:eastAsia="宋体" w:cs="宋体"/>
          <w:kern w:val="0"/>
          <w:sz w:val="30"/>
          <w:szCs w:val="30"/>
        </w:rPr>
        <w:tab/>
      </w:r>
      <w:r>
        <w:rPr>
          <w:rFonts w:hint="eastAsia" w:ascii="宋体" w:hAnsi="宋体" w:eastAsia="宋体" w:cs="宋体"/>
          <w:kern w:val="0"/>
          <w:sz w:val="30"/>
          <w:szCs w:val="30"/>
        </w:rPr>
        <w:tab/>
      </w:r>
    </w:p>
    <w:p>
      <w:pPr>
        <w:widowControl/>
        <w:ind w:left="93"/>
        <w:jc w:val="center"/>
        <w:rPr>
          <w:rFonts w:hint="eastAsia" w:ascii="宋体" w:hAnsi="宋体" w:eastAsia="宋体" w:cs="宋体"/>
          <w:bCs/>
          <w:kern w:val="0"/>
          <w:sz w:val="30"/>
          <w:szCs w:val="30"/>
        </w:rPr>
      </w:pPr>
      <w:r>
        <w:rPr>
          <w:rFonts w:hint="eastAsia" w:ascii="宋体" w:hAnsi="宋体" w:eastAsia="宋体" w:cs="宋体"/>
          <w:bCs/>
          <w:kern w:val="0"/>
          <w:sz w:val="30"/>
          <w:szCs w:val="30"/>
        </w:rPr>
        <w:t>部门整体支出绩效评价指标评分表</w:t>
      </w:r>
    </w:p>
    <w:tbl>
      <w:tblPr>
        <w:tblStyle w:val="4"/>
        <w:tblW w:w="10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2821"/>
        <w:gridCol w:w="3525"/>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一级指标</w:t>
            </w:r>
          </w:p>
        </w:tc>
        <w:tc>
          <w:tcPr>
            <w:tcW w:w="429" w:type="dxa"/>
            <w:noWrap w:val="0"/>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二级指标</w:t>
            </w:r>
          </w:p>
        </w:tc>
        <w:tc>
          <w:tcPr>
            <w:tcW w:w="567" w:type="dxa"/>
            <w:noWrap w:val="0"/>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分值</w:t>
            </w:r>
          </w:p>
        </w:tc>
        <w:tc>
          <w:tcPr>
            <w:tcW w:w="851" w:type="dxa"/>
            <w:noWrap w:val="0"/>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三级   指标</w:t>
            </w:r>
          </w:p>
        </w:tc>
        <w:tc>
          <w:tcPr>
            <w:tcW w:w="567" w:type="dxa"/>
            <w:noWrap w:val="0"/>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分值</w:t>
            </w:r>
          </w:p>
        </w:tc>
        <w:tc>
          <w:tcPr>
            <w:tcW w:w="2821" w:type="dxa"/>
            <w:noWrap w:val="0"/>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评价标准</w:t>
            </w:r>
          </w:p>
        </w:tc>
        <w:tc>
          <w:tcPr>
            <w:tcW w:w="3525" w:type="dxa"/>
            <w:noWrap w:val="0"/>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备注</w:t>
            </w:r>
          </w:p>
        </w:tc>
        <w:tc>
          <w:tcPr>
            <w:tcW w:w="861" w:type="dxa"/>
            <w:noWrap w:val="0"/>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投    入</w:t>
            </w:r>
          </w:p>
        </w:tc>
        <w:tc>
          <w:tcPr>
            <w:tcW w:w="429" w:type="dxa"/>
            <w:vMerge w:val="restart"/>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预算配置</w:t>
            </w:r>
          </w:p>
        </w:tc>
        <w:tc>
          <w:tcPr>
            <w:tcW w:w="567" w:type="dxa"/>
            <w:vMerge w:val="restart"/>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18</w:t>
            </w:r>
          </w:p>
        </w:tc>
        <w:tc>
          <w:tcPr>
            <w:tcW w:w="851" w:type="dxa"/>
            <w:noWrap w:val="0"/>
            <w:vAlign w:val="center"/>
          </w:tcPr>
          <w:p>
            <w:pPr>
              <w:widowControl/>
              <w:jc w:val="both"/>
              <w:rPr>
                <w:rFonts w:hint="eastAsia" w:ascii="宋体" w:hAnsi="宋体" w:eastAsia="宋体" w:cs="宋体"/>
                <w:kern w:val="0"/>
                <w:sz w:val="24"/>
                <w:szCs w:val="24"/>
                <w:lang w:eastAsia="zh-CN"/>
              </w:rPr>
            </w:pPr>
            <w:r>
              <w:rPr>
                <w:rFonts w:hint="eastAsia" w:ascii="宋体" w:hAnsi="宋体" w:eastAsia="宋体" w:cs="宋体"/>
                <w:kern w:val="0"/>
                <w:sz w:val="24"/>
                <w:szCs w:val="24"/>
              </w:rPr>
              <w:t>“三公经费”</w:t>
            </w:r>
          </w:p>
          <w:p>
            <w:pPr>
              <w:widowControl/>
              <w:jc w:val="both"/>
              <w:rPr>
                <w:rFonts w:hint="eastAsia" w:ascii="宋体" w:hAnsi="宋体" w:eastAsia="宋体" w:cs="宋体"/>
                <w:kern w:val="0"/>
                <w:sz w:val="24"/>
                <w:szCs w:val="24"/>
              </w:rPr>
            </w:pPr>
            <w:r>
              <w:rPr>
                <w:rFonts w:hint="eastAsia" w:ascii="宋体" w:hAnsi="宋体" w:eastAsia="宋体" w:cs="宋体"/>
                <w:kern w:val="0"/>
                <w:sz w:val="24"/>
                <w:szCs w:val="24"/>
              </w:rPr>
              <w:t>变动率</w:t>
            </w:r>
          </w:p>
        </w:tc>
        <w:tc>
          <w:tcPr>
            <w:tcW w:w="567" w:type="dxa"/>
            <w:noWrap w:val="0"/>
            <w:vAlign w:val="center"/>
          </w:tcPr>
          <w:p>
            <w:pPr>
              <w:widowControl/>
              <w:jc w:val="both"/>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2821" w:type="dxa"/>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“三公经费”变动率≤0,计3分；“三公经费”＞0，每超过一个百分点扣0.3分，扣完为止。</w:t>
            </w:r>
          </w:p>
        </w:tc>
        <w:tc>
          <w:tcPr>
            <w:tcW w:w="3525" w:type="dxa"/>
            <w:noWrap w:val="0"/>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“三公经费”变动率=[（本年度“三公经费”总额-上年度“三公经费”总额）/上年度“三公经费”总额]×100%。</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“三公经费”：指政府部门人员因公出国（境）经费、公务车购置及运行费、公务招待费产生的消费。</w:t>
            </w:r>
          </w:p>
        </w:tc>
        <w:tc>
          <w:tcPr>
            <w:tcW w:w="861"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宋体" w:hAnsi="宋体" w:eastAsia="宋体" w:cs="宋体"/>
                <w:kern w:val="0"/>
                <w:sz w:val="24"/>
                <w:szCs w:val="24"/>
              </w:rPr>
            </w:pPr>
          </w:p>
        </w:tc>
        <w:tc>
          <w:tcPr>
            <w:tcW w:w="429" w:type="dxa"/>
            <w:vMerge w:val="continue"/>
            <w:noWrap w:val="0"/>
            <w:vAlign w:val="center"/>
          </w:tcPr>
          <w:p>
            <w:pPr>
              <w:widowControl/>
              <w:jc w:val="center"/>
              <w:rPr>
                <w:rFonts w:hint="eastAsia" w:ascii="宋体" w:hAnsi="宋体" w:eastAsia="宋体" w:cs="宋体"/>
                <w:kern w:val="0"/>
                <w:sz w:val="24"/>
                <w:szCs w:val="24"/>
              </w:rPr>
            </w:pPr>
          </w:p>
        </w:tc>
        <w:tc>
          <w:tcPr>
            <w:tcW w:w="567" w:type="dxa"/>
            <w:vMerge w:val="continue"/>
            <w:noWrap w:val="0"/>
            <w:vAlign w:val="center"/>
          </w:tcPr>
          <w:p>
            <w:pPr>
              <w:widowControl/>
              <w:jc w:val="center"/>
              <w:rPr>
                <w:rFonts w:hint="eastAsia" w:ascii="宋体" w:hAnsi="宋体" w:eastAsia="宋体" w:cs="宋体"/>
                <w:kern w:val="0"/>
                <w:sz w:val="24"/>
                <w:szCs w:val="24"/>
              </w:rPr>
            </w:pPr>
          </w:p>
        </w:tc>
        <w:tc>
          <w:tcPr>
            <w:tcW w:w="851" w:type="dxa"/>
            <w:noWrap w:val="0"/>
            <w:vAlign w:val="center"/>
          </w:tcPr>
          <w:p>
            <w:pPr>
              <w:widowControl/>
              <w:jc w:val="both"/>
              <w:rPr>
                <w:rFonts w:hint="eastAsia" w:ascii="宋体" w:hAnsi="宋体" w:eastAsia="宋体" w:cs="宋体"/>
                <w:kern w:val="0"/>
                <w:sz w:val="24"/>
                <w:szCs w:val="24"/>
              </w:rPr>
            </w:pPr>
            <w:r>
              <w:rPr>
                <w:rFonts w:hint="eastAsia" w:ascii="宋体" w:hAnsi="宋体" w:eastAsia="宋体" w:cs="宋体"/>
                <w:kern w:val="0"/>
                <w:sz w:val="24"/>
                <w:szCs w:val="24"/>
              </w:rPr>
              <w:t>“三公经费”   管理</w:t>
            </w:r>
          </w:p>
        </w:tc>
        <w:tc>
          <w:tcPr>
            <w:tcW w:w="567" w:type="dxa"/>
            <w:noWrap w:val="0"/>
            <w:vAlign w:val="center"/>
          </w:tcPr>
          <w:p>
            <w:pPr>
              <w:widowControl/>
              <w:jc w:val="both"/>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2821" w:type="dxa"/>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①招待费用明确招待标准和招待人数,1分;②车辆维护、燃油使用政府定点，1分。③制定“三公经费”管理办法，1分，每少一项扣1分，扣完为止。</w:t>
            </w:r>
          </w:p>
        </w:tc>
        <w:tc>
          <w:tcPr>
            <w:tcW w:w="3525" w:type="dxa"/>
            <w:noWrap w:val="0"/>
            <w:vAlign w:val="center"/>
          </w:tcPr>
          <w:p>
            <w:pPr>
              <w:widowControl/>
              <w:jc w:val="left"/>
              <w:rPr>
                <w:rFonts w:hint="eastAsia" w:ascii="宋体" w:hAnsi="宋体" w:eastAsia="宋体" w:cs="宋体"/>
                <w:kern w:val="0"/>
                <w:sz w:val="24"/>
                <w:szCs w:val="24"/>
              </w:rPr>
            </w:pPr>
          </w:p>
        </w:tc>
        <w:tc>
          <w:tcPr>
            <w:tcW w:w="861"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宋体" w:hAnsi="宋体" w:eastAsia="宋体" w:cs="宋体"/>
                <w:kern w:val="0"/>
                <w:sz w:val="24"/>
                <w:szCs w:val="24"/>
              </w:rPr>
            </w:pPr>
          </w:p>
        </w:tc>
        <w:tc>
          <w:tcPr>
            <w:tcW w:w="429" w:type="dxa"/>
            <w:vMerge w:val="continue"/>
            <w:noWrap w:val="0"/>
            <w:vAlign w:val="center"/>
          </w:tcPr>
          <w:p>
            <w:pPr>
              <w:widowControl/>
              <w:jc w:val="center"/>
              <w:rPr>
                <w:rFonts w:hint="eastAsia" w:ascii="宋体" w:hAnsi="宋体" w:eastAsia="宋体" w:cs="宋体"/>
                <w:kern w:val="0"/>
                <w:sz w:val="24"/>
                <w:szCs w:val="24"/>
              </w:rPr>
            </w:pPr>
          </w:p>
        </w:tc>
        <w:tc>
          <w:tcPr>
            <w:tcW w:w="567" w:type="dxa"/>
            <w:vMerge w:val="continue"/>
            <w:noWrap w:val="0"/>
            <w:vAlign w:val="center"/>
          </w:tcPr>
          <w:p>
            <w:pPr>
              <w:widowControl/>
              <w:jc w:val="center"/>
              <w:rPr>
                <w:rFonts w:hint="eastAsia" w:ascii="宋体" w:hAnsi="宋体" w:eastAsia="宋体" w:cs="宋体"/>
                <w:kern w:val="0"/>
                <w:sz w:val="24"/>
                <w:szCs w:val="24"/>
              </w:rPr>
            </w:pPr>
          </w:p>
        </w:tc>
        <w:tc>
          <w:tcPr>
            <w:tcW w:w="851" w:type="dxa"/>
            <w:noWrap w:val="0"/>
            <w:vAlign w:val="center"/>
          </w:tcPr>
          <w:p>
            <w:pPr>
              <w:widowControl/>
              <w:jc w:val="both"/>
              <w:rPr>
                <w:rFonts w:hint="eastAsia" w:ascii="宋体" w:hAnsi="宋体" w:eastAsia="宋体" w:cs="宋体"/>
                <w:kern w:val="0"/>
                <w:sz w:val="24"/>
                <w:szCs w:val="24"/>
              </w:rPr>
            </w:pPr>
            <w:r>
              <w:rPr>
                <w:rFonts w:hint="eastAsia" w:ascii="宋体" w:hAnsi="宋体" w:eastAsia="宋体" w:cs="宋体"/>
                <w:kern w:val="0"/>
                <w:sz w:val="24"/>
                <w:szCs w:val="24"/>
              </w:rPr>
              <w:t>公务</w:t>
            </w:r>
          </w:p>
          <w:p>
            <w:pPr>
              <w:widowControl/>
              <w:jc w:val="both"/>
              <w:rPr>
                <w:rFonts w:hint="eastAsia" w:ascii="宋体" w:hAnsi="宋体" w:eastAsia="宋体" w:cs="宋体"/>
                <w:kern w:val="0"/>
                <w:sz w:val="24"/>
                <w:szCs w:val="24"/>
              </w:rPr>
            </w:pPr>
            <w:r>
              <w:rPr>
                <w:rFonts w:hint="eastAsia" w:ascii="宋体" w:hAnsi="宋体" w:eastAsia="宋体" w:cs="宋体"/>
                <w:kern w:val="0"/>
                <w:sz w:val="24"/>
                <w:szCs w:val="24"/>
              </w:rPr>
              <w:t>招待费变动率</w:t>
            </w:r>
          </w:p>
        </w:tc>
        <w:tc>
          <w:tcPr>
            <w:tcW w:w="567" w:type="dxa"/>
            <w:noWrap w:val="0"/>
            <w:vAlign w:val="center"/>
          </w:tcPr>
          <w:p>
            <w:pPr>
              <w:widowControl/>
              <w:jc w:val="both"/>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2821" w:type="dxa"/>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“公务招待费”变动率≤0,计2分；“公务招待费变动率”＞0，每超过一个百分点扣0.2分，扣完为止。</w:t>
            </w:r>
          </w:p>
        </w:tc>
        <w:tc>
          <w:tcPr>
            <w:tcW w:w="3525" w:type="dxa"/>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公务招待费变动率=[（本年度“公务招待费”总额-上年度“公务招待费”总额）/上年度“公务招待费”总额]×100%。</w:t>
            </w:r>
          </w:p>
        </w:tc>
        <w:tc>
          <w:tcPr>
            <w:tcW w:w="861"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宋体" w:hAnsi="宋体" w:eastAsia="宋体" w:cs="宋体"/>
                <w:kern w:val="0"/>
                <w:sz w:val="24"/>
                <w:szCs w:val="24"/>
              </w:rPr>
            </w:pPr>
          </w:p>
        </w:tc>
        <w:tc>
          <w:tcPr>
            <w:tcW w:w="429" w:type="dxa"/>
            <w:vMerge w:val="continue"/>
            <w:noWrap w:val="0"/>
            <w:vAlign w:val="center"/>
          </w:tcPr>
          <w:p>
            <w:pPr>
              <w:widowControl/>
              <w:jc w:val="center"/>
              <w:rPr>
                <w:rFonts w:hint="eastAsia" w:ascii="宋体" w:hAnsi="宋体" w:eastAsia="宋体" w:cs="宋体"/>
                <w:kern w:val="0"/>
                <w:sz w:val="24"/>
                <w:szCs w:val="24"/>
              </w:rPr>
            </w:pPr>
          </w:p>
        </w:tc>
        <w:tc>
          <w:tcPr>
            <w:tcW w:w="567" w:type="dxa"/>
            <w:vMerge w:val="continue"/>
            <w:noWrap w:val="0"/>
            <w:vAlign w:val="center"/>
          </w:tcPr>
          <w:p>
            <w:pPr>
              <w:widowControl/>
              <w:jc w:val="center"/>
              <w:rPr>
                <w:rFonts w:hint="eastAsia" w:ascii="宋体" w:hAnsi="宋体" w:eastAsia="宋体" w:cs="宋体"/>
                <w:kern w:val="0"/>
                <w:sz w:val="24"/>
                <w:szCs w:val="24"/>
              </w:rPr>
            </w:pPr>
          </w:p>
        </w:tc>
        <w:tc>
          <w:tcPr>
            <w:tcW w:w="851" w:type="dxa"/>
            <w:noWrap w:val="0"/>
            <w:vAlign w:val="center"/>
          </w:tcPr>
          <w:p>
            <w:pPr>
              <w:widowControl/>
              <w:jc w:val="both"/>
              <w:rPr>
                <w:rFonts w:hint="eastAsia" w:ascii="宋体" w:hAnsi="宋体" w:eastAsia="宋体" w:cs="宋体"/>
                <w:kern w:val="0"/>
                <w:sz w:val="24"/>
                <w:szCs w:val="24"/>
              </w:rPr>
            </w:pPr>
            <w:r>
              <w:rPr>
                <w:rFonts w:hint="eastAsia" w:ascii="宋体" w:hAnsi="宋体" w:eastAsia="宋体" w:cs="宋体"/>
                <w:kern w:val="0"/>
                <w:sz w:val="24"/>
                <w:szCs w:val="24"/>
              </w:rPr>
              <w:t>公务用车购置</w:t>
            </w:r>
          </w:p>
          <w:p>
            <w:pPr>
              <w:widowControl/>
              <w:jc w:val="both"/>
              <w:rPr>
                <w:rFonts w:hint="eastAsia" w:ascii="宋体" w:hAnsi="宋体" w:eastAsia="宋体" w:cs="宋体"/>
                <w:kern w:val="0"/>
                <w:sz w:val="24"/>
                <w:szCs w:val="24"/>
              </w:rPr>
            </w:pPr>
            <w:r>
              <w:rPr>
                <w:rFonts w:hint="eastAsia" w:ascii="宋体" w:hAnsi="宋体" w:eastAsia="宋体" w:cs="宋体"/>
                <w:kern w:val="0"/>
                <w:sz w:val="24"/>
                <w:szCs w:val="24"/>
              </w:rPr>
              <w:t>运行费</w:t>
            </w:r>
          </w:p>
          <w:p>
            <w:pPr>
              <w:widowControl/>
              <w:jc w:val="both"/>
              <w:rPr>
                <w:rFonts w:hint="eastAsia" w:ascii="宋体" w:hAnsi="宋体" w:eastAsia="宋体" w:cs="宋体"/>
                <w:kern w:val="0"/>
                <w:sz w:val="24"/>
                <w:szCs w:val="24"/>
              </w:rPr>
            </w:pPr>
            <w:r>
              <w:rPr>
                <w:rFonts w:hint="eastAsia" w:ascii="宋体" w:hAnsi="宋体" w:eastAsia="宋体" w:cs="宋体"/>
                <w:kern w:val="0"/>
                <w:sz w:val="24"/>
                <w:szCs w:val="24"/>
              </w:rPr>
              <w:t>变动率</w:t>
            </w:r>
          </w:p>
        </w:tc>
        <w:tc>
          <w:tcPr>
            <w:tcW w:w="567" w:type="dxa"/>
            <w:noWrap w:val="0"/>
            <w:vAlign w:val="center"/>
          </w:tcPr>
          <w:p>
            <w:pPr>
              <w:widowControl/>
              <w:jc w:val="both"/>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2821" w:type="dxa"/>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“公务用车购置运行费”变动率≤0,计2分；“公务用车购置运行费变动率”＞0，每超过一个百分点扣0.2分，扣完为止。</w:t>
            </w:r>
          </w:p>
        </w:tc>
        <w:tc>
          <w:tcPr>
            <w:tcW w:w="3525" w:type="dxa"/>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公务用车购置运行费变动率=[（本年度“公务用车购置运行费”总额-上年度“公务用车购置运行费”总额）/上年度“公务用车购置运行费”总额]×100%。</w:t>
            </w:r>
          </w:p>
        </w:tc>
        <w:tc>
          <w:tcPr>
            <w:tcW w:w="861"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宋体" w:hAnsi="宋体" w:eastAsia="宋体" w:cs="宋体"/>
                <w:kern w:val="0"/>
                <w:sz w:val="24"/>
                <w:szCs w:val="24"/>
              </w:rPr>
            </w:pPr>
          </w:p>
        </w:tc>
        <w:tc>
          <w:tcPr>
            <w:tcW w:w="429" w:type="dxa"/>
            <w:vMerge w:val="continue"/>
            <w:noWrap w:val="0"/>
            <w:vAlign w:val="center"/>
          </w:tcPr>
          <w:p>
            <w:pPr>
              <w:widowControl/>
              <w:jc w:val="center"/>
              <w:rPr>
                <w:rFonts w:hint="eastAsia" w:ascii="宋体" w:hAnsi="宋体" w:eastAsia="宋体" w:cs="宋体"/>
                <w:kern w:val="0"/>
                <w:sz w:val="24"/>
                <w:szCs w:val="24"/>
              </w:rPr>
            </w:pPr>
          </w:p>
        </w:tc>
        <w:tc>
          <w:tcPr>
            <w:tcW w:w="567" w:type="dxa"/>
            <w:vMerge w:val="continue"/>
            <w:noWrap w:val="0"/>
            <w:vAlign w:val="center"/>
          </w:tcPr>
          <w:p>
            <w:pPr>
              <w:widowControl/>
              <w:jc w:val="center"/>
              <w:rPr>
                <w:rFonts w:hint="eastAsia" w:ascii="宋体" w:hAnsi="宋体" w:eastAsia="宋体" w:cs="宋体"/>
                <w:kern w:val="0"/>
                <w:sz w:val="24"/>
                <w:szCs w:val="24"/>
              </w:rPr>
            </w:pPr>
          </w:p>
        </w:tc>
        <w:tc>
          <w:tcPr>
            <w:tcW w:w="851" w:type="dxa"/>
            <w:noWrap w:val="0"/>
            <w:vAlign w:val="center"/>
          </w:tcPr>
          <w:p>
            <w:pPr>
              <w:widowControl/>
              <w:jc w:val="both"/>
              <w:rPr>
                <w:rFonts w:hint="eastAsia" w:ascii="宋体" w:hAnsi="宋体" w:eastAsia="宋体" w:cs="宋体"/>
                <w:kern w:val="0"/>
                <w:sz w:val="24"/>
                <w:szCs w:val="24"/>
              </w:rPr>
            </w:pPr>
            <w:r>
              <w:rPr>
                <w:rFonts w:hint="eastAsia" w:ascii="宋体" w:hAnsi="宋体" w:eastAsia="宋体" w:cs="宋体"/>
                <w:kern w:val="0"/>
                <w:sz w:val="24"/>
                <w:szCs w:val="24"/>
              </w:rPr>
              <w:t>商品 和服务支出 变动率</w:t>
            </w:r>
          </w:p>
        </w:tc>
        <w:tc>
          <w:tcPr>
            <w:tcW w:w="567" w:type="dxa"/>
            <w:noWrap w:val="0"/>
            <w:vAlign w:val="center"/>
          </w:tcPr>
          <w:p>
            <w:pPr>
              <w:widowControl/>
              <w:jc w:val="both"/>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2821" w:type="dxa"/>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“商品和服务支出”变动率≤0,计2分；“商品和服务支出”变动率＞0，每超过一个百分点扣0.2分，扣完为止。</w:t>
            </w:r>
          </w:p>
        </w:tc>
        <w:tc>
          <w:tcPr>
            <w:tcW w:w="3525" w:type="dxa"/>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“商品和服务支出”变动率=[（本年度“商品和服务支出”总额-上年度“商品和服务支出”总额）/上年度“商品和服务支出”总额]×100%。</w:t>
            </w:r>
          </w:p>
        </w:tc>
        <w:tc>
          <w:tcPr>
            <w:tcW w:w="861"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宋体" w:hAnsi="宋体" w:eastAsia="宋体" w:cs="宋体"/>
                <w:kern w:val="0"/>
                <w:sz w:val="24"/>
                <w:szCs w:val="24"/>
              </w:rPr>
            </w:pPr>
          </w:p>
        </w:tc>
        <w:tc>
          <w:tcPr>
            <w:tcW w:w="429" w:type="dxa"/>
            <w:vMerge w:val="continue"/>
            <w:noWrap w:val="0"/>
            <w:vAlign w:val="center"/>
          </w:tcPr>
          <w:p>
            <w:pPr>
              <w:widowControl/>
              <w:jc w:val="center"/>
              <w:rPr>
                <w:rFonts w:hint="eastAsia" w:ascii="宋体" w:hAnsi="宋体" w:eastAsia="宋体" w:cs="宋体"/>
                <w:kern w:val="0"/>
                <w:sz w:val="24"/>
                <w:szCs w:val="24"/>
              </w:rPr>
            </w:pPr>
          </w:p>
        </w:tc>
        <w:tc>
          <w:tcPr>
            <w:tcW w:w="567" w:type="dxa"/>
            <w:vMerge w:val="continue"/>
            <w:noWrap w:val="0"/>
            <w:vAlign w:val="center"/>
          </w:tcPr>
          <w:p>
            <w:pPr>
              <w:widowControl/>
              <w:jc w:val="center"/>
              <w:rPr>
                <w:rFonts w:hint="eastAsia" w:ascii="宋体" w:hAnsi="宋体" w:eastAsia="宋体" w:cs="宋体"/>
                <w:kern w:val="0"/>
                <w:sz w:val="24"/>
                <w:szCs w:val="24"/>
              </w:rPr>
            </w:pPr>
          </w:p>
        </w:tc>
        <w:tc>
          <w:tcPr>
            <w:tcW w:w="851" w:type="dxa"/>
            <w:noWrap w:val="0"/>
            <w:vAlign w:val="center"/>
          </w:tcPr>
          <w:p>
            <w:pPr>
              <w:widowControl/>
              <w:jc w:val="both"/>
              <w:rPr>
                <w:rFonts w:hint="eastAsia" w:ascii="宋体" w:hAnsi="宋体" w:eastAsia="宋体" w:cs="宋体"/>
                <w:kern w:val="0"/>
                <w:sz w:val="24"/>
                <w:szCs w:val="24"/>
              </w:rPr>
            </w:pPr>
            <w:r>
              <w:rPr>
                <w:rFonts w:hint="eastAsia" w:ascii="宋体" w:hAnsi="宋体" w:eastAsia="宋体" w:cs="宋体"/>
                <w:kern w:val="0"/>
                <w:sz w:val="24"/>
                <w:szCs w:val="24"/>
              </w:rPr>
              <w:t>重点  支出  安排率</w:t>
            </w:r>
          </w:p>
        </w:tc>
        <w:tc>
          <w:tcPr>
            <w:tcW w:w="567" w:type="dxa"/>
            <w:noWrap w:val="0"/>
            <w:vAlign w:val="center"/>
          </w:tcPr>
          <w:p>
            <w:pPr>
              <w:widowControl/>
              <w:jc w:val="both"/>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2821" w:type="dxa"/>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重点支出安排率≥90%，计2分；80%（含）-90%，计1分；70%（含）-80%，计0.5分；低于70%不得分。</w:t>
            </w:r>
          </w:p>
        </w:tc>
        <w:tc>
          <w:tcPr>
            <w:tcW w:w="3525" w:type="dxa"/>
            <w:noWrap w:val="0"/>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重点支出安排率=（重点项目支出/项目总支出）×100%</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重点项目支出：市政府确定的为民办实事和部门重点工程与重点工作支出。项目总支出：部门（单位）年度预算安排的项目支出总额。</w:t>
            </w:r>
          </w:p>
        </w:tc>
        <w:tc>
          <w:tcPr>
            <w:tcW w:w="861"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0"/>
            <w:vAlign w:val="center"/>
          </w:tcPr>
          <w:p>
            <w:pPr>
              <w:widowControl/>
              <w:jc w:val="center"/>
              <w:rPr>
                <w:rFonts w:hint="eastAsia" w:ascii="宋体" w:hAnsi="宋体" w:eastAsia="宋体" w:cs="宋体"/>
                <w:kern w:val="0"/>
                <w:sz w:val="24"/>
                <w:szCs w:val="24"/>
              </w:rPr>
            </w:pPr>
          </w:p>
        </w:tc>
        <w:tc>
          <w:tcPr>
            <w:tcW w:w="429" w:type="dxa"/>
            <w:vMerge w:val="continue"/>
            <w:noWrap w:val="0"/>
            <w:vAlign w:val="center"/>
          </w:tcPr>
          <w:p>
            <w:pPr>
              <w:widowControl/>
              <w:jc w:val="center"/>
              <w:rPr>
                <w:rFonts w:hint="eastAsia" w:ascii="宋体" w:hAnsi="宋体" w:eastAsia="宋体" w:cs="宋体"/>
                <w:kern w:val="0"/>
                <w:sz w:val="24"/>
                <w:szCs w:val="24"/>
              </w:rPr>
            </w:pPr>
          </w:p>
        </w:tc>
        <w:tc>
          <w:tcPr>
            <w:tcW w:w="567" w:type="dxa"/>
            <w:vMerge w:val="continue"/>
            <w:noWrap w:val="0"/>
            <w:vAlign w:val="center"/>
          </w:tcPr>
          <w:p>
            <w:pPr>
              <w:widowControl/>
              <w:jc w:val="center"/>
              <w:rPr>
                <w:rFonts w:hint="eastAsia" w:ascii="宋体" w:hAnsi="宋体" w:eastAsia="宋体" w:cs="宋体"/>
                <w:kern w:val="0"/>
                <w:sz w:val="24"/>
                <w:szCs w:val="24"/>
              </w:rPr>
            </w:pPr>
          </w:p>
        </w:tc>
        <w:tc>
          <w:tcPr>
            <w:tcW w:w="851" w:type="dxa"/>
            <w:noWrap w:val="0"/>
            <w:vAlign w:val="center"/>
          </w:tcPr>
          <w:p>
            <w:pPr>
              <w:widowControl/>
              <w:jc w:val="both"/>
              <w:rPr>
                <w:rFonts w:hint="eastAsia" w:ascii="宋体" w:hAnsi="宋体" w:eastAsia="宋体" w:cs="宋体"/>
                <w:kern w:val="0"/>
                <w:sz w:val="24"/>
                <w:szCs w:val="24"/>
              </w:rPr>
            </w:pPr>
            <w:r>
              <w:rPr>
                <w:rFonts w:hint="eastAsia" w:ascii="宋体" w:hAnsi="宋体" w:eastAsia="宋体" w:cs="宋体"/>
                <w:kern w:val="0"/>
                <w:sz w:val="24"/>
                <w:szCs w:val="24"/>
              </w:rPr>
              <w:t>非税 收入 管理</w:t>
            </w:r>
          </w:p>
        </w:tc>
        <w:tc>
          <w:tcPr>
            <w:tcW w:w="567" w:type="dxa"/>
            <w:noWrap w:val="0"/>
            <w:vAlign w:val="center"/>
          </w:tcPr>
          <w:p>
            <w:pPr>
              <w:widowControl/>
              <w:jc w:val="both"/>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2821" w:type="dxa"/>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①实行收支两条线，1分；</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②未发生截留、坐支或转移，1分。以上每发现一次违规现象扣1分，扣完为止。</w:t>
            </w:r>
          </w:p>
        </w:tc>
        <w:tc>
          <w:tcPr>
            <w:tcW w:w="3525" w:type="dxa"/>
            <w:noWrap w:val="0"/>
            <w:vAlign w:val="center"/>
          </w:tcPr>
          <w:p>
            <w:pPr>
              <w:widowControl/>
              <w:jc w:val="left"/>
              <w:rPr>
                <w:rFonts w:hint="eastAsia" w:ascii="宋体" w:hAnsi="宋体" w:eastAsia="宋体" w:cs="宋体"/>
                <w:kern w:val="0"/>
                <w:sz w:val="24"/>
                <w:szCs w:val="24"/>
              </w:rPr>
            </w:pPr>
          </w:p>
        </w:tc>
        <w:tc>
          <w:tcPr>
            <w:tcW w:w="861"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宋体" w:hAnsi="宋体" w:eastAsia="宋体" w:cs="宋体"/>
                <w:kern w:val="0"/>
                <w:sz w:val="24"/>
                <w:szCs w:val="24"/>
              </w:rPr>
            </w:pPr>
          </w:p>
        </w:tc>
        <w:tc>
          <w:tcPr>
            <w:tcW w:w="429" w:type="dxa"/>
            <w:vMerge w:val="continue"/>
            <w:noWrap w:val="0"/>
            <w:vAlign w:val="center"/>
          </w:tcPr>
          <w:p>
            <w:pPr>
              <w:widowControl/>
              <w:jc w:val="center"/>
              <w:rPr>
                <w:rFonts w:hint="eastAsia" w:ascii="宋体" w:hAnsi="宋体" w:eastAsia="宋体" w:cs="宋体"/>
                <w:kern w:val="0"/>
                <w:sz w:val="24"/>
                <w:szCs w:val="24"/>
              </w:rPr>
            </w:pPr>
          </w:p>
        </w:tc>
        <w:tc>
          <w:tcPr>
            <w:tcW w:w="567" w:type="dxa"/>
            <w:vMerge w:val="continue"/>
            <w:noWrap w:val="0"/>
            <w:vAlign w:val="center"/>
          </w:tcPr>
          <w:p>
            <w:pPr>
              <w:widowControl/>
              <w:jc w:val="center"/>
              <w:rPr>
                <w:rFonts w:hint="eastAsia" w:ascii="宋体" w:hAnsi="宋体" w:eastAsia="宋体" w:cs="宋体"/>
                <w:kern w:val="0"/>
                <w:sz w:val="24"/>
                <w:szCs w:val="24"/>
              </w:rPr>
            </w:pPr>
          </w:p>
        </w:tc>
        <w:tc>
          <w:tcPr>
            <w:tcW w:w="851" w:type="dxa"/>
            <w:noWrap w:val="0"/>
            <w:vAlign w:val="center"/>
          </w:tcPr>
          <w:p>
            <w:pPr>
              <w:widowControl/>
              <w:jc w:val="both"/>
              <w:rPr>
                <w:rFonts w:hint="eastAsia" w:ascii="宋体" w:hAnsi="宋体" w:eastAsia="宋体" w:cs="宋体"/>
                <w:kern w:val="0"/>
                <w:sz w:val="24"/>
                <w:szCs w:val="24"/>
              </w:rPr>
            </w:pPr>
            <w:r>
              <w:rPr>
                <w:rFonts w:hint="eastAsia" w:ascii="宋体" w:hAnsi="宋体" w:eastAsia="宋体" w:cs="宋体"/>
                <w:kern w:val="0"/>
                <w:sz w:val="24"/>
                <w:szCs w:val="24"/>
              </w:rPr>
              <w:t>非税 收入 完成率</w:t>
            </w:r>
          </w:p>
        </w:tc>
        <w:tc>
          <w:tcPr>
            <w:tcW w:w="567" w:type="dxa"/>
            <w:noWrap w:val="0"/>
            <w:vAlign w:val="center"/>
          </w:tcPr>
          <w:p>
            <w:pPr>
              <w:widowControl/>
              <w:jc w:val="both"/>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2821" w:type="dxa"/>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非税收入完成率100%，2分，每少一个百分点，扣0.1分，扣完为止。</w:t>
            </w:r>
          </w:p>
        </w:tc>
        <w:tc>
          <w:tcPr>
            <w:tcW w:w="3525" w:type="dxa"/>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非税收入完成率=（</w:t>
            </w:r>
            <w:r>
              <w:rPr>
                <w:rFonts w:hint="eastAsia" w:ascii="宋体" w:hAnsi="宋体" w:eastAsia="宋体" w:cs="宋体"/>
                <w:kern w:val="0"/>
                <w:sz w:val="24"/>
                <w:szCs w:val="24"/>
                <w:lang w:eastAsia="zh-CN"/>
              </w:rPr>
              <w:t>2021</w:t>
            </w:r>
            <w:r>
              <w:rPr>
                <w:rFonts w:hint="eastAsia" w:ascii="宋体" w:hAnsi="宋体" w:eastAsia="宋体" w:cs="宋体"/>
                <w:kern w:val="0"/>
                <w:sz w:val="24"/>
                <w:szCs w:val="24"/>
              </w:rPr>
              <w:t>年度非税实际收入完成数/</w:t>
            </w:r>
            <w:r>
              <w:rPr>
                <w:rFonts w:hint="eastAsia" w:ascii="宋体" w:hAnsi="宋体" w:eastAsia="宋体" w:cs="宋体"/>
                <w:kern w:val="0"/>
                <w:sz w:val="24"/>
                <w:szCs w:val="24"/>
                <w:lang w:eastAsia="zh-CN"/>
              </w:rPr>
              <w:t>2021</w:t>
            </w:r>
            <w:r>
              <w:rPr>
                <w:rFonts w:hint="eastAsia" w:ascii="宋体" w:hAnsi="宋体" w:eastAsia="宋体" w:cs="宋体"/>
                <w:kern w:val="0"/>
                <w:sz w:val="24"/>
                <w:szCs w:val="24"/>
              </w:rPr>
              <w:t>年度非税收入预算数）×100%，有减免因素的，以非税局确定的为准。</w:t>
            </w:r>
          </w:p>
        </w:tc>
        <w:tc>
          <w:tcPr>
            <w:tcW w:w="861"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宋体" w:hAnsi="宋体" w:eastAsia="宋体" w:cs="宋体"/>
                <w:kern w:val="0"/>
                <w:sz w:val="24"/>
                <w:szCs w:val="24"/>
              </w:rPr>
            </w:pPr>
          </w:p>
          <w:p>
            <w:pPr>
              <w:widowControl/>
              <w:jc w:val="center"/>
              <w:rPr>
                <w:rFonts w:hint="eastAsia" w:ascii="宋体" w:hAnsi="宋体" w:eastAsia="宋体" w:cs="宋体"/>
                <w:kern w:val="0"/>
                <w:sz w:val="24"/>
                <w:szCs w:val="24"/>
              </w:rPr>
            </w:pPr>
          </w:p>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过    程</w:t>
            </w:r>
          </w:p>
          <w:p>
            <w:pPr>
              <w:widowControl/>
              <w:ind w:left="113" w:right="113"/>
              <w:jc w:val="center"/>
              <w:rPr>
                <w:rFonts w:hint="eastAsia" w:ascii="宋体" w:hAnsi="宋体" w:eastAsia="宋体" w:cs="宋体"/>
                <w:kern w:val="0"/>
                <w:sz w:val="24"/>
                <w:szCs w:val="24"/>
              </w:rPr>
            </w:pPr>
          </w:p>
          <w:p>
            <w:pPr>
              <w:widowControl/>
              <w:jc w:val="center"/>
              <w:rPr>
                <w:rFonts w:hint="eastAsia" w:ascii="宋体" w:hAnsi="宋体" w:eastAsia="宋体" w:cs="宋体"/>
                <w:kern w:val="0"/>
                <w:sz w:val="24"/>
                <w:szCs w:val="24"/>
              </w:rPr>
            </w:pPr>
          </w:p>
          <w:p>
            <w:pPr>
              <w:widowControl/>
              <w:jc w:val="center"/>
              <w:rPr>
                <w:rFonts w:hint="eastAsia" w:ascii="宋体" w:hAnsi="宋体" w:eastAsia="宋体" w:cs="宋体"/>
                <w:kern w:val="0"/>
                <w:sz w:val="24"/>
                <w:szCs w:val="24"/>
              </w:rPr>
            </w:pPr>
          </w:p>
          <w:p>
            <w:pPr>
              <w:widowControl/>
              <w:jc w:val="center"/>
              <w:rPr>
                <w:rFonts w:hint="eastAsia" w:ascii="宋体" w:hAnsi="宋体" w:eastAsia="宋体" w:cs="宋体"/>
                <w:kern w:val="0"/>
                <w:sz w:val="24"/>
                <w:szCs w:val="24"/>
              </w:rPr>
            </w:pPr>
          </w:p>
          <w:p>
            <w:pPr>
              <w:widowControl/>
              <w:jc w:val="center"/>
              <w:rPr>
                <w:rFonts w:hint="eastAsia" w:ascii="宋体" w:hAnsi="宋体" w:eastAsia="宋体" w:cs="宋体"/>
                <w:kern w:val="0"/>
                <w:sz w:val="24"/>
                <w:szCs w:val="24"/>
              </w:rPr>
            </w:pPr>
          </w:p>
          <w:p>
            <w:pPr>
              <w:widowControl/>
              <w:jc w:val="center"/>
              <w:rPr>
                <w:rFonts w:hint="eastAsia" w:ascii="宋体" w:hAnsi="宋体" w:eastAsia="宋体" w:cs="宋体"/>
                <w:kern w:val="0"/>
                <w:sz w:val="24"/>
                <w:szCs w:val="24"/>
              </w:rPr>
            </w:pPr>
          </w:p>
          <w:p>
            <w:pPr>
              <w:widowControl/>
              <w:jc w:val="center"/>
              <w:rPr>
                <w:rFonts w:hint="eastAsia" w:ascii="宋体" w:hAnsi="宋体" w:eastAsia="宋体" w:cs="宋体"/>
                <w:kern w:val="0"/>
                <w:sz w:val="24"/>
                <w:szCs w:val="24"/>
              </w:rPr>
            </w:pPr>
          </w:p>
          <w:p>
            <w:pPr>
              <w:widowControl/>
              <w:jc w:val="center"/>
              <w:rPr>
                <w:rFonts w:hint="eastAsia" w:ascii="宋体" w:hAnsi="宋体" w:eastAsia="宋体" w:cs="宋体"/>
                <w:kern w:val="0"/>
                <w:sz w:val="24"/>
                <w:szCs w:val="24"/>
              </w:rPr>
            </w:pPr>
          </w:p>
          <w:p>
            <w:pPr>
              <w:jc w:val="center"/>
              <w:rPr>
                <w:rFonts w:hint="eastAsia" w:ascii="宋体" w:hAnsi="宋体" w:eastAsia="宋体" w:cs="宋体"/>
                <w:kern w:val="0"/>
                <w:sz w:val="24"/>
                <w:szCs w:val="24"/>
              </w:rPr>
            </w:pPr>
            <w:r>
              <w:rPr>
                <w:rFonts w:hint="eastAsia" w:ascii="宋体" w:hAnsi="宋体" w:eastAsia="宋体" w:cs="宋体"/>
                <w:kern w:val="0"/>
                <w:sz w:val="24"/>
                <w:szCs w:val="24"/>
              </w:rPr>
              <w:t>过      程</w:t>
            </w:r>
          </w:p>
        </w:tc>
        <w:tc>
          <w:tcPr>
            <w:tcW w:w="429" w:type="dxa"/>
            <w:vMerge w:val="restart"/>
            <w:tcBorders>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预算执行</w:t>
            </w:r>
          </w:p>
        </w:tc>
        <w:tc>
          <w:tcPr>
            <w:tcW w:w="567" w:type="dxa"/>
            <w:vMerge w:val="restart"/>
            <w:tcBorders>
              <w:lef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8</w:t>
            </w:r>
          </w:p>
        </w:tc>
        <w:tc>
          <w:tcPr>
            <w:tcW w:w="851" w:type="dxa"/>
            <w:noWrap w:val="0"/>
            <w:vAlign w:val="center"/>
          </w:tcPr>
          <w:p>
            <w:pPr>
              <w:widowControl/>
              <w:jc w:val="both"/>
              <w:rPr>
                <w:rFonts w:hint="eastAsia" w:ascii="宋体" w:hAnsi="宋体" w:eastAsia="宋体" w:cs="宋体"/>
                <w:kern w:val="0"/>
                <w:sz w:val="24"/>
                <w:szCs w:val="24"/>
              </w:rPr>
            </w:pPr>
            <w:r>
              <w:rPr>
                <w:rFonts w:hint="eastAsia" w:ascii="宋体" w:hAnsi="宋体" w:eastAsia="宋体" w:cs="宋体"/>
                <w:kern w:val="0"/>
                <w:sz w:val="24"/>
                <w:szCs w:val="24"/>
              </w:rPr>
              <w:t>预算  完成率</w:t>
            </w:r>
          </w:p>
        </w:tc>
        <w:tc>
          <w:tcPr>
            <w:tcW w:w="567" w:type="dxa"/>
            <w:noWrap w:val="0"/>
            <w:vAlign w:val="center"/>
          </w:tcPr>
          <w:p>
            <w:pPr>
              <w:widowControl/>
              <w:jc w:val="both"/>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2821" w:type="dxa"/>
            <w:noWrap w:val="0"/>
            <w:vAlign w:val="center"/>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完成率&lt;1，计2分，</w:t>
            </w:r>
          </w:p>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完成率=1，计1分，</w:t>
            </w:r>
          </w:p>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完成率&gt;1，不得分。</w:t>
            </w:r>
          </w:p>
          <w:p>
            <w:pPr>
              <w:widowControl/>
              <w:jc w:val="left"/>
              <w:rPr>
                <w:rFonts w:hint="eastAsia" w:ascii="宋体" w:hAnsi="宋体" w:eastAsia="宋体" w:cs="宋体"/>
                <w:kern w:val="0"/>
                <w:sz w:val="24"/>
                <w:szCs w:val="24"/>
                <w:highlight w:val="none"/>
              </w:rPr>
            </w:pPr>
          </w:p>
        </w:tc>
        <w:tc>
          <w:tcPr>
            <w:tcW w:w="3525" w:type="dxa"/>
            <w:noWrap w:val="0"/>
            <w:vAlign w:val="center"/>
          </w:tcPr>
          <w:p>
            <w:pPr>
              <w:autoSpaceDN w:val="0"/>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预算完成率=（预算完成数/预算数）×100%。预算完成数：部门（单位）本年度实际完成的预算数；预算数：财政部门批复的本年度部门（单位）预算数。</w:t>
            </w:r>
          </w:p>
        </w:tc>
        <w:tc>
          <w:tcPr>
            <w:tcW w:w="861" w:type="dxa"/>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hint="eastAsia" w:ascii="宋体" w:hAnsi="宋体" w:eastAsia="宋体" w:cs="宋体"/>
                <w:kern w:val="0"/>
                <w:sz w:val="24"/>
                <w:szCs w:val="24"/>
              </w:rPr>
            </w:pPr>
          </w:p>
        </w:tc>
        <w:tc>
          <w:tcPr>
            <w:tcW w:w="429" w:type="dxa"/>
            <w:vMerge w:val="continue"/>
            <w:tcBorders>
              <w:right w:val="single" w:color="auto" w:sz="4" w:space="0"/>
            </w:tcBorders>
            <w:noWrap w:val="0"/>
            <w:vAlign w:val="center"/>
          </w:tcPr>
          <w:p>
            <w:pPr>
              <w:jc w:val="center"/>
              <w:rPr>
                <w:rFonts w:hint="eastAsia" w:ascii="宋体" w:hAnsi="宋体" w:eastAsia="宋体" w:cs="宋体"/>
                <w:kern w:val="0"/>
                <w:sz w:val="24"/>
                <w:szCs w:val="24"/>
              </w:rPr>
            </w:pPr>
          </w:p>
        </w:tc>
        <w:tc>
          <w:tcPr>
            <w:tcW w:w="567" w:type="dxa"/>
            <w:vMerge w:val="continue"/>
            <w:tcBorders>
              <w:left w:val="single" w:color="auto" w:sz="4" w:space="0"/>
            </w:tcBorders>
            <w:noWrap w:val="0"/>
            <w:vAlign w:val="center"/>
          </w:tcPr>
          <w:p>
            <w:pPr>
              <w:jc w:val="center"/>
              <w:rPr>
                <w:rFonts w:hint="eastAsia" w:ascii="宋体" w:hAnsi="宋体" w:eastAsia="宋体" w:cs="宋体"/>
                <w:kern w:val="0"/>
                <w:sz w:val="24"/>
                <w:szCs w:val="24"/>
              </w:rPr>
            </w:pPr>
          </w:p>
        </w:tc>
        <w:tc>
          <w:tcPr>
            <w:tcW w:w="851" w:type="dxa"/>
            <w:noWrap w:val="0"/>
            <w:vAlign w:val="center"/>
          </w:tcPr>
          <w:p>
            <w:pPr>
              <w:widowControl/>
              <w:jc w:val="both"/>
              <w:rPr>
                <w:rFonts w:hint="eastAsia" w:ascii="宋体" w:hAnsi="宋体" w:eastAsia="宋体" w:cs="宋体"/>
                <w:kern w:val="0"/>
                <w:sz w:val="24"/>
                <w:szCs w:val="24"/>
              </w:rPr>
            </w:pPr>
            <w:r>
              <w:rPr>
                <w:rFonts w:hint="eastAsia" w:ascii="宋体" w:hAnsi="宋体" w:eastAsia="宋体" w:cs="宋体"/>
                <w:kern w:val="0"/>
                <w:sz w:val="24"/>
                <w:szCs w:val="24"/>
              </w:rPr>
              <w:t>资金  结余</w:t>
            </w:r>
          </w:p>
        </w:tc>
        <w:tc>
          <w:tcPr>
            <w:tcW w:w="567" w:type="dxa"/>
            <w:noWrap w:val="0"/>
            <w:vAlign w:val="center"/>
          </w:tcPr>
          <w:p>
            <w:pPr>
              <w:widowControl/>
              <w:jc w:val="both"/>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2821" w:type="dxa"/>
            <w:noWrap w:val="0"/>
            <w:vAlign w:val="center"/>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结余超过10%（不含），2分；结余在0-10%（含）的，1分；本年超支不得分。</w:t>
            </w:r>
          </w:p>
        </w:tc>
        <w:tc>
          <w:tcPr>
            <w:tcW w:w="3525" w:type="dxa"/>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本项结余不含未完工项目资金的结转数。</w:t>
            </w:r>
          </w:p>
        </w:tc>
        <w:tc>
          <w:tcPr>
            <w:tcW w:w="861"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hint="eastAsia" w:ascii="宋体" w:hAnsi="宋体" w:eastAsia="宋体" w:cs="宋体"/>
                <w:kern w:val="0"/>
                <w:sz w:val="24"/>
                <w:szCs w:val="24"/>
              </w:rPr>
            </w:pPr>
          </w:p>
        </w:tc>
        <w:tc>
          <w:tcPr>
            <w:tcW w:w="429" w:type="dxa"/>
            <w:vMerge w:val="continue"/>
            <w:tcBorders>
              <w:right w:val="single" w:color="auto" w:sz="4" w:space="0"/>
            </w:tcBorders>
            <w:noWrap w:val="0"/>
            <w:vAlign w:val="center"/>
          </w:tcPr>
          <w:p>
            <w:pPr>
              <w:jc w:val="center"/>
              <w:rPr>
                <w:rFonts w:hint="eastAsia" w:ascii="宋体" w:hAnsi="宋体" w:eastAsia="宋体" w:cs="宋体"/>
                <w:kern w:val="0"/>
                <w:sz w:val="24"/>
                <w:szCs w:val="24"/>
              </w:rPr>
            </w:pPr>
          </w:p>
        </w:tc>
        <w:tc>
          <w:tcPr>
            <w:tcW w:w="567" w:type="dxa"/>
            <w:vMerge w:val="continue"/>
            <w:tcBorders>
              <w:left w:val="single" w:color="auto" w:sz="4" w:space="0"/>
            </w:tcBorders>
            <w:noWrap w:val="0"/>
            <w:vAlign w:val="center"/>
          </w:tcPr>
          <w:p>
            <w:pPr>
              <w:jc w:val="center"/>
              <w:rPr>
                <w:rFonts w:hint="eastAsia" w:ascii="宋体" w:hAnsi="宋体" w:eastAsia="宋体" w:cs="宋体"/>
                <w:kern w:val="0"/>
                <w:sz w:val="24"/>
                <w:szCs w:val="24"/>
              </w:rPr>
            </w:pPr>
          </w:p>
        </w:tc>
        <w:tc>
          <w:tcPr>
            <w:tcW w:w="851" w:type="dxa"/>
            <w:noWrap w:val="0"/>
            <w:vAlign w:val="center"/>
          </w:tcPr>
          <w:p>
            <w:pPr>
              <w:widowControl/>
              <w:jc w:val="both"/>
              <w:rPr>
                <w:rFonts w:hint="eastAsia" w:ascii="宋体" w:hAnsi="宋体" w:eastAsia="宋体" w:cs="宋体"/>
                <w:kern w:val="0"/>
                <w:sz w:val="24"/>
                <w:szCs w:val="24"/>
                <w:lang w:eastAsia="zh-CN"/>
              </w:rPr>
            </w:pPr>
            <w:r>
              <w:rPr>
                <w:rFonts w:hint="eastAsia" w:ascii="宋体" w:hAnsi="宋体" w:eastAsia="宋体" w:cs="宋体"/>
                <w:kern w:val="0"/>
                <w:sz w:val="24"/>
                <w:szCs w:val="24"/>
              </w:rPr>
              <w:t>“三公经费”</w:t>
            </w:r>
          </w:p>
          <w:p>
            <w:pPr>
              <w:widowControl/>
              <w:jc w:val="both"/>
              <w:rPr>
                <w:rFonts w:hint="eastAsia" w:ascii="宋体" w:hAnsi="宋体" w:eastAsia="宋体" w:cs="宋体"/>
                <w:kern w:val="0"/>
                <w:sz w:val="24"/>
                <w:szCs w:val="24"/>
              </w:rPr>
            </w:pPr>
            <w:r>
              <w:rPr>
                <w:rFonts w:hint="eastAsia" w:ascii="宋体" w:hAnsi="宋体" w:eastAsia="宋体" w:cs="宋体"/>
                <w:kern w:val="0"/>
                <w:sz w:val="24"/>
                <w:szCs w:val="24"/>
              </w:rPr>
              <w:t>控制率</w:t>
            </w:r>
          </w:p>
        </w:tc>
        <w:tc>
          <w:tcPr>
            <w:tcW w:w="567" w:type="dxa"/>
            <w:noWrap w:val="0"/>
            <w:vAlign w:val="center"/>
          </w:tcPr>
          <w:p>
            <w:pPr>
              <w:widowControl/>
              <w:jc w:val="both"/>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2821" w:type="dxa"/>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以100%为标准。三公经费控制率≤100%，计2分；每超过一个百分点扣0.2分，扣完为止。单位没有制定“三公”经费预算，该项不得分。</w:t>
            </w:r>
          </w:p>
        </w:tc>
        <w:tc>
          <w:tcPr>
            <w:tcW w:w="3525" w:type="dxa"/>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“三公经费”控制率=（“三公经费”实际支出数/“三公经费”预算安排数）×100%。</w:t>
            </w:r>
          </w:p>
        </w:tc>
        <w:tc>
          <w:tcPr>
            <w:tcW w:w="861"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hint="eastAsia" w:ascii="宋体" w:hAnsi="宋体" w:eastAsia="宋体" w:cs="宋体"/>
                <w:kern w:val="0"/>
                <w:sz w:val="24"/>
                <w:szCs w:val="24"/>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宋体" w:hAnsi="宋体" w:eastAsia="宋体" w:cs="宋体"/>
                <w:kern w:val="0"/>
                <w:sz w:val="24"/>
                <w:szCs w:val="24"/>
              </w:rPr>
            </w:pPr>
          </w:p>
        </w:tc>
        <w:tc>
          <w:tcPr>
            <w:tcW w:w="851" w:type="dxa"/>
            <w:noWrap w:val="0"/>
            <w:vAlign w:val="center"/>
          </w:tcPr>
          <w:p>
            <w:pPr>
              <w:widowControl/>
              <w:jc w:val="both"/>
              <w:rPr>
                <w:rFonts w:hint="eastAsia" w:ascii="宋体" w:hAnsi="宋体" w:eastAsia="宋体" w:cs="宋体"/>
                <w:kern w:val="0"/>
                <w:sz w:val="24"/>
                <w:szCs w:val="24"/>
              </w:rPr>
            </w:pPr>
            <w:r>
              <w:rPr>
                <w:rFonts w:hint="eastAsia" w:ascii="宋体" w:hAnsi="宋体" w:eastAsia="宋体" w:cs="宋体"/>
                <w:kern w:val="0"/>
                <w:sz w:val="24"/>
                <w:szCs w:val="24"/>
              </w:rPr>
              <w:t>政府</w:t>
            </w:r>
          </w:p>
          <w:p>
            <w:pPr>
              <w:widowControl/>
              <w:jc w:val="both"/>
              <w:rPr>
                <w:rFonts w:hint="eastAsia" w:ascii="宋体" w:hAnsi="宋体" w:eastAsia="宋体" w:cs="宋体"/>
                <w:kern w:val="0"/>
                <w:sz w:val="24"/>
                <w:szCs w:val="24"/>
              </w:rPr>
            </w:pPr>
            <w:r>
              <w:rPr>
                <w:rFonts w:hint="eastAsia" w:ascii="宋体" w:hAnsi="宋体" w:eastAsia="宋体" w:cs="宋体"/>
                <w:kern w:val="0"/>
                <w:sz w:val="24"/>
                <w:szCs w:val="24"/>
              </w:rPr>
              <w:t>采购</w:t>
            </w:r>
          </w:p>
        </w:tc>
        <w:tc>
          <w:tcPr>
            <w:tcW w:w="567" w:type="dxa"/>
            <w:noWrap w:val="0"/>
            <w:vAlign w:val="center"/>
          </w:tcPr>
          <w:p>
            <w:pPr>
              <w:widowControl/>
              <w:jc w:val="both"/>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2821" w:type="dxa"/>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①编制政府采购年度预算并上报的，0.5分；②追加并编制政府采购预算的，0.5分；③政府采购执行率=100%，计1分；每少一个百分点扣0.1分，扣完为止。</w:t>
            </w:r>
          </w:p>
        </w:tc>
        <w:tc>
          <w:tcPr>
            <w:tcW w:w="3525" w:type="dxa"/>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政府采购执行率=（实际实行政府采购金额/应实行政府采购金额）×100%。应实行政府采金额以《湘财购[2012]27号》文件为标准。</w:t>
            </w:r>
          </w:p>
        </w:tc>
        <w:tc>
          <w:tcPr>
            <w:tcW w:w="861"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hint="eastAsia" w:ascii="宋体" w:hAnsi="宋体" w:eastAsia="宋体" w:cs="宋体"/>
                <w:kern w:val="0"/>
                <w:sz w:val="24"/>
                <w:szCs w:val="24"/>
              </w:rPr>
            </w:pPr>
          </w:p>
        </w:tc>
        <w:tc>
          <w:tcPr>
            <w:tcW w:w="429" w:type="dxa"/>
            <w:vMerge w:val="restart"/>
            <w:tcBorders>
              <w:top w:val="single" w:color="auto" w:sz="4" w:space="0"/>
              <w:right w:val="single" w:color="auto" w:sz="4" w:space="0"/>
            </w:tcBorders>
            <w:noWrap w:val="0"/>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28</w:t>
            </w:r>
          </w:p>
        </w:tc>
        <w:tc>
          <w:tcPr>
            <w:tcW w:w="851" w:type="dxa"/>
            <w:tcBorders>
              <w:top w:val="single" w:color="auto" w:sz="4" w:space="0"/>
            </w:tcBorders>
            <w:noWrap w:val="0"/>
            <w:vAlign w:val="center"/>
          </w:tcPr>
          <w:p>
            <w:pPr>
              <w:widowControl/>
              <w:jc w:val="both"/>
              <w:rPr>
                <w:rFonts w:hint="eastAsia" w:ascii="宋体" w:hAnsi="宋体" w:eastAsia="宋体" w:cs="宋体"/>
                <w:kern w:val="0"/>
                <w:sz w:val="24"/>
                <w:szCs w:val="24"/>
                <w:lang w:eastAsia="zh-CN"/>
              </w:rPr>
            </w:pPr>
            <w:r>
              <w:rPr>
                <w:rFonts w:hint="eastAsia" w:ascii="宋体" w:hAnsi="宋体" w:eastAsia="宋体" w:cs="宋体"/>
                <w:kern w:val="0"/>
                <w:sz w:val="24"/>
                <w:szCs w:val="24"/>
              </w:rPr>
              <w:t>管理  制度</w:t>
            </w:r>
          </w:p>
          <w:p>
            <w:pPr>
              <w:widowControl/>
              <w:jc w:val="both"/>
              <w:rPr>
                <w:rFonts w:hint="eastAsia" w:ascii="宋体" w:hAnsi="宋体" w:eastAsia="宋体" w:cs="宋体"/>
                <w:kern w:val="0"/>
                <w:sz w:val="24"/>
                <w:szCs w:val="24"/>
              </w:rPr>
            </w:pPr>
            <w:r>
              <w:rPr>
                <w:rFonts w:hint="eastAsia" w:ascii="宋体" w:hAnsi="宋体" w:eastAsia="宋体" w:cs="宋体"/>
                <w:kern w:val="0"/>
                <w:sz w:val="24"/>
                <w:szCs w:val="24"/>
              </w:rPr>
              <w:t>健全性</w:t>
            </w:r>
          </w:p>
        </w:tc>
        <w:tc>
          <w:tcPr>
            <w:tcW w:w="567" w:type="dxa"/>
            <w:tcBorders>
              <w:top w:val="single" w:color="auto" w:sz="4" w:space="0"/>
            </w:tcBorders>
            <w:noWrap w:val="0"/>
            <w:vAlign w:val="center"/>
          </w:tcPr>
          <w:p>
            <w:pPr>
              <w:widowControl/>
              <w:jc w:val="both"/>
              <w:rPr>
                <w:rFonts w:hint="eastAsia" w:ascii="宋体" w:hAnsi="宋体" w:eastAsia="宋体" w:cs="宋体"/>
                <w:kern w:val="0"/>
                <w:sz w:val="24"/>
                <w:szCs w:val="24"/>
              </w:rPr>
            </w:pPr>
            <w:r>
              <w:rPr>
                <w:rFonts w:hint="eastAsia" w:ascii="宋体" w:hAnsi="宋体" w:eastAsia="宋体" w:cs="宋体"/>
                <w:kern w:val="0"/>
                <w:sz w:val="24"/>
                <w:szCs w:val="24"/>
              </w:rPr>
              <w:t>6</w:t>
            </w:r>
          </w:p>
          <w:p>
            <w:pPr>
              <w:widowControl/>
              <w:jc w:val="both"/>
              <w:rPr>
                <w:rFonts w:hint="eastAsia" w:ascii="宋体" w:hAnsi="宋体" w:eastAsia="宋体" w:cs="宋体"/>
                <w:kern w:val="0"/>
                <w:sz w:val="24"/>
                <w:szCs w:val="24"/>
              </w:rPr>
            </w:pPr>
          </w:p>
        </w:tc>
        <w:tc>
          <w:tcPr>
            <w:tcW w:w="2821" w:type="dxa"/>
            <w:tcBorders>
              <w:top w:val="single" w:color="auto" w:sz="4" w:space="0"/>
            </w:tcBorders>
            <w:noWrap w:val="0"/>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①已制定资金管理办法、内部财务管理制度、会计核算制度等管理制度，1分；</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②建立健全单位内部控制制度，1分；</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③会计人员、机构按规定设置，1分；</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④会计基础工作健全，1分；</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⑤会计档案符合规定要求，1分；</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⑥项目管理规范（包括项目立项、申报、招投标、制度建立、按时完工等），1分，每发现少一项扣0.2分，扣完为止。</w:t>
            </w:r>
          </w:p>
        </w:tc>
        <w:tc>
          <w:tcPr>
            <w:tcW w:w="3525" w:type="dxa"/>
            <w:tcBorders>
              <w:top w:val="single" w:color="auto" w:sz="4" w:space="0"/>
            </w:tcBorders>
            <w:noWrap w:val="0"/>
            <w:vAlign w:val="center"/>
          </w:tcPr>
          <w:p>
            <w:pPr>
              <w:widowControl/>
              <w:jc w:val="left"/>
              <w:rPr>
                <w:rFonts w:hint="eastAsia" w:ascii="宋体" w:hAnsi="宋体" w:eastAsia="宋体" w:cs="宋体"/>
                <w:kern w:val="0"/>
                <w:sz w:val="24"/>
                <w:szCs w:val="24"/>
              </w:rPr>
            </w:pPr>
          </w:p>
        </w:tc>
        <w:tc>
          <w:tcPr>
            <w:tcW w:w="861"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hint="eastAsia" w:ascii="宋体" w:hAnsi="宋体" w:eastAsia="宋体" w:cs="宋体"/>
                <w:kern w:val="0"/>
                <w:sz w:val="24"/>
                <w:szCs w:val="24"/>
              </w:rPr>
            </w:pPr>
          </w:p>
        </w:tc>
        <w:tc>
          <w:tcPr>
            <w:tcW w:w="429" w:type="dxa"/>
            <w:vMerge w:val="continue"/>
            <w:tcBorders>
              <w:top w:val="single" w:color="auto" w:sz="4" w:space="0"/>
              <w:right w:val="single" w:color="auto" w:sz="4" w:space="0"/>
            </w:tcBorders>
            <w:noWrap w:val="0"/>
            <w:vAlign w:val="center"/>
          </w:tcPr>
          <w:p>
            <w:pPr>
              <w:jc w:val="center"/>
              <w:rPr>
                <w:rFonts w:hint="eastAsia" w:ascii="宋体" w:hAnsi="宋体" w:eastAsia="宋体" w:cs="宋体"/>
                <w:kern w:val="0"/>
                <w:sz w:val="24"/>
                <w:szCs w:val="24"/>
              </w:rPr>
            </w:pPr>
          </w:p>
        </w:tc>
        <w:tc>
          <w:tcPr>
            <w:tcW w:w="567" w:type="dxa"/>
            <w:vMerge w:val="continue"/>
            <w:tcBorders>
              <w:top w:val="single" w:color="auto" w:sz="4" w:space="0"/>
              <w:left w:val="single" w:color="auto" w:sz="4" w:space="0"/>
            </w:tcBorders>
            <w:noWrap w:val="0"/>
            <w:vAlign w:val="center"/>
          </w:tcPr>
          <w:p>
            <w:pPr>
              <w:jc w:val="center"/>
              <w:rPr>
                <w:rFonts w:hint="eastAsia" w:ascii="宋体" w:hAnsi="宋体" w:eastAsia="宋体" w:cs="宋体"/>
                <w:kern w:val="0"/>
                <w:sz w:val="24"/>
                <w:szCs w:val="24"/>
              </w:rPr>
            </w:pPr>
          </w:p>
        </w:tc>
        <w:tc>
          <w:tcPr>
            <w:tcW w:w="851" w:type="dxa"/>
            <w:tcBorders>
              <w:top w:val="single" w:color="auto" w:sz="4" w:space="0"/>
            </w:tcBorders>
            <w:noWrap w:val="0"/>
            <w:vAlign w:val="center"/>
          </w:tcPr>
          <w:p>
            <w:pPr>
              <w:jc w:val="both"/>
              <w:rPr>
                <w:rFonts w:hint="eastAsia" w:ascii="宋体" w:hAnsi="宋体" w:eastAsia="宋体" w:cs="宋体"/>
                <w:kern w:val="0"/>
                <w:sz w:val="24"/>
                <w:szCs w:val="24"/>
              </w:rPr>
            </w:pPr>
            <w:r>
              <w:rPr>
                <w:rFonts w:hint="eastAsia" w:ascii="宋体" w:hAnsi="宋体" w:eastAsia="宋体" w:cs="宋体"/>
                <w:kern w:val="0"/>
                <w:sz w:val="24"/>
                <w:szCs w:val="24"/>
              </w:rPr>
              <w:t>内控制度情况</w:t>
            </w:r>
          </w:p>
        </w:tc>
        <w:tc>
          <w:tcPr>
            <w:tcW w:w="567" w:type="dxa"/>
            <w:tcBorders>
              <w:top w:val="single" w:color="auto" w:sz="4" w:space="0"/>
            </w:tcBorders>
            <w:noWrap w:val="0"/>
            <w:vAlign w:val="center"/>
          </w:tcPr>
          <w:p>
            <w:pPr>
              <w:jc w:val="both"/>
              <w:rPr>
                <w:rFonts w:hint="eastAsia" w:ascii="宋体" w:hAnsi="宋体" w:eastAsia="宋体" w:cs="宋体"/>
                <w:kern w:val="0"/>
                <w:sz w:val="24"/>
                <w:szCs w:val="24"/>
              </w:rPr>
            </w:pPr>
            <w:r>
              <w:rPr>
                <w:rFonts w:hint="eastAsia" w:ascii="宋体" w:hAnsi="宋体" w:eastAsia="宋体" w:cs="宋体"/>
                <w:kern w:val="0"/>
                <w:sz w:val="24"/>
                <w:szCs w:val="24"/>
              </w:rPr>
              <w:t>4分</w:t>
            </w:r>
          </w:p>
        </w:tc>
        <w:tc>
          <w:tcPr>
            <w:tcW w:w="2821" w:type="dxa"/>
            <w:tcBorders>
              <w:top w:val="single" w:color="auto" w:sz="4" w:space="0"/>
            </w:tcBorders>
            <w:noWrap w:val="0"/>
            <w:vAlign w:val="center"/>
          </w:tcPr>
          <w:p>
            <w:pPr>
              <w:jc w:val="left"/>
              <w:rPr>
                <w:rFonts w:hint="eastAsia" w:ascii="宋体" w:hAnsi="宋体" w:eastAsia="宋体" w:cs="宋体"/>
                <w:kern w:val="0"/>
                <w:sz w:val="24"/>
                <w:szCs w:val="24"/>
              </w:rPr>
            </w:pPr>
            <w:r>
              <w:rPr>
                <w:rFonts w:hint="eastAsia" w:ascii="宋体" w:hAnsi="宋体" w:eastAsia="宋体" w:cs="宋体"/>
                <w:kern w:val="0"/>
                <w:sz w:val="24"/>
                <w:szCs w:val="24"/>
              </w:rPr>
              <w:t>内部控制制度完全执行，4分，执行过程中，某个环节（节点）执行不到位的，每个环节（节点）扣1分，扣完为止。</w:t>
            </w:r>
          </w:p>
        </w:tc>
        <w:tc>
          <w:tcPr>
            <w:tcW w:w="3525" w:type="dxa"/>
            <w:tcBorders>
              <w:top w:val="single" w:color="auto" w:sz="4" w:space="0"/>
            </w:tcBorders>
            <w:noWrap w:val="0"/>
            <w:vAlign w:val="center"/>
          </w:tcPr>
          <w:p>
            <w:pPr>
              <w:widowControl/>
              <w:jc w:val="left"/>
              <w:rPr>
                <w:rFonts w:hint="eastAsia" w:ascii="宋体" w:hAnsi="宋体" w:eastAsia="宋体" w:cs="宋体"/>
                <w:kern w:val="0"/>
                <w:sz w:val="24"/>
                <w:szCs w:val="24"/>
              </w:rPr>
            </w:pPr>
          </w:p>
        </w:tc>
        <w:tc>
          <w:tcPr>
            <w:tcW w:w="861"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过程</w:t>
            </w:r>
          </w:p>
        </w:tc>
        <w:tc>
          <w:tcPr>
            <w:tcW w:w="429" w:type="dxa"/>
            <w:vMerge w:val="continue"/>
            <w:tcBorders>
              <w:right w:val="single" w:color="auto" w:sz="4" w:space="0"/>
            </w:tcBorders>
            <w:noWrap w:val="0"/>
            <w:vAlign w:val="center"/>
          </w:tcPr>
          <w:p>
            <w:pPr>
              <w:jc w:val="center"/>
              <w:rPr>
                <w:rFonts w:hint="eastAsia" w:ascii="宋体" w:hAnsi="宋体" w:eastAsia="宋体" w:cs="宋体"/>
                <w:kern w:val="0"/>
                <w:sz w:val="24"/>
                <w:szCs w:val="24"/>
              </w:rPr>
            </w:pPr>
          </w:p>
        </w:tc>
        <w:tc>
          <w:tcPr>
            <w:tcW w:w="567" w:type="dxa"/>
            <w:vMerge w:val="continue"/>
            <w:tcBorders>
              <w:left w:val="single" w:color="auto" w:sz="4" w:space="0"/>
            </w:tcBorders>
            <w:noWrap w:val="0"/>
            <w:vAlign w:val="center"/>
          </w:tcPr>
          <w:p>
            <w:pPr>
              <w:jc w:val="center"/>
              <w:rPr>
                <w:rFonts w:hint="eastAsia" w:ascii="宋体" w:hAnsi="宋体" w:eastAsia="宋体" w:cs="宋体"/>
                <w:kern w:val="0"/>
                <w:sz w:val="24"/>
                <w:szCs w:val="24"/>
              </w:rPr>
            </w:pPr>
          </w:p>
        </w:tc>
        <w:tc>
          <w:tcPr>
            <w:tcW w:w="851" w:type="dxa"/>
            <w:noWrap w:val="0"/>
            <w:vAlign w:val="center"/>
          </w:tcPr>
          <w:p>
            <w:pPr>
              <w:widowControl/>
              <w:jc w:val="both"/>
              <w:rPr>
                <w:rFonts w:hint="eastAsia" w:ascii="宋体" w:hAnsi="宋体" w:eastAsia="宋体" w:cs="宋体"/>
                <w:kern w:val="0"/>
                <w:sz w:val="24"/>
                <w:szCs w:val="24"/>
                <w:lang w:eastAsia="zh-CN"/>
              </w:rPr>
            </w:pPr>
            <w:r>
              <w:rPr>
                <w:rFonts w:hint="eastAsia" w:ascii="宋体" w:hAnsi="宋体" w:eastAsia="宋体" w:cs="宋体"/>
                <w:kern w:val="0"/>
                <w:sz w:val="24"/>
                <w:szCs w:val="24"/>
              </w:rPr>
              <w:t>资金  使用</w:t>
            </w:r>
          </w:p>
          <w:p>
            <w:pPr>
              <w:widowControl/>
              <w:jc w:val="both"/>
              <w:rPr>
                <w:rFonts w:hint="eastAsia" w:ascii="宋体" w:hAnsi="宋体" w:eastAsia="宋体" w:cs="宋体"/>
                <w:kern w:val="0"/>
                <w:sz w:val="24"/>
                <w:szCs w:val="24"/>
              </w:rPr>
            </w:pPr>
            <w:r>
              <w:rPr>
                <w:rFonts w:hint="eastAsia" w:ascii="宋体" w:hAnsi="宋体" w:eastAsia="宋体" w:cs="宋体"/>
                <w:kern w:val="0"/>
                <w:sz w:val="24"/>
                <w:szCs w:val="24"/>
              </w:rPr>
              <w:t>合规性</w:t>
            </w:r>
          </w:p>
        </w:tc>
        <w:tc>
          <w:tcPr>
            <w:tcW w:w="567" w:type="dxa"/>
            <w:noWrap w:val="0"/>
            <w:vAlign w:val="center"/>
          </w:tcPr>
          <w:p>
            <w:pPr>
              <w:widowControl/>
              <w:jc w:val="both"/>
              <w:rPr>
                <w:rFonts w:hint="eastAsia" w:ascii="宋体" w:hAnsi="宋体" w:eastAsia="宋体" w:cs="宋体"/>
                <w:kern w:val="0"/>
                <w:sz w:val="24"/>
                <w:szCs w:val="24"/>
              </w:rPr>
            </w:pPr>
            <w:r>
              <w:rPr>
                <w:rFonts w:hint="eastAsia" w:ascii="宋体" w:hAnsi="宋体" w:eastAsia="宋体" w:cs="宋体"/>
                <w:kern w:val="0"/>
                <w:sz w:val="24"/>
                <w:szCs w:val="24"/>
              </w:rPr>
              <w:t>14</w:t>
            </w:r>
          </w:p>
        </w:tc>
        <w:tc>
          <w:tcPr>
            <w:tcW w:w="2821" w:type="dxa"/>
            <w:noWrap w:val="0"/>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①支出符合国家财经法规和财务管理制度规定以及有关专项资金管理办法的规定；</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②资金（开支）拨付有完整的审批程序和手续；</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③支出符合部门预算批复的用途；</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④资金使用无截留、挤占、挪用、虚列支出、随意借用、大额现金支付等情况。</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⑤重大财务事项经由集体研究决策；</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⑥专项资金做到专款专用；</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⑦原始凭证的取得真实有效；</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⑧无超范围、超预算开支；</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⑨无超标准发放津补贴、奖金，无用公款支付应由个人支付的款项。</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以上情况每出现一例不符合要求的扣2分，扣完为止。</w:t>
            </w:r>
          </w:p>
        </w:tc>
        <w:tc>
          <w:tcPr>
            <w:tcW w:w="3525" w:type="dxa"/>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部门（单位）使用预算资金是否符合相关的预算财务管理制度的规定，用以反映和考核部门（单位）预算资金的规范运行情况。</w:t>
            </w:r>
          </w:p>
        </w:tc>
        <w:tc>
          <w:tcPr>
            <w:tcW w:w="861"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hint="eastAsia" w:ascii="宋体" w:hAnsi="宋体" w:eastAsia="宋体" w:cs="宋体"/>
                <w:kern w:val="0"/>
                <w:sz w:val="24"/>
                <w:szCs w:val="24"/>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宋体" w:hAnsi="宋体" w:eastAsia="宋体" w:cs="宋体"/>
                <w:kern w:val="0"/>
                <w:sz w:val="24"/>
                <w:szCs w:val="24"/>
              </w:rPr>
            </w:pPr>
          </w:p>
        </w:tc>
        <w:tc>
          <w:tcPr>
            <w:tcW w:w="851" w:type="dxa"/>
            <w:noWrap w:val="0"/>
            <w:vAlign w:val="center"/>
          </w:tcPr>
          <w:p>
            <w:pPr>
              <w:widowControl/>
              <w:jc w:val="both"/>
              <w:rPr>
                <w:rFonts w:hint="eastAsia" w:ascii="宋体" w:hAnsi="宋体" w:eastAsia="宋体" w:cs="宋体"/>
                <w:kern w:val="0"/>
                <w:sz w:val="24"/>
                <w:szCs w:val="24"/>
              </w:rPr>
            </w:pPr>
            <w:r>
              <w:rPr>
                <w:rFonts w:hint="eastAsia" w:ascii="宋体" w:hAnsi="宋体" w:eastAsia="宋体" w:cs="宋体"/>
                <w:kern w:val="0"/>
                <w:sz w:val="24"/>
                <w:szCs w:val="24"/>
              </w:rPr>
              <w:t>预决算信息公开性和完善性</w:t>
            </w:r>
          </w:p>
        </w:tc>
        <w:tc>
          <w:tcPr>
            <w:tcW w:w="567" w:type="dxa"/>
            <w:noWrap w:val="0"/>
            <w:vAlign w:val="center"/>
          </w:tcPr>
          <w:p>
            <w:pPr>
              <w:widowControl/>
              <w:jc w:val="both"/>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2821" w:type="dxa"/>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①按规定内容公开预决算信息，1分；②按规定时限公开预决算信息，1分；③基础数据信息和会计信息资料真实、完整，1分；④基础数据信息和汇集信息资料准确，1分。                                           </w:t>
            </w:r>
          </w:p>
        </w:tc>
        <w:tc>
          <w:tcPr>
            <w:tcW w:w="3525" w:type="dxa"/>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预决算信息是指与部门预算、执行、决算、监督、绩效等管理相关的信息。</w:t>
            </w:r>
          </w:p>
        </w:tc>
        <w:tc>
          <w:tcPr>
            <w:tcW w:w="861"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hint="eastAsia" w:ascii="宋体" w:hAnsi="宋体" w:eastAsia="宋体" w:cs="宋体"/>
                <w:kern w:val="0"/>
                <w:sz w:val="24"/>
                <w:szCs w:val="24"/>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20</w:t>
            </w:r>
          </w:p>
        </w:tc>
        <w:tc>
          <w:tcPr>
            <w:tcW w:w="851" w:type="dxa"/>
            <w:noWrap w:val="0"/>
            <w:vAlign w:val="center"/>
          </w:tcPr>
          <w:p>
            <w:pPr>
              <w:widowControl/>
              <w:jc w:val="both"/>
              <w:rPr>
                <w:rFonts w:hint="eastAsia" w:ascii="宋体" w:hAnsi="宋体" w:eastAsia="宋体" w:cs="宋体"/>
                <w:kern w:val="0"/>
                <w:sz w:val="24"/>
                <w:szCs w:val="24"/>
                <w:lang w:eastAsia="zh-CN"/>
              </w:rPr>
            </w:pPr>
            <w:r>
              <w:rPr>
                <w:rFonts w:hint="eastAsia" w:ascii="宋体" w:hAnsi="宋体" w:eastAsia="宋体" w:cs="宋体"/>
                <w:kern w:val="0"/>
                <w:sz w:val="24"/>
                <w:szCs w:val="24"/>
              </w:rPr>
              <w:t>管理  制度</w:t>
            </w:r>
          </w:p>
          <w:p>
            <w:pPr>
              <w:widowControl/>
              <w:jc w:val="both"/>
              <w:rPr>
                <w:rFonts w:hint="eastAsia" w:ascii="宋体" w:hAnsi="宋体" w:eastAsia="宋体" w:cs="宋体"/>
                <w:kern w:val="0"/>
                <w:sz w:val="24"/>
                <w:szCs w:val="24"/>
              </w:rPr>
            </w:pPr>
            <w:r>
              <w:rPr>
                <w:rFonts w:hint="eastAsia" w:ascii="宋体" w:hAnsi="宋体" w:eastAsia="宋体" w:cs="宋体"/>
                <w:kern w:val="0"/>
                <w:sz w:val="24"/>
                <w:szCs w:val="24"/>
              </w:rPr>
              <w:t>健全性</w:t>
            </w:r>
          </w:p>
        </w:tc>
        <w:tc>
          <w:tcPr>
            <w:tcW w:w="567" w:type="dxa"/>
            <w:noWrap w:val="0"/>
            <w:vAlign w:val="center"/>
          </w:tcPr>
          <w:p>
            <w:pPr>
              <w:widowControl/>
              <w:jc w:val="both"/>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2821" w:type="dxa"/>
            <w:noWrap w:val="0"/>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①已制定资产管理制度，1分；</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②相关资产管理制度得到有效执行，1分。                                           </w:t>
            </w:r>
          </w:p>
        </w:tc>
        <w:tc>
          <w:tcPr>
            <w:tcW w:w="3525" w:type="dxa"/>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部门（单位）为加强资产管理，规范资产管理行为而制定的管理制度是否健全完整、用以反映和考核部门（单位）资产管理制度对完成主要职责或促进社会发展的保障情况</w:t>
            </w:r>
          </w:p>
        </w:tc>
        <w:tc>
          <w:tcPr>
            <w:tcW w:w="861"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宋体" w:hAnsi="宋体" w:eastAsia="宋体" w:cs="宋体"/>
                <w:kern w:val="0"/>
                <w:sz w:val="24"/>
                <w:szCs w:val="24"/>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宋体" w:hAnsi="宋体" w:eastAsia="宋体" w:cs="宋体"/>
                <w:kern w:val="0"/>
                <w:sz w:val="24"/>
                <w:szCs w:val="24"/>
              </w:rPr>
            </w:pPr>
          </w:p>
        </w:tc>
        <w:tc>
          <w:tcPr>
            <w:tcW w:w="851" w:type="dxa"/>
            <w:noWrap w:val="0"/>
            <w:vAlign w:val="center"/>
          </w:tcPr>
          <w:p>
            <w:pPr>
              <w:widowControl/>
              <w:jc w:val="both"/>
              <w:rPr>
                <w:rFonts w:hint="eastAsia" w:ascii="宋体" w:hAnsi="宋体" w:eastAsia="宋体" w:cs="宋体"/>
                <w:kern w:val="0"/>
                <w:sz w:val="24"/>
                <w:szCs w:val="24"/>
                <w:lang w:eastAsia="zh-CN"/>
              </w:rPr>
            </w:pPr>
            <w:r>
              <w:rPr>
                <w:rFonts w:hint="eastAsia" w:ascii="宋体" w:hAnsi="宋体" w:eastAsia="宋体" w:cs="宋体"/>
                <w:kern w:val="0"/>
                <w:sz w:val="24"/>
                <w:szCs w:val="24"/>
              </w:rPr>
              <w:t>资产  管理</w:t>
            </w:r>
          </w:p>
          <w:p>
            <w:pPr>
              <w:widowControl/>
              <w:jc w:val="both"/>
              <w:rPr>
                <w:rFonts w:hint="eastAsia" w:ascii="宋体" w:hAnsi="宋体" w:eastAsia="宋体" w:cs="宋体"/>
                <w:kern w:val="0"/>
                <w:sz w:val="24"/>
                <w:szCs w:val="24"/>
              </w:rPr>
            </w:pPr>
            <w:r>
              <w:rPr>
                <w:rFonts w:hint="eastAsia" w:ascii="宋体" w:hAnsi="宋体" w:eastAsia="宋体" w:cs="宋体"/>
                <w:kern w:val="0"/>
                <w:sz w:val="24"/>
                <w:szCs w:val="24"/>
              </w:rPr>
              <w:t>安全性</w:t>
            </w:r>
          </w:p>
        </w:tc>
        <w:tc>
          <w:tcPr>
            <w:tcW w:w="567" w:type="dxa"/>
            <w:noWrap w:val="0"/>
            <w:vAlign w:val="center"/>
          </w:tcPr>
          <w:p>
            <w:pPr>
              <w:widowControl/>
              <w:jc w:val="both"/>
              <w:rPr>
                <w:rFonts w:hint="eastAsia" w:ascii="宋体" w:hAnsi="宋体" w:eastAsia="宋体" w:cs="宋体"/>
                <w:kern w:val="0"/>
                <w:sz w:val="24"/>
                <w:szCs w:val="24"/>
              </w:rPr>
            </w:pPr>
            <w:r>
              <w:rPr>
                <w:rFonts w:hint="eastAsia" w:ascii="宋体" w:hAnsi="宋体" w:eastAsia="宋体" w:cs="宋体"/>
                <w:kern w:val="0"/>
                <w:sz w:val="24"/>
                <w:szCs w:val="24"/>
              </w:rPr>
              <w:t>16</w:t>
            </w:r>
          </w:p>
        </w:tc>
        <w:tc>
          <w:tcPr>
            <w:tcW w:w="2821" w:type="dxa"/>
            <w:noWrap w:val="0"/>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 xml:space="preserve">①资产保存完整；②资产配置合理；③资产处置规范； </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④资产账务管理合规，帐实帐卡、账账、账表（决算报表等）相符；⑤资产有偿使用及处置收入及时足额上缴；⑥清查盘点：每年至少清查盘点一次；⑦产权明晰，权证齐全；⑧按标准购置固定资产。</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以上情况每出现一例不符合要求的扣2分；⑨未按时报送2018年行政事业单位资产报表的，每延迟一天，扣1分，扣完为止。</w:t>
            </w:r>
          </w:p>
        </w:tc>
        <w:tc>
          <w:tcPr>
            <w:tcW w:w="3525" w:type="dxa"/>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部门（单位）的资产是否保存完整，使用合规、配置合理、处置规范、收入及时足额上缴，用以反映和考核部门（单位）资产安全运行情况。</w:t>
            </w:r>
          </w:p>
        </w:tc>
        <w:tc>
          <w:tcPr>
            <w:tcW w:w="861"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hint="eastAsia" w:ascii="宋体" w:hAnsi="宋体" w:eastAsia="宋体" w:cs="宋体"/>
                <w:kern w:val="0"/>
                <w:sz w:val="24"/>
                <w:szCs w:val="24"/>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宋体" w:hAnsi="宋体" w:eastAsia="宋体" w:cs="宋体"/>
                <w:kern w:val="0"/>
                <w:sz w:val="24"/>
                <w:szCs w:val="24"/>
              </w:rPr>
            </w:pPr>
          </w:p>
        </w:tc>
        <w:tc>
          <w:tcPr>
            <w:tcW w:w="851" w:type="dxa"/>
            <w:noWrap w:val="0"/>
            <w:vAlign w:val="center"/>
          </w:tcPr>
          <w:p>
            <w:pPr>
              <w:widowControl/>
              <w:jc w:val="both"/>
              <w:rPr>
                <w:rFonts w:hint="eastAsia" w:ascii="宋体" w:hAnsi="宋体" w:eastAsia="宋体" w:cs="宋体"/>
                <w:kern w:val="0"/>
                <w:sz w:val="24"/>
                <w:szCs w:val="24"/>
                <w:lang w:eastAsia="zh-CN"/>
              </w:rPr>
            </w:pPr>
            <w:r>
              <w:rPr>
                <w:rFonts w:hint="eastAsia" w:ascii="宋体" w:hAnsi="宋体" w:eastAsia="宋体" w:cs="宋体"/>
                <w:kern w:val="0"/>
                <w:sz w:val="24"/>
                <w:szCs w:val="24"/>
              </w:rPr>
              <w:t>固定  资产</w:t>
            </w:r>
          </w:p>
          <w:p>
            <w:pPr>
              <w:widowControl/>
              <w:jc w:val="both"/>
              <w:rPr>
                <w:rFonts w:hint="eastAsia" w:ascii="宋体" w:hAnsi="宋体" w:eastAsia="宋体" w:cs="宋体"/>
                <w:kern w:val="0"/>
                <w:sz w:val="24"/>
                <w:szCs w:val="24"/>
              </w:rPr>
            </w:pPr>
            <w:r>
              <w:rPr>
                <w:rFonts w:hint="eastAsia" w:ascii="宋体" w:hAnsi="宋体" w:eastAsia="宋体" w:cs="宋体"/>
                <w:kern w:val="0"/>
                <w:sz w:val="24"/>
                <w:szCs w:val="24"/>
              </w:rPr>
              <w:t>利用率</w:t>
            </w:r>
          </w:p>
        </w:tc>
        <w:tc>
          <w:tcPr>
            <w:tcW w:w="567" w:type="dxa"/>
            <w:noWrap w:val="0"/>
            <w:vAlign w:val="center"/>
          </w:tcPr>
          <w:p>
            <w:pPr>
              <w:widowControl/>
              <w:jc w:val="both"/>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2821" w:type="dxa"/>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固定资产利用率,100%,2分,每低于一个百分点扣0.2分，扣完为止。</w:t>
            </w:r>
          </w:p>
        </w:tc>
        <w:tc>
          <w:tcPr>
            <w:tcW w:w="3525" w:type="dxa"/>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固定资产利用率=（实际在用固定资产总额/所有固定资产总额）×100%</w:t>
            </w:r>
          </w:p>
        </w:tc>
        <w:tc>
          <w:tcPr>
            <w:tcW w:w="861"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hint="eastAsia" w:ascii="宋体" w:hAnsi="宋体" w:eastAsia="宋体" w:cs="宋体"/>
                <w:kern w:val="0"/>
                <w:sz w:val="24"/>
                <w:szCs w:val="24"/>
              </w:rPr>
            </w:pPr>
          </w:p>
        </w:tc>
        <w:tc>
          <w:tcPr>
            <w:tcW w:w="429" w:type="dxa"/>
            <w:vMerge w:val="restart"/>
            <w:tcBorders>
              <w:right w:val="single" w:color="auto" w:sz="4" w:space="0"/>
            </w:tcBorders>
            <w:noWrap w:val="0"/>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17</w:t>
            </w:r>
          </w:p>
        </w:tc>
        <w:tc>
          <w:tcPr>
            <w:tcW w:w="851" w:type="dxa"/>
            <w:noWrap w:val="0"/>
            <w:vAlign w:val="center"/>
          </w:tcPr>
          <w:p>
            <w:pPr>
              <w:widowControl/>
              <w:jc w:val="both"/>
              <w:rPr>
                <w:rFonts w:hint="eastAsia" w:ascii="宋体" w:hAnsi="宋体" w:eastAsia="宋体" w:cs="宋体"/>
                <w:kern w:val="0"/>
                <w:sz w:val="24"/>
                <w:szCs w:val="24"/>
              </w:rPr>
            </w:pPr>
            <w:r>
              <w:rPr>
                <w:rFonts w:hint="eastAsia" w:ascii="宋体" w:hAnsi="宋体" w:eastAsia="宋体" w:cs="宋体"/>
                <w:kern w:val="0"/>
                <w:sz w:val="24"/>
                <w:szCs w:val="24"/>
              </w:rPr>
              <w:t>目标 管理</w:t>
            </w:r>
          </w:p>
        </w:tc>
        <w:tc>
          <w:tcPr>
            <w:tcW w:w="567" w:type="dxa"/>
            <w:noWrap w:val="0"/>
            <w:vAlign w:val="center"/>
          </w:tcPr>
          <w:p>
            <w:pPr>
              <w:widowControl/>
              <w:jc w:val="both"/>
              <w:rPr>
                <w:rFonts w:hint="eastAsia" w:ascii="宋体" w:hAnsi="宋体" w:eastAsia="宋体" w:cs="宋体"/>
                <w:kern w:val="0"/>
                <w:sz w:val="24"/>
                <w:szCs w:val="24"/>
              </w:rPr>
            </w:pPr>
            <w:r>
              <w:rPr>
                <w:rFonts w:hint="eastAsia" w:ascii="宋体" w:hAnsi="宋体" w:eastAsia="宋体" w:cs="宋体"/>
                <w:kern w:val="0"/>
                <w:sz w:val="24"/>
                <w:szCs w:val="24"/>
              </w:rPr>
              <w:t>8</w:t>
            </w:r>
          </w:p>
        </w:tc>
        <w:tc>
          <w:tcPr>
            <w:tcW w:w="2821" w:type="dxa"/>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①本单位所有专项、项目资金均实行目标管理的，各2分,每少一个专项、项目的，扣1分，扣完为止；②编制并报送</w:t>
            </w:r>
            <w:r>
              <w:rPr>
                <w:rFonts w:hint="eastAsia" w:ascii="宋体" w:hAnsi="宋体" w:eastAsia="宋体" w:cs="宋体"/>
                <w:kern w:val="0"/>
                <w:sz w:val="24"/>
                <w:szCs w:val="24"/>
                <w:lang w:eastAsia="zh-CN"/>
              </w:rPr>
              <w:t>2021</w:t>
            </w:r>
            <w:r>
              <w:rPr>
                <w:rFonts w:hint="eastAsia" w:ascii="宋体" w:hAnsi="宋体" w:eastAsia="宋体" w:cs="宋体"/>
                <w:kern w:val="0"/>
                <w:sz w:val="24"/>
                <w:szCs w:val="24"/>
              </w:rPr>
              <w:t>年度部门整体支出绩效目标的，2分；③在规定时间内报送、公开以上目标的，2分，否则不得分。</w:t>
            </w:r>
          </w:p>
        </w:tc>
        <w:tc>
          <w:tcPr>
            <w:tcW w:w="3525" w:type="dxa"/>
            <w:noWrap w:val="0"/>
            <w:vAlign w:val="center"/>
          </w:tcPr>
          <w:p>
            <w:pPr>
              <w:widowControl/>
              <w:jc w:val="left"/>
              <w:rPr>
                <w:rFonts w:hint="eastAsia" w:ascii="宋体" w:hAnsi="宋体" w:eastAsia="宋体" w:cs="宋体"/>
                <w:kern w:val="0"/>
                <w:sz w:val="24"/>
                <w:szCs w:val="24"/>
              </w:rPr>
            </w:pPr>
          </w:p>
        </w:tc>
        <w:tc>
          <w:tcPr>
            <w:tcW w:w="861"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hint="eastAsia" w:ascii="宋体" w:hAnsi="宋体" w:eastAsia="宋体" w:cs="宋体"/>
                <w:kern w:val="0"/>
                <w:sz w:val="24"/>
                <w:szCs w:val="24"/>
              </w:rPr>
            </w:pPr>
          </w:p>
        </w:tc>
        <w:tc>
          <w:tcPr>
            <w:tcW w:w="429" w:type="dxa"/>
            <w:vMerge w:val="continue"/>
            <w:tcBorders>
              <w:bottom w:val="single" w:color="auto" w:sz="4" w:space="0"/>
              <w:right w:val="single" w:color="auto" w:sz="4" w:space="0"/>
            </w:tcBorders>
            <w:noWrap w:val="0"/>
            <w:vAlign w:val="center"/>
          </w:tcPr>
          <w:p>
            <w:pPr>
              <w:jc w:val="center"/>
              <w:rPr>
                <w:rFonts w:hint="eastAsia" w:ascii="宋体" w:hAnsi="宋体" w:eastAsia="宋体" w:cs="宋体"/>
                <w:kern w:val="0"/>
                <w:sz w:val="24"/>
                <w:szCs w:val="24"/>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宋体" w:hAnsi="宋体" w:eastAsia="宋体" w:cs="宋体"/>
                <w:kern w:val="0"/>
                <w:sz w:val="24"/>
                <w:szCs w:val="24"/>
              </w:rPr>
            </w:pPr>
          </w:p>
        </w:tc>
        <w:tc>
          <w:tcPr>
            <w:tcW w:w="851" w:type="dxa"/>
            <w:noWrap w:val="0"/>
            <w:vAlign w:val="center"/>
          </w:tcPr>
          <w:p>
            <w:pPr>
              <w:widowControl/>
              <w:jc w:val="both"/>
              <w:rPr>
                <w:rFonts w:hint="eastAsia" w:ascii="宋体" w:hAnsi="宋体" w:eastAsia="宋体" w:cs="宋体"/>
                <w:kern w:val="0"/>
                <w:sz w:val="24"/>
                <w:szCs w:val="24"/>
              </w:rPr>
            </w:pPr>
            <w:r>
              <w:rPr>
                <w:rFonts w:hint="eastAsia" w:ascii="宋体" w:hAnsi="宋体" w:eastAsia="宋体" w:cs="宋体"/>
                <w:kern w:val="0"/>
                <w:sz w:val="24"/>
                <w:szCs w:val="24"/>
              </w:rPr>
              <w:t>绩效 评价</w:t>
            </w:r>
          </w:p>
          <w:p>
            <w:pPr>
              <w:widowControl/>
              <w:jc w:val="both"/>
              <w:rPr>
                <w:rFonts w:hint="eastAsia" w:ascii="宋体" w:hAnsi="宋体" w:eastAsia="宋体" w:cs="宋体"/>
                <w:kern w:val="0"/>
                <w:sz w:val="24"/>
                <w:szCs w:val="24"/>
              </w:rPr>
            </w:pPr>
            <w:r>
              <w:rPr>
                <w:rFonts w:hint="eastAsia" w:ascii="宋体" w:hAnsi="宋体" w:eastAsia="宋体" w:cs="宋体"/>
                <w:kern w:val="0"/>
                <w:sz w:val="24"/>
                <w:szCs w:val="24"/>
              </w:rPr>
              <w:t>管理</w:t>
            </w:r>
          </w:p>
        </w:tc>
        <w:tc>
          <w:tcPr>
            <w:tcW w:w="567" w:type="dxa"/>
            <w:noWrap w:val="0"/>
            <w:vAlign w:val="center"/>
          </w:tcPr>
          <w:p>
            <w:pPr>
              <w:widowControl/>
              <w:jc w:val="both"/>
              <w:rPr>
                <w:rFonts w:hint="eastAsia" w:ascii="宋体" w:hAnsi="宋体" w:eastAsia="宋体" w:cs="宋体"/>
                <w:kern w:val="0"/>
                <w:sz w:val="24"/>
                <w:szCs w:val="24"/>
              </w:rPr>
            </w:pPr>
            <w:r>
              <w:rPr>
                <w:rFonts w:hint="eastAsia" w:ascii="宋体" w:hAnsi="宋体" w:eastAsia="宋体" w:cs="宋体"/>
                <w:kern w:val="0"/>
                <w:sz w:val="24"/>
                <w:szCs w:val="24"/>
              </w:rPr>
              <w:t>7</w:t>
            </w:r>
          </w:p>
        </w:tc>
        <w:tc>
          <w:tcPr>
            <w:tcW w:w="2821" w:type="dxa"/>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①开展2019年度专项资金绩效自评的，2分，每少一个专项资金的自评扣1分，扣完为止；②开展2019年度已完工项目绩效自评的，2分，每少一个项目扣1分，扣完为止；③开展2019年度部门整体支出绩效自评的，1分；④在规定时间内报送、公开以上自评报告材料的，2分。</w:t>
            </w:r>
          </w:p>
        </w:tc>
        <w:tc>
          <w:tcPr>
            <w:tcW w:w="3525" w:type="dxa"/>
            <w:noWrap w:val="0"/>
            <w:vAlign w:val="center"/>
          </w:tcPr>
          <w:p>
            <w:pPr>
              <w:widowControl/>
              <w:jc w:val="left"/>
              <w:rPr>
                <w:rFonts w:hint="eastAsia" w:ascii="宋体" w:hAnsi="宋体" w:eastAsia="宋体" w:cs="宋体"/>
                <w:kern w:val="0"/>
                <w:sz w:val="24"/>
                <w:szCs w:val="24"/>
              </w:rPr>
            </w:pPr>
          </w:p>
        </w:tc>
        <w:tc>
          <w:tcPr>
            <w:tcW w:w="861"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hint="eastAsia" w:ascii="宋体" w:hAnsi="宋体" w:eastAsia="宋体" w:cs="宋体"/>
                <w:kern w:val="0"/>
                <w:sz w:val="24"/>
                <w:szCs w:val="24"/>
              </w:rPr>
            </w:pPr>
          </w:p>
        </w:tc>
        <w:tc>
          <w:tcPr>
            <w:tcW w:w="429" w:type="dxa"/>
            <w:tcBorders>
              <w:top w:val="nil"/>
              <w:bottom w:val="single" w:color="auto" w:sz="4" w:space="0"/>
              <w:right w:val="single" w:color="auto" w:sz="4" w:space="0"/>
            </w:tcBorders>
            <w:noWrap w:val="0"/>
            <w:vAlign w:val="center"/>
          </w:tcPr>
          <w:p>
            <w:pPr>
              <w:jc w:val="center"/>
              <w:rPr>
                <w:rFonts w:hint="eastAsia" w:ascii="宋体" w:hAnsi="宋体" w:eastAsia="宋体" w:cs="宋体"/>
                <w:kern w:val="0"/>
                <w:sz w:val="24"/>
                <w:szCs w:val="24"/>
              </w:rPr>
            </w:pPr>
          </w:p>
        </w:tc>
        <w:tc>
          <w:tcPr>
            <w:tcW w:w="567" w:type="dxa"/>
            <w:tcBorders>
              <w:top w:val="nil"/>
              <w:left w:val="single" w:color="auto" w:sz="4" w:space="0"/>
              <w:bottom w:val="single" w:color="auto" w:sz="4" w:space="0"/>
            </w:tcBorders>
            <w:noWrap w:val="0"/>
            <w:vAlign w:val="center"/>
          </w:tcPr>
          <w:p>
            <w:pPr>
              <w:widowControl/>
              <w:jc w:val="center"/>
              <w:rPr>
                <w:rFonts w:hint="eastAsia" w:ascii="宋体" w:hAnsi="宋体" w:eastAsia="宋体" w:cs="宋体"/>
                <w:kern w:val="0"/>
                <w:sz w:val="24"/>
                <w:szCs w:val="24"/>
              </w:rPr>
            </w:pPr>
          </w:p>
        </w:tc>
        <w:tc>
          <w:tcPr>
            <w:tcW w:w="851" w:type="dxa"/>
            <w:noWrap w:val="0"/>
            <w:vAlign w:val="center"/>
          </w:tcPr>
          <w:p>
            <w:pPr>
              <w:widowControl/>
              <w:jc w:val="both"/>
              <w:rPr>
                <w:rFonts w:hint="eastAsia" w:ascii="宋体" w:hAnsi="宋体" w:eastAsia="宋体" w:cs="宋体"/>
                <w:kern w:val="0"/>
                <w:sz w:val="24"/>
                <w:szCs w:val="24"/>
              </w:rPr>
            </w:pPr>
            <w:r>
              <w:rPr>
                <w:rFonts w:hint="eastAsia" w:ascii="宋体" w:hAnsi="宋体" w:eastAsia="宋体" w:cs="宋体"/>
                <w:kern w:val="0"/>
                <w:sz w:val="24"/>
                <w:szCs w:val="24"/>
              </w:rPr>
              <w:t>评价 结果 运用</w:t>
            </w:r>
          </w:p>
        </w:tc>
        <w:tc>
          <w:tcPr>
            <w:tcW w:w="567" w:type="dxa"/>
            <w:noWrap w:val="0"/>
            <w:vAlign w:val="center"/>
          </w:tcPr>
          <w:p>
            <w:pPr>
              <w:widowControl/>
              <w:jc w:val="both"/>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2821" w:type="dxa"/>
            <w:noWrap w:val="0"/>
            <w:vAlign w:val="center"/>
          </w:tcPr>
          <w:p>
            <w:pPr>
              <w:widowControl/>
              <w:jc w:val="left"/>
              <w:rPr>
                <w:rFonts w:hint="eastAsia" w:ascii="宋体" w:hAnsi="宋体" w:eastAsia="宋体" w:cs="宋体"/>
                <w:sz w:val="24"/>
                <w:szCs w:val="24"/>
              </w:rPr>
            </w:pPr>
            <w:r>
              <w:rPr>
                <w:rFonts w:hint="eastAsia" w:ascii="宋体" w:hAnsi="宋体" w:eastAsia="宋体" w:cs="宋体"/>
                <w:kern w:val="0"/>
                <w:sz w:val="24"/>
                <w:szCs w:val="24"/>
              </w:rPr>
              <w:t>根据2019年度财政重点绩效评价和单位自评情况，向财政报送整改结果并整改到位的，2分，否则不得分。</w:t>
            </w:r>
          </w:p>
        </w:tc>
        <w:tc>
          <w:tcPr>
            <w:tcW w:w="3525" w:type="dxa"/>
            <w:noWrap w:val="0"/>
            <w:vAlign w:val="center"/>
          </w:tcPr>
          <w:p>
            <w:pPr>
              <w:jc w:val="left"/>
              <w:rPr>
                <w:rFonts w:hint="eastAsia" w:ascii="宋体" w:hAnsi="宋体" w:eastAsia="宋体" w:cs="宋体"/>
                <w:kern w:val="0"/>
                <w:sz w:val="24"/>
                <w:szCs w:val="24"/>
              </w:rPr>
            </w:pPr>
          </w:p>
        </w:tc>
        <w:tc>
          <w:tcPr>
            <w:tcW w:w="861"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851" w:type="dxa"/>
            <w:noWrap w:val="0"/>
            <w:vAlign w:val="center"/>
          </w:tcPr>
          <w:p>
            <w:pPr>
              <w:widowControl/>
              <w:jc w:val="both"/>
              <w:rPr>
                <w:rFonts w:hint="eastAsia" w:ascii="宋体" w:hAnsi="宋体" w:eastAsia="宋体" w:cs="宋体"/>
                <w:kern w:val="0"/>
                <w:sz w:val="24"/>
                <w:szCs w:val="24"/>
              </w:rPr>
            </w:pPr>
            <w:r>
              <w:rPr>
                <w:rFonts w:hint="eastAsia" w:ascii="宋体" w:hAnsi="宋体" w:eastAsia="宋体" w:cs="宋体"/>
                <w:kern w:val="0"/>
                <w:sz w:val="24"/>
                <w:szCs w:val="24"/>
              </w:rPr>
              <w:t>重点　工作　完成率</w:t>
            </w:r>
          </w:p>
        </w:tc>
        <w:tc>
          <w:tcPr>
            <w:tcW w:w="567" w:type="dxa"/>
            <w:noWrap w:val="0"/>
            <w:vAlign w:val="center"/>
          </w:tcPr>
          <w:p>
            <w:pPr>
              <w:widowControl/>
              <w:jc w:val="both"/>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2821" w:type="dxa"/>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该项得分=重点工作完成率×2</w:t>
            </w:r>
          </w:p>
        </w:tc>
        <w:tc>
          <w:tcPr>
            <w:tcW w:w="3525" w:type="dxa"/>
            <w:noWrap w:val="0"/>
            <w:vAlign w:val="center"/>
          </w:tcPr>
          <w:p>
            <w:pPr>
              <w:autoSpaceDN w:val="0"/>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重点工作为市政府确定的为民办实事和部门重点工程与重点工作。</w:t>
            </w:r>
          </w:p>
        </w:tc>
        <w:tc>
          <w:tcPr>
            <w:tcW w:w="861"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宋体" w:hAnsi="宋体" w:eastAsia="宋体" w:cs="宋体"/>
                <w:kern w:val="0"/>
                <w:sz w:val="24"/>
                <w:szCs w:val="24"/>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宋体" w:hAnsi="宋体" w:eastAsia="宋体" w:cs="宋体"/>
                <w:kern w:val="0"/>
                <w:sz w:val="24"/>
                <w:szCs w:val="24"/>
              </w:rPr>
            </w:pPr>
          </w:p>
        </w:tc>
        <w:tc>
          <w:tcPr>
            <w:tcW w:w="851" w:type="dxa"/>
            <w:noWrap w:val="0"/>
            <w:vAlign w:val="center"/>
          </w:tcPr>
          <w:p>
            <w:pPr>
              <w:jc w:val="both"/>
              <w:rPr>
                <w:rFonts w:hint="eastAsia" w:ascii="宋体" w:hAnsi="宋体" w:eastAsia="宋体" w:cs="宋体"/>
                <w:kern w:val="0"/>
                <w:sz w:val="24"/>
                <w:szCs w:val="24"/>
              </w:rPr>
            </w:pPr>
            <w:r>
              <w:rPr>
                <w:rFonts w:hint="eastAsia" w:ascii="宋体" w:hAnsi="宋体" w:eastAsia="宋体" w:cs="宋体"/>
                <w:kern w:val="0"/>
                <w:sz w:val="24"/>
                <w:szCs w:val="24"/>
              </w:rPr>
              <w:t>工作</w:t>
            </w:r>
          </w:p>
          <w:p>
            <w:pPr>
              <w:jc w:val="both"/>
              <w:rPr>
                <w:rFonts w:hint="eastAsia" w:ascii="宋体" w:hAnsi="宋体" w:eastAsia="宋体" w:cs="宋体"/>
                <w:kern w:val="0"/>
                <w:sz w:val="24"/>
                <w:szCs w:val="24"/>
              </w:rPr>
            </w:pPr>
            <w:r>
              <w:rPr>
                <w:rFonts w:hint="eastAsia" w:ascii="宋体" w:hAnsi="宋体" w:eastAsia="宋体" w:cs="宋体"/>
                <w:kern w:val="0"/>
                <w:sz w:val="24"/>
                <w:szCs w:val="24"/>
              </w:rPr>
              <w:t>质量</w:t>
            </w:r>
          </w:p>
        </w:tc>
        <w:tc>
          <w:tcPr>
            <w:tcW w:w="567" w:type="dxa"/>
            <w:noWrap w:val="0"/>
            <w:vAlign w:val="center"/>
          </w:tcPr>
          <w:p>
            <w:pPr>
              <w:jc w:val="both"/>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2821" w:type="dxa"/>
            <w:noWrap w:val="0"/>
            <w:vAlign w:val="center"/>
          </w:tcPr>
          <w:p>
            <w:pPr>
              <w:jc w:val="left"/>
              <w:rPr>
                <w:rFonts w:hint="eastAsia" w:ascii="宋体" w:hAnsi="宋体" w:eastAsia="宋体" w:cs="宋体"/>
                <w:kern w:val="0"/>
                <w:sz w:val="24"/>
                <w:szCs w:val="24"/>
              </w:rPr>
            </w:pPr>
            <w:r>
              <w:rPr>
                <w:rFonts w:hint="eastAsia" w:ascii="宋体" w:hAnsi="宋体" w:eastAsia="宋体" w:cs="宋体"/>
                <w:kern w:val="0"/>
                <w:sz w:val="24"/>
                <w:szCs w:val="24"/>
              </w:rPr>
              <w:t>以绩效考核评估结果为标准，优秀，计3分；良好，2分；合格，1分；不合格，0分。</w:t>
            </w:r>
          </w:p>
        </w:tc>
        <w:tc>
          <w:tcPr>
            <w:tcW w:w="3525" w:type="dxa"/>
            <w:noWrap w:val="0"/>
            <w:vAlign w:val="center"/>
          </w:tcPr>
          <w:p>
            <w:pPr>
              <w:autoSpaceDN w:val="0"/>
              <w:jc w:val="left"/>
              <w:textAlignment w:val="center"/>
              <w:rPr>
                <w:rFonts w:hint="eastAsia" w:ascii="宋体" w:hAnsi="宋体" w:eastAsia="宋体" w:cs="宋体"/>
                <w:kern w:val="0"/>
                <w:sz w:val="24"/>
                <w:szCs w:val="24"/>
              </w:rPr>
            </w:pPr>
          </w:p>
        </w:tc>
        <w:tc>
          <w:tcPr>
            <w:tcW w:w="861" w:type="dxa"/>
            <w:noWrap w:val="0"/>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851" w:type="dxa"/>
            <w:noWrap w:val="0"/>
            <w:vAlign w:val="center"/>
          </w:tcPr>
          <w:p>
            <w:pPr>
              <w:widowControl/>
              <w:jc w:val="both"/>
              <w:rPr>
                <w:rFonts w:hint="eastAsia" w:ascii="宋体" w:hAnsi="宋体" w:eastAsia="宋体" w:cs="宋体"/>
                <w:kern w:val="0"/>
                <w:sz w:val="24"/>
                <w:szCs w:val="24"/>
              </w:rPr>
            </w:pPr>
            <w:r>
              <w:rPr>
                <w:rFonts w:hint="eastAsia" w:ascii="宋体" w:hAnsi="宋体" w:eastAsia="宋体" w:cs="宋体"/>
                <w:kern w:val="0"/>
                <w:sz w:val="24"/>
                <w:szCs w:val="24"/>
              </w:rPr>
              <w:t>经济  效益</w:t>
            </w:r>
          </w:p>
        </w:tc>
        <w:tc>
          <w:tcPr>
            <w:tcW w:w="567" w:type="dxa"/>
            <w:vMerge w:val="restart"/>
            <w:noWrap w:val="0"/>
            <w:vAlign w:val="center"/>
          </w:tcPr>
          <w:p>
            <w:pPr>
              <w:widowControl/>
              <w:jc w:val="both"/>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6346" w:type="dxa"/>
            <w:gridSpan w:val="2"/>
            <w:vMerge w:val="restart"/>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此三项指标可根据部门实际并结合</w:t>
            </w:r>
            <w:r>
              <w:rPr>
                <w:rFonts w:hint="eastAsia" w:ascii="宋体" w:hAnsi="宋体" w:eastAsia="宋体" w:cs="宋体"/>
                <w:kern w:val="0"/>
                <w:sz w:val="24"/>
                <w:szCs w:val="24"/>
                <w:lang w:eastAsia="zh-CN"/>
              </w:rPr>
              <w:t>2021</w:t>
            </w:r>
            <w:r>
              <w:rPr>
                <w:rFonts w:hint="eastAsia" w:ascii="宋体" w:hAnsi="宋体" w:eastAsia="宋体" w:cs="宋体"/>
                <w:kern w:val="0"/>
                <w:sz w:val="24"/>
                <w:szCs w:val="24"/>
              </w:rPr>
              <w:t>年度部门整体支出绩效目标设立情况有选择的进行评价。</w:t>
            </w:r>
          </w:p>
        </w:tc>
        <w:tc>
          <w:tcPr>
            <w:tcW w:w="861" w:type="dxa"/>
            <w:vMerge w:val="restart"/>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hint="eastAsia" w:ascii="宋体" w:hAnsi="宋体" w:eastAsia="宋体" w:cs="宋体"/>
                <w:kern w:val="0"/>
                <w:sz w:val="24"/>
                <w:szCs w:val="24"/>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宋体" w:hAnsi="宋体" w:eastAsia="宋体" w:cs="宋体"/>
                <w:kern w:val="0"/>
                <w:sz w:val="24"/>
                <w:szCs w:val="24"/>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宋体" w:hAnsi="宋体" w:eastAsia="宋体" w:cs="宋体"/>
                <w:kern w:val="0"/>
                <w:sz w:val="24"/>
                <w:szCs w:val="24"/>
              </w:rPr>
            </w:pPr>
          </w:p>
        </w:tc>
        <w:tc>
          <w:tcPr>
            <w:tcW w:w="851" w:type="dxa"/>
            <w:noWrap w:val="0"/>
            <w:vAlign w:val="center"/>
          </w:tcPr>
          <w:p>
            <w:pPr>
              <w:widowControl/>
              <w:jc w:val="both"/>
              <w:rPr>
                <w:rFonts w:hint="eastAsia" w:ascii="宋体" w:hAnsi="宋体" w:eastAsia="宋体" w:cs="宋体"/>
                <w:kern w:val="0"/>
                <w:sz w:val="24"/>
                <w:szCs w:val="24"/>
              </w:rPr>
            </w:pPr>
            <w:r>
              <w:rPr>
                <w:rFonts w:hint="eastAsia" w:ascii="宋体" w:hAnsi="宋体" w:eastAsia="宋体" w:cs="宋体"/>
                <w:kern w:val="0"/>
                <w:sz w:val="24"/>
                <w:szCs w:val="24"/>
              </w:rPr>
              <w:t>社会  效益</w:t>
            </w:r>
          </w:p>
        </w:tc>
        <w:tc>
          <w:tcPr>
            <w:tcW w:w="567" w:type="dxa"/>
            <w:vMerge w:val="continue"/>
            <w:noWrap w:val="0"/>
            <w:vAlign w:val="center"/>
          </w:tcPr>
          <w:p>
            <w:pPr>
              <w:widowControl/>
              <w:jc w:val="both"/>
              <w:rPr>
                <w:rFonts w:hint="eastAsia" w:ascii="宋体" w:hAnsi="宋体" w:eastAsia="宋体" w:cs="宋体"/>
                <w:kern w:val="0"/>
                <w:sz w:val="24"/>
                <w:szCs w:val="24"/>
              </w:rPr>
            </w:pPr>
          </w:p>
        </w:tc>
        <w:tc>
          <w:tcPr>
            <w:tcW w:w="6346" w:type="dxa"/>
            <w:gridSpan w:val="2"/>
            <w:vMerge w:val="continue"/>
            <w:noWrap w:val="0"/>
            <w:vAlign w:val="center"/>
          </w:tcPr>
          <w:p>
            <w:pPr>
              <w:widowControl/>
              <w:jc w:val="left"/>
              <w:rPr>
                <w:rFonts w:hint="eastAsia" w:ascii="宋体" w:hAnsi="宋体" w:eastAsia="宋体" w:cs="宋体"/>
                <w:kern w:val="0"/>
                <w:sz w:val="24"/>
                <w:szCs w:val="24"/>
              </w:rPr>
            </w:pPr>
          </w:p>
        </w:tc>
        <w:tc>
          <w:tcPr>
            <w:tcW w:w="861"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hint="eastAsia" w:ascii="宋体" w:hAnsi="宋体" w:eastAsia="宋体" w:cs="宋体"/>
                <w:kern w:val="0"/>
                <w:sz w:val="24"/>
                <w:szCs w:val="24"/>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宋体" w:hAnsi="宋体" w:eastAsia="宋体" w:cs="宋体"/>
                <w:kern w:val="0"/>
                <w:sz w:val="24"/>
                <w:szCs w:val="24"/>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宋体" w:hAnsi="宋体" w:eastAsia="宋体" w:cs="宋体"/>
                <w:kern w:val="0"/>
                <w:sz w:val="24"/>
                <w:szCs w:val="24"/>
              </w:rPr>
            </w:pPr>
          </w:p>
        </w:tc>
        <w:tc>
          <w:tcPr>
            <w:tcW w:w="851" w:type="dxa"/>
            <w:noWrap w:val="0"/>
            <w:vAlign w:val="center"/>
          </w:tcPr>
          <w:p>
            <w:pPr>
              <w:widowControl/>
              <w:jc w:val="both"/>
              <w:rPr>
                <w:rFonts w:hint="eastAsia" w:ascii="宋体" w:hAnsi="宋体" w:eastAsia="宋体" w:cs="宋体"/>
                <w:kern w:val="0"/>
                <w:sz w:val="24"/>
                <w:szCs w:val="24"/>
              </w:rPr>
            </w:pPr>
            <w:r>
              <w:rPr>
                <w:rFonts w:hint="eastAsia" w:ascii="宋体" w:hAnsi="宋体" w:eastAsia="宋体" w:cs="宋体"/>
                <w:kern w:val="0"/>
                <w:sz w:val="24"/>
                <w:szCs w:val="24"/>
              </w:rPr>
              <w:t>生态  效益</w:t>
            </w:r>
          </w:p>
        </w:tc>
        <w:tc>
          <w:tcPr>
            <w:tcW w:w="567" w:type="dxa"/>
            <w:vMerge w:val="continue"/>
            <w:noWrap w:val="0"/>
            <w:vAlign w:val="center"/>
          </w:tcPr>
          <w:p>
            <w:pPr>
              <w:widowControl/>
              <w:jc w:val="both"/>
              <w:rPr>
                <w:rFonts w:hint="eastAsia" w:ascii="宋体" w:hAnsi="宋体" w:eastAsia="宋体" w:cs="宋体"/>
                <w:kern w:val="0"/>
                <w:sz w:val="24"/>
                <w:szCs w:val="24"/>
              </w:rPr>
            </w:pPr>
          </w:p>
        </w:tc>
        <w:tc>
          <w:tcPr>
            <w:tcW w:w="6346" w:type="dxa"/>
            <w:gridSpan w:val="2"/>
            <w:vMerge w:val="continue"/>
            <w:noWrap w:val="0"/>
            <w:vAlign w:val="center"/>
          </w:tcPr>
          <w:p>
            <w:pPr>
              <w:widowControl/>
              <w:jc w:val="left"/>
              <w:rPr>
                <w:rFonts w:hint="eastAsia" w:ascii="宋体" w:hAnsi="宋体" w:eastAsia="宋体" w:cs="宋体"/>
                <w:kern w:val="0"/>
                <w:sz w:val="24"/>
                <w:szCs w:val="24"/>
              </w:rPr>
            </w:pPr>
          </w:p>
        </w:tc>
        <w:tc>
          <w:tcPr>
            <w:tcW w:w="861"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hint="eastAsia" w:ascii="宋体" w:hAnsi="宋体" w:eastAsia="宋体" w:cs="宋体"/>
                <w:kern w:val="0"/>
                <w:sz w:val="24"/>
                <w:szCs w:val="24"/>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宋体" w:hAnsi="宋体" w:eastAsia="宋体" w:cs="宋体"/>
                <w:kern w:val="0"/>
                <w:sz w:val="24"/>
                <w:szCs w:val="24"/>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宋体" w:hAnsi="宋体" w:eastAsia="宋体" w:cs="宋体"/>
                <w:kern w:val="0"/>
                <w:sz w:val="24"/>
                <w:szCs w:val="24"/>
              </w:rPr>
            </w:pPr>
          </w:p>
        </w:tc>
        <w:tc>
          <w:tcPr>
            <w:tcW w:w="851" w:type="dxa"/>
            <w:noWrap w:val="0"/>
            <w:vAlign w:val="center"/>
          </w:tcPr>
          <w:p>
            <w:pPr>
              <w:widowControl/>
              <w:jc w:val="both"/>
              <w:rPr>
                <w:rFonts w:hint="eastAsia" w:ascii="宋体" w:hAnsi="宋体" w:eastAsia="宋体" w:cs="宋体"/>
                <w:kern w:val="0"/>
                <w:sz w:val="24"/>
                <w:szCs w:val="24"/>
              </w:rPr>
            </w:pPr>
            <w:r>
              <w:rPr>
                <w:rFonts w:hint="eastAsia" w:ascii="宋体" w:hAnsi="宋体" w:eastAsia="宋体" w:cs="宋体"/>
                <w:kern w:val="0"/>
                <w:sz w:val="24"/>
                <w:szCs w:val="24"/>
              </w:rPr>
              <w:t>社会公众或服务对象满意度</w:t>
            </w:r>
          </w:p>
        </w:tc>
        <w:tc>
          <w:tcPr>
            <w:tcW w:w="567" w:type="dxa"/>
            <w:noWrap w:val="0"/>
            <w:vAlign w:val="center"/>
          </w:tcPr>
          <w:p>
            <w:pPr>
              <w:widowControl/>
              <w:jc w:val="both"/>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2821" w:type="dxa"/>
            <w:noWrap w:val="0"/>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90%（含）以上计2分；</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80%（含）-90%，计1分；70%（含）-80%，计0.5分；低于70%,计0分。</w:t>
            </w:r>
          </w:p>
        </w:tc>
        <w:tc>
          <w:tcPr>
            <w:tcW w:w="3525" w:type="dxa"/>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社会公众或服务对象是指部门（单位）履行职责而影响到的部门，群体或个人，一般采取社会调查的方式(不少于30份)。</w:t>
            </w:r>
          </w:p>
        </w:tc>
        <w:tc>
          <w:tcPr>
            <w:tcW w:w="861"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合计</w:t>
            </w:r>
          </w:p>
        </w:tc>
        <w:tc>
          <w:tcPr>
            <w:tcW w:w="8331" w:type="dxa"/>
            <w:gridSpan w:val="5"/>
            <w:noWrap w:val="0"/>
            <w:vAlign w:val="center"/>
          </w:tcPr>
          <w:p>
            <w:pPr>
              <w:widowControl/>
              <w:jc w:val="left"/>
              <w:rPr>
                <w:rFonts w:hint="eastAsia" w:ascii="宋体" w:hAnsi="宋体" w:eastAsia="宋体" w:cs="宋体"/>
                <w:kern w:val="0"/>
                <w:sz w:val="24"/>
                <w:szCs w:val="24"/>
              </w:rPr>
            </w:pPr>
          </w:p>
        </w:tc>
        <w:tc>
          <w:tcPr>
            <w:tcW w:w="861"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90.2</w:t>
            </w:r>
          </w:p>
        </w:tc>
      </w:tr>
    </w:tbl>
    <w:p>
      <w:pPr>
        <w:spacing w:line="480" w:lineRule="exact"/>
        <w:ind w:firstLine="560" w:firstLineChars="200"/>
        <w:rPr>
          <w:rFonts w:hint="eastAsia" w:ascii="宋体" w:hAnsi="宋体" w:eastAsia="宋体" w:cs="宋体"/>
          <w:color w:val="444444"/>
          <w:sz w:val="28"/>
          <w:szCs w:val="28"/>
          <w:shd w:val="clear" w:color="auto" w:fill="FFFFFF"/>
        </w:rPr>
      </w:pPr>
    </w:p>
    <w:p>
      <w:pPr>
        <w:spacing w:line="480" w:lineRule="exact"/>
        <w:rPr>
          <w:rFonts w:hint="eastAsia" w:ascii="宋体" w:hAnsi="宋体" w:eastAsia="宋体" w:cs="宋体"/>
          <w:color w:val="444444"/>
          <w:sz w:val="28"/>
          <w:szCs w:val="28"/>
          <w:shd w:val="clear" w:color="auto" w:fill="FFFFFF"/>
        </w:rPr>
      </w:pPr>
    </w:p>
    <w:p>
      <w:pPr>
        <w:spacing w:line="480" w:lineRule="exact"/>
        <w:rPr>
          <w:rFonts w:hint="eastAsia" w:ascii="宋体" w:hAnsi="宋体" w:eastAsia="宋体" w:cs="宋体"/>
          <w:color w:val="444444"/>
          <w:sz w:val="28"/>
          <w:szCs w:val="28"/>
          <w:shd w:val="clear" w:color="auto" w:fill="FFFFFF"/>
        </w:rPr>
      </w:pPr>
    </w:p>
    <w:p>
      <w:pPr>
        <w:spacing w:line="480" w:lineRule="exact"/>
        <w:ind w:left="4970" w:leftChars="2100" w:right="960" w:hanging="560" w:hangingChars="200"/>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 xml:space="preserve">  邵阳市北塔区信访局</w:t>
      </w:r>
    </w:p>
    <w:p>
      <w:pPr>
        <w:spacing w:line="480" w:lineRule="exact"/>
        <w:ind w:right="960" w:firstLine="560" w:firstLineChars="200"/>
        <w:jc w:val="center"/>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 xml:space="preserve">                             2023年4月26日</w:t>
      </w:r>
    </w:p>
    <w:p>
      <w:pPr>
        <w:spacing w:line="480" w:lineRule="exact"/>
        <w:ind w:firstLine="560" w:firstLineChars="200"/>
        <w:rPr>
          <w:rFonts w:ascii="宋体" w:hAnsi="宋体" w:eastAsia="宋体" w:cs="宋体"/>
          <w:color w:val="444444"/>
          <w:sz w:val="28"/>
          <w:szCs w:val="28"/>
          <w:shd w:val="clear" w:color="auto" w:fill="FFFFFF"/>
        </w:rPr>
      </w:pPr>
    </w:p>
    <w:p>
      <w:pPr>
        <w:pStyle w:val="6"/>
        <w:ind w:firstLine="560" w:firstLineChars="200"/>
        <w:rPr>
          <w:rFonts w:ascii="宋体" w:hAnsi="宋体" w:eastAsia="宋体" w:cs="宋体"/>
          <w:color w:val="444444"/>
          <w:kern w:val="2"/>
          <w:sz w:val="28"/>
          <w:szCs w:val="28"/>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MjZhYWNjMGI5ZWMxZGYyOWIwMzYyNzQ0ZmQ0YTUifQ=="/>
  </w:docVars>
  <w:rsids>
    <w:rsidRoot w:val="001C3D7D"/>
    <w:rsid w:val="001C3D7D"/>
    <w:rsid w:val="003070C1"/>
    <w:rsid w:val="00554C33"/>
    <w:rsid w:val="00B16530"/>
    <w:rsid w:val="00C156B0"/>
    <w:rsid w:val="00D51644"/>
    <w:rsid w:val="00DE1008"/>
    <w:rsid w:val="00E67371"/>
    <w:rsid w:val="02202C1B"/>
    <w:rsid w:val="025D08EA"/>
    <w:rsid w:val="02A74CAA"/>
    <w:rsid w:val="05213482"/>
    <w:rsid w:val="09E17252"/>
    <w:rsid w:val="0D5E3707"/>
    <w:rsid w:val="11E84674"/>
    <w:rsid w:val="126C42B4"/>
    <w:rsid w:val="17042185"/>
    <w:rsid w:val="1F010C8F"/>
    <w:rsid w:val="20F63895"/>
    <w:rsid w:val="26166273"/>
    <w:rsid w:val="2B032004"/>
    <w:rsid w:val="2C7529D1"/>
    <w:rsid w:val="2D6C05C8"/>
    <w:rsid w:val="3619015E"/>
    <w:rsid w:val="36E22B02"/>
    <w:rsid w:val="37A26170"/>
    <w:rsid w:val="3B9303B2"/>
    <w:rsid w:val="3C8416D7"/>
    <w:rsid w:val="3FAB09ED"/>
    <w:rsid w:val="44AF5D78"/>
    <w:rsid w:val="45833892"/>
    <w:rsid w:val="45CB4E15"/>
    <w:rsid w:val="478F7373"/>
    <w:rsid w:val="4ACA7AAB"/>
    <w:rsid w:val="4B991F60"/>
    <w:rsid w:val="4D113C42"/>
    <w:rsid w:val="4E58558A"/>
    <w:rsid w:val="4F3501F1"/>
    <w:rsid w:val="52C04276"/>
    <w:rsid w:val="53202F66"/>
    <w:rsid w:val="55C776C9"/>
    <w:rsid w:val="575435C3"/>
    <w:rsid w:val="58CA4CA4"/>
    <w:rsid w:val="59A70B1E"/>
    <w:rsid w:val="59E60318"/>
    <w:rsid w:val="5CBC5F90"/>
    <w:rsid w:val="5E6D1153"/>
    <w:rsid w:val="5F83500A"/>
    <w:rsid w:val="60745B56"/>
    <w:rsid w:val="641F097E"/>
    <w:rsid w:val="65236940"/>
    <w:rsid w:val="664A41B0"/>
    <w:rsid w:val="66D16D4F"/>
    <w:rsid w:val="66FE6113"/>
    <w:rsid w:val="6B874FA2"/>
    <w:rsid w:val="6FD52562"/>
    <w:rsid w:val="70514092"/>
    <w:rsid w:val="70852420"/>
    <w:rsid w:val="73125FD0"/>
    <w:rsid w:val="76DC35F5"/>
    <w:rsid w:val="7832658D"/>
    <w:rsid w:val="79074D5F"/>
    <w:rsid w:val="7AF745AA"/>
    <w:rsid w:val="7B7D0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paragraph" w:customStyle="1" w:styleId="6">
    <w:name w:val="Default"/>
    <w:autoRedefine/>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574</Words>
  <Characters>3276</Characters>
  <Lines>27</Lines>
  <Paragraphs>7</Paragraphs>
  <TotalTime>0</TotalTime>
  <ScaleCrop>false</ScaleCrop>
  <LinksUpToDate>false</LinksUpToDate>
  <CharactersWithSpaces>3843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2023-10-17T07:25:00Z</dcterms:created>
  <dc:creator>Administrator</dc:creator>
  <cp:lastModifiedBy>随风而起</cp:lastModifiedBy>
  <dcterms:modified xsi:type="dcterms:W3CDTF">2024-01-17T09:42:47Z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940B8059199B4A289414AF523A65E0B0_13</vt:lpwstr>
  </property>
</Properties>
</file>