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邵阳市北塔区融媒体中心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6"/>
      </w:pPr>
    </w:p>
    <w:p>
      <w:pPr>
        <w:pStyle w:val="6"/>
      </w:pPr>
    </w:p>
    <w:p>
      <w:pPr>
        <w:pStyle w:val="20"/>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b/>
          <w:bCs/>
          <w:sz w:val="30"/>
          <w:szCs w:val="30"/>
        </w:rPr>
      </w:pPr>
    </w:p>
    <w:p>
      <w:pPr>
        <w:pStyle w:val="21"/>
        <w:ind w:left="0" w:leftChars="0" w:firstLine="0" w:firstLineChars="0"/>
        <w:rPr>
          <w:rFonts w:hint="eastAsia" w:ascii="仿宋" w:hAnsi="仿宋" w:eastAsia="仿宋"/>
          <w:b/>
          <w:bCs/>
          <w:sz w:val="30"/>
          <w:szCs w:val="30"/>
        </w:rPr>
      </w:pPr>
    </w:p>
    <w:p>
      <w:pPr>
        <w:pStyle w:val="21"/>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_Toc6104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一、</w:t>
          </w:r>
          <w:r>
            <w:rPr>
              <w:rFonts w:hint="default" w:ascii="Times New Roman" w:hAnsi="Times New Roman" w:eastAsia="仿宋" w:cs="Times New Roman"/>
              <w:bCs/>
              <w:sz w:val="28"/>
              <w:szCs w:val="28"/>
              <w:lang w:val="en-US" w:eastAsia="zh-CN"/>
            </w:rPr>
            <w:t>单位基本情况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_Toc6104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_Toc3898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_Toc3898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_Toc7809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（二）主要职责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_Toc7809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_Toc29905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（三）人员情况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_Toc29905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_Toc30755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二、部门整体收支情况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_Toc30755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_Toc25434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（一）资金收入情况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_Toc25434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_Toc27233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（二）资金使用情况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_Toc27233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_Toc17082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（三）资金管理情况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_Toc17082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_Toc23316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三、制度建设情况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_Toc23316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_Toc12490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（一）财务管理制度建设情况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_Toc12490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_Toc2699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（二）资产管理制度建设及使用情况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_Toc2699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_Toc1805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（三）政府采购制度建设情况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_Toc1805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_Toc25834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四、第三方重点绩效评价工作情况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_Toc25834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_Toc16153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（一）重点绩效评价目的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_Toc16153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_Toc19302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（二）重点绩效评价工作过程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_Toc19302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_Toc13155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五、部门整体支出绩效情况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_Toc13155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_Toc31850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（一）部门整体实际产出情况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_Toc31850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_Toc26444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（二）部门整体效益情况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_Toc26444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_Toc14831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（三）部门整体满意度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_Toc14831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_Toc6299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六、综合评价情况及评价结论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_Toc6299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_Toc1933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七、存在的主要问题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_Toc1933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_Toc11722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（一）绩效管理方面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_Toc11722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_Toc26122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（二）财务管理方面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_Toc26122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_Toc28631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（三）资产管理方面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_Toc28631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_Toc24694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八、相关建议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_Toc24694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_Toc13173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（一）</w:t>
          </w:r>
          <w:r>
            <w:rPr>
              <w:rFonts w:hint="default" w:ascii="Times New Roman" w:hAnsi="Times New Roman" w:eastAsia="仿宋" w:cs="Times New Roman"/>
              <w:bCs/>
              <w:sz w:val="28"/>
              <w:szCs w:val="28"/>
              <w:highlight w:val="none"/>
            </w:rPr>
            <w:t>增强绩效目标管理意识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_Toc13173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_Toc29896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（二）加强财务支出审核</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_Toc29896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_Toc16922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lang w:val="en-US" w:eastAsia="zh-CN"/>
            </w:rPr>
            <w:t>三</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lang w:val="en-US" w:eastAsia="zh-CN"/>
            </w:rPr>
            <w:t>规范资产管理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_Toc16922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0"/>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_Toc24259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九、报告使用情况说明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_Toc24259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88</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jc w:val="center"/>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邵阳市北塔区融媒体中心</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ind w:firstLine="64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default" w:ascii="Times New Roman" w:hAnsi="Times New Roman" w:eastAsia="仿宋_GB2312"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等精神及相关工作要求，邵阳市北塔区财政局委托，湖南财正会计师事务所</w:t>
      </w:r>
      <w:r>
        <w:rPr>
          <w:rFonts w:hint="eastAsia"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对邵阳市北塔区</w:t>
      </w:r>
      <w:r>
        <w:rPr>
          <w:rFonts w:hint="eastAsia" w:ascii="Times New Roman" w:hAnsi="Times New Roman" w:eastAsia="仿宋" w:cs="Times New Roman"/>
          <w:b w:val="0"/>
          <w:bCs w:val="0"/>
          <w:sz w:val="32"/>
          <w:szCs w:val="32"/>
          <w:lang w:val="en-US" w:eastAsia="zh-CN"/>
        </w:rPr>
        <w:t>融媒体中心</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pStyle w:val="3"/>
        <w:numPr>
          <w:ilvl w:val="0"/>
          <w:numId w:val="0"/>
        </w:numPr>
        <w:spacing w:before="0" w:after="0" w:line="600" w:lineRule="exact"/>
        <w:ind w:firstLine="643" w:firstLineChars="200"/>
        <w:jc w:val="both"/>
        <w:outlineLvl w:val="9"/>
        <w:rPr>
          <w:rFonts w:hint="default" w:ascii="Times New Roman" w:hAnsi="Times New Roman" w:eastAsia="黑体" w:cs="Times New Roman"/>
          <w:sz w:val="32"/>
          <w:lang w:val="en-US" w:eastAsia="zh-CN"/>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6104"/>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 w:name="_Toc3898"/>
      <w:r>
        <w:rPr>
          <w:rFonts w:hint="default" w:ascii="Times New Roman Regular" w:hAnsi="Times New Roman Regular" w:eastAsia="楷体" w:cs="Times New Roman Regular"/>
          <w:b/>
          <w:bCs/>
          <w:sz w:val="32"/>
          <w:szCs w:val="32"/>
          <w:lang w:val="en-US" w:eastAsia="zh-CN"/>
        </w:rPr>
        <w:t>（一）部门概况</w:t>
      </w:r>
      <w:bookmarkEnd w:id="1"/>
    </w:p>
    <w:p>
      <w:pPr>
        <w:numPr>
          <w:ilvl w:val="0"/>
          <w:numId w:val="0"/>
        </w:numPr>
        <w:ind w:firstLine="620" w:firstLineChars="200"/>
        <w:jc w:val="both"/>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1"/>
          <w:szCs w:val="31"/>
          <w:lang w:val="en-US" w:eastAsia="zh-CN"/>
        </w:rPr>
        <w:t>邵阳北塔区融媒体中心</w:t>
      </w:r>
      <w:r>
        <w:rPr>
          <w:rFonts w:hint="default" w:ascii="Times New Roman Regular" w:hAnsi="Times New Roman Regular" w:eastAsia="仿宋" w:cs="Times New Roman Regular"/>
          <w:b w:val="0"/>
          <w:bCs w:val="0"/>
          <w:sz w:val="31"/>
          <w:szCs w:val="31"/>
          <w:lang w:val="en-US" w:eastAsia="zh-CN"/>
        </w:rPr>
        <w:t>是属全额拨款</w:t>
      </w:r>
      <w:r>
        <w:rPr>
          <w:rFonts w:hint="eastAsia" w:ascii="Times New Roman Regular" w:hAnsi="Times New Roman Regular" w:eastAsia="仿宋" w:cs="Times New Roman Regular"/>
          <w:b w:val="0"/>
          <w:bCs w:val="0"/>
          <w:sz w:val="31"/>
          <w:szCs w:val="31"/>
          <w:lang w:val="en-US" w:eastAsia="zh-CN"/>
        </w:rPr>
        <w:t>事业</w:t>
      </w:r>
      <w:r>
        <w:rPr>
          <w:rFonts w:hint="default" w:ascii="Times New Roman Regular" w:hAnsi="Times New Roman Regular" w:eastAsia="仿宋" w:cs="Times New Roman Regular"/>
          <w:b w:val="0"/>
          <w:bCs w:val="0"/>
          <w:sz w:val="31"/>
          <w:szCs w:val="31"/>
          <w:lang w:val="en-US" w:eastAsia="zh-CN"/>
        </w:rPr>
        <w:t>单位，将北塔区新闻中心承担的行政职能划入邵阳市北塔区委宣传部</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以下简称区委宣传部</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，改为北塔区融媒体中心</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以下简称区融媒体中心</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为中共北塔区委直属正科级公益</w:t>
      </w:r>
      <w:r>
        <w:rPr>
          <w:rFonts w:hint="eastAsia" w:ascii="Times New Roman Regular" w:hAnsi="Times New Roman Regular" w:eastAsia="仿宋" w:cs="Times New Roman Regular"/>
          <w:b w:val="0"/>
          <w:bCs w:val="0"/>
          <w:sz w:val="31"/>
          <w:szCs w:val="31"/>
          <w:lang w:val="en-US" w:eastAsia="zh-CN"/>
        </w:rPr>
        <w:t>一</w:t>
      </w:r>
      <w:r>
        <w:rPr>
          <w:rFonts w:hint="default" w:ascii="Times New Roman Regular" w:hAnsi="Times New Roman Regular" w:eastAsia="仿宋" w:cs="Times New Roman Regular"/>
          <w:b w:val="0"/>
          <w:bCs w:val="0"/>
          <w:sz w:val="31"/>
          <w:szCs w:val="31"/>
          <w:lang w:val="en-US" w:eastAsia="zh-CN"/>
        </w:rPr>
        <w:t>类全额拨款事业单位，归口区委宣传部管理</w:t>
      </w:r>
      <w:r>
        <w:rPr>
          <w:rFonts w:hint="eastAsia" w:ascii="Times New Roman Regular" w:hAnsi="Times New Roman Regular" w:eastAsia="仿宋" w:cs="Times New Roman Regular"/>
          <w:b w:val="0"/>
          <w:bCs w:val="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7809"/>
      <w:r>
        <w:rPr>
          <w:rFonts w:hint="default" w:ascii="Times New Roman Regular" w:hAnsi="Times New Roman Regular" w:eastAsia="楷体" w:cs="Times New Roman Regular"/>
          <w:b/>
          <w:bCs/>
          <w:sz w:val="32"/>
          <w:szCs w:val="32"/>
          <w:lang w:val="en-US" w:eastAsia="zh-CN"/>
        </w:rPr>
        <w:t>（二）主要职责</w:t>
      </w:r>
      <w:bookmarkEnd w:id="2"/>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1、坚决贯彻党管媒体原则，严格执行党中央和省、市、区委关于新闻宣传、媒体融合发展等工作的方针政策和决策部署，落实中央和省委、市委、区委的工作要求。坚持和加强党对新闻舆论工作的集中统一领导，坚持移动优先，建成主流舆论阵地、综合服务平台和社区信息枢纽。</w:t>
      </w:r>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2、负责利用移动传播技术，形成渠道丰富、覆盖广泛、传播有效、可管可控的移动传播矩阵</w:t>
      </w:r>
      <w:r>
        <w:rPr>
          <w:rFonts w:hint="eastAsia" w:ascii="Times New Roman Regular" w:hAnsi="Times New Roman Regular" w:eastAsia="仿宋" w:cs="Times New Roman Regular"/>
          <w:b w:val="0"/>
          <w:bCs w:val="0"/>
          <w:sz w:val="31"/>
          <w:szCs w:val="31"/>
          <w:lang w:val="en-US" w:eastAsia="zh-CN"/>
        </w:rPr>
        <w:t>；</w:t>
      </w:r>
      <w:r>
        <w:rPr>
          <w:rFonts w:hint="eastAsia" w:ascii="仿宋" w:hAnsi="仿宋" w:eastAsia="仿宋" w:cs="仿宋"/>
          <w:b w:val="0"/>
          <w:bCs w:val="0"/>
          <w:sz w:val="31"/>
          <w:szCs w:val="31"/>
          <w:lang w:val="en-US" w:eastAsia="zh-CN"/>
        </w:rPr>
        <w:t>立“媒体+”的理</w:t>
      </w:r>
      <w:r>
        <w:rPr>
          <w:rFonts w:hint="default" w:ascii="Times New Roman Regular" w:hAnsi="Times New Roman Regular" w:eastAsia="仿宋" w:cs="Times New Roman Regular"/>
          <w:b w:val="0"/>
          <w:bCs w:val="0"/>
          <w:sz w:val="31"/>
          <w:szCs w:val="31"/>
          <w:lang w:val="en-US" w:eastAsia="zh-CN"/>
        </w:rPr>
        <w:t>念，从单纯的新闻宣传向公共服务领域拓展，增强互动性，从单向传播向多元互</w:t>
      </w:r>
      <w:r>
        <w:rPr>
          <w:rFonts w:hint="eastAsia" w:ascii="仿宋" w:hAnsi="仿宋" w:eastAsia="仿宋" w:cs="仿宋"/>
          <w:b w:val="0"/>
          <w:bCs w:val="0"/>
          <w:sz w:val="31"/>
          <w:szCs w:val="31"/>
          <w:lang w:val="en-US" w:eastAsia="zh-CN"/>
        </w:rPr>
        <w:t>动传播延伸，将媒体与政务、服务等业务相结合，构建具有北塔特色的“主流舆论阵地+综合服务平台+社区信息枢纽”平台，提供多样化综合服务，满足用户多样化的需求，开展“媒体+政务”“媒体+服务”等业务，面用户提供政</w:t>
      </w:r>
      <w:r>
        <w:rPr>
          <w:rFonts w:hint="default" w:ascii="Times New Roman Regular" w:hAnsi="Times New Roman Regular" w:eastAsia="仿宋" w:cs="Times New Roman Regular"/>
          <w:b w:val="0"/>
          <w:bCs w:val="0"/>
          <w:sz w:val="31"/>
          <w:szCs w:val="31"/>
          <w:lang w:val="en-US" w:eastAsia="zh-CN"/>
        </w:rPr>
        <w:t>务服务、生活服务、社交传播、教育培训等服务平台。</w:t>
      </w:r>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3、负责归并一报</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北塔报</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、二网</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北塔政务网、北塔新闻网</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、多微</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北塔发布和各乡街道、区直机关部门短讯快讯、微信微博，以及 H5、快手、抖音等新媒体</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提供对外宣传平台，充分发挥媒体融合优势。集中力量打造“新湖南北塔区频道”，建立“新北塔”客户端。着力提高客户端下载量、日活率，提高在全区的覆盖面。综合运用报纸、广播、电视、新闻网站、微博微信、手机报、客户端频道等多个终端，形成分众传播、分类覆盖的格局。</w:t>
      </w:r>
    </w:p>
    <w:p>
      <w:pPr>
        <w:numPr>
          <w:ilvl w:val="0"/>
          <w:numId w:val="0"/>
        </w:numPr>
        <w:ind w:firstLine="620" w:firstLineChars="200"/>
        <w:jc w:val="both"/>
        <w:rPr>
          <w:rFonts w:hint="eastAsia" w:ascii="仿宋" w:hAnsi="仿宋" w:eastAsia="仿宋" w:cs="仿宋"/>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4、负责充分发挥信息服务平台的作用，积极参</w:t>
      </w:r>
      <w:r>
        <w:rPr>
          <w:rFonts w:hint="eastAsia" w:ascii="仿宋" w:hAnsi="仿宋" w:eastAsia="仿宋" w:cs="仿宋"/>
          <w:b w:val="0"/>
          <w:bCs w:val="0"/>
          <w:sz w:val="31"/>
          <w:szCs w:val="31"/>
          <w:lang w:val="en-US" w:eastAsia="zh-CN"/>
        </w:rPr>
        <w:t>与“新北塔”客户端建设，整合全区党政部门信息资源，对接全区党政部门技术平台，为各部门对外宣传、便民服务提供技术支撑。</w:t>
      </w:r>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5、协助开展各类群众性文化、体育、科普、公益活动，开展各类商务、会展节庆等活动，打通线上线下、提升造血机能</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群众文化生活、强化为民服务功能。</w:t>
      </w:r>
    </w:p>
    <w:p>
      <w:pPr>
        <w:numPr>
          <w:ilvl w:val="0"/>
          <w:numId w:val="0"/>
        </w:numPr>
        <w:ind w:firstLine="620" w:firstLineChars="200"/>
        <w:jc w:val="both"/>
        <w:rPr>
          <w:rFonts w:hint="default"/>
          <w:lang w:val="en-US" w:eastAsia="zh-CN"/>
        </w:rPr>
      </w:pPr>
      <w:r>
        <w:rPr>
          <w:rFonts w:hint="default" w:ascii="Times New Roman Regular" w:hAnsi="Times New Roman Regular" w:eastAsia="仿宋" w:cs="Times New Roman Regular"/>
          <w:b w:val="0"/>
          <w:bCs w:val="0"/>
          <w:sz w:val="31"/>
          <w:szCs w:val="31"/>
          <w:lang w:val="en-US" w:eastAsia="zh-CN"/>
        </w:rPr>
        <w:t>6、负责加强媒体在机构、内容、渠道、平台、人员、经营、管理等方面深度融合，提高传播力、引导力、影响力。建成主流舆论阵地、讲好“北塔话”。宣传党中央决策部署，宣传党的创新理论和社会主义核心价值观，宣传各级党委政府工作安排，传播政经资讯，对中央和省、市级媒体形成有益补充；建成综合服务平台、连通“北塔城”。向基层干部群众提供政务需求、生活服务、社交传播、教育培训等综合服务，增强党委政府和人民群众之间的互动沟通</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建成社区信息枢纽、引导</w:t>
      </w:r>
      <w:r>
        <w:rPr>
          <w:rFonts w:hint="eastAsia" w:ascii="仿宋" w:hAnsi="仿宋" w:eastAsia="仿宋" w:cs="仿宋"/>
          <w:b w:val="0"/>
          <w:bCs w:val="0"/>
          <w:sz w:val="31"/>
          <w:szCs w:val="31"/>
          <w:lang w:val="en-US" w:eastAsia="zh-CN"/>
        </w:rPr>
        <w:t>“北塔人”。</w:t>
      </w:r>
      <w:r>
        <w:rPr>
          <w:rFonts w:hint="default" w:ascii="Times New Roman Regular" w:hAnsi="Times New Roman Regular" w:eastAsia="仿宋" w:cs="Times New Roman Regular"/>
          <w:b w:val="0"/>
          <w:bCs w:val="0"/>
          <w:sz w:val="31"/>
          <w:szCs w:val="31"/>
          <w:lang w:val="en-US" w:eastAsia="zh-CN"/>
        </w:rPr>
        <w:t>面向人口聚集的部门机关、乡街道、村社区、企事业单位，提供精准化的生活资讯，打通线上线下，建设培育社会动员功能。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 w:name="_Toc29905"/>
      <w:r>
        <w:rPr>
          <w:rFonts w:hint="default" w:ascii="Times New Roman Regular" w:hAnsi="Times New Roman Regular" w:eastAsia="楷体" w:cs="Times New Roman Regular"/>
          <w:b/>
          <w:bCs/>
          <w:sz w:val="32"/>
          <w:szCs w:val="32"/>
          <w:lang w:val="en-US" w:eastAsia="zh-CN"/>
        </w:rPr>
        <w:t>（三）人员情况</w:t>
      </w:r>
      <w:bookmarkEnd w:id="3"/>
    </w:p>
    <w:p>
      <w:pPr>
        <w:numPr>
          <w:ilvl w:val="0"/>
          <w:numId w:val="0"/>
        </w:numPr>
        <w:ind w:firstLine="620" w:firstLineChars="200"/>
        <w:jc w:val="both"/>
        <w:rPr>
          <w:rFonts w:hint="default" w:ascii="Times New Roman Regular" w:hAnsi="Times New Roman Regular" w:eastAsia="楷体" w:cs="Times New Roman Regular"/>
          <w:b/>
          <w:bCs/>
          <w:sz w:val="31"/>
          <w:szCs w:val="31"/>
          <w:lang w:val="en-US" w:eastAsia="zh-CN"/>
        </w:rPr>
      </w:pPr>
      <w:r>
        <w:rPr>
          <w:rFonts w:hint="default" w:ascii="Times New Roman Regular" w:hAnsi="Times New Roman Regular" w:eastAsia="仿宋" w:cs="Times New Roman Regular"/>
          <w:b w:val="0"/>
          <w:bCs w:val="0"/>
          <w:sz w:val="31"/>
          <w:szCs w:val="31"/>
          <w:lang w:val="en-US" w:eastAsia="zh-CN"/>
        </w:rPr>
        <w:t>邵阳市北塔区融媒体中心共有编制人数</w:t>
      </w:r>
      <w:r>
        <w:rPr>
          <w:rFonts w:hint="eastAsia" w:ascii="Times New Roman Regular" w:hAnsi="Times New Roman Regular" w:eastAsia="仿宋" w:cs="Times New Roman Regular"/>
          <w:b w:val="0"/>
          <w:bCs w:val="0"/>
          <w:sz w:val="31"/>
          <w:szCs w:val="31"/>
          <w:lang w:val="en-US" w:eastAsia="zh-CN"/>
        </w:rPr>
        <w:t>7</w:t>
      </w:r>
      <w:r>
        <w:rPr>
          <w:rFonts w:hint="default" w:ascii="Times New Roman Regular" w:hAnsi="Times New Roman Regular" w:eastAsia="仿宋" w:cs="Times New Roman Regular"/>
          <w:b w:val="0"/>
          <w:bCs w:val="0"/>
          <w:sz w:val="31"/>
          <w:szCs w:val="31"/>
          <w:lang w:val="en-US" w:eastAsia="zh-CN"/>
        </w:rPr>
        <w:t>人，年末实有人数</w:t>
      </w:r>
      <w:r>
        <w:rPr>
          <w:rFonts w:hint="eastAsia" w:ascii="Times New Roman Regular" w:hAnsi="Times New Roman Regular" w:eastAsia="仿宋" w:cs="Times New Roman Regular"/>
          <w:b w:val="0"/>
          <w:bCs w:val="0"/>
          <w:sz w:val="31"/>
          <w:szCs w:val="31"/>
          <w:lang w:val="en-US" w:eastAsia="zh-CN"/>
        </w:rPr>
        <w:t>7</w:t>
      </w:r>
      <w:r>
        <w:rPr>
          <w:rFonts w:hint="default" w:ascii="Times New Roman Regular" w:hAnsi="Times New Roman Regular" w:eastAsia="仿宋" w:cs="Times New Roman Regular"/>
          <w:b w:val="0"/>
          <w:bCs w:val="0"/>
          <w:sz w:val="31"/>
          <w:szCs w:val="31"/>
          <w:lang w:val="en-US" w:eastAsia="zh-CN"/>
        </w:rPr>
        <w:t>人。内设综合运行部、新闻采访部、《北塔》报刊部</w:t>
      </w:r>
      <w:r>
        <w:rPr>
          <w:rFonts w:hint="eastAsia" w:ascii="Times New Roman Regular" w:hAnsi="Times New Roman Regular" w:eastAsia="仿宋" w:cs="Times New Roman Regular"/>
          <w:b w:val="0"/>
          <w:bCs w:val="0"/>
          <w:sz w:val="31"/>
          <w:szCs w:val="31"/>
          <w:lang w:val="en-US" w:eastAsia="zh-CN"/>
        </w:rPr>
        <w:t>、新媒体发展部、编辑制作部、技术保障部</w:t>
      </w:r>
      <w:r>
        <w:rPr>
          <w:rFonts w:hint="default" w:ascii="Times New Roman Regular" w:hAnsi="Times New Roman Regular" w:eastAsia="仿宋" w:cs="Times New Roman Regular"/>
          <w:b w:val="0"/>
          <w:bCs w:val="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4" w:name="_Toc30755"/>
      <w:r>
        <w:rPr>
          <w:rFonts w:hint="default" w:ascii="Times New Roman Regular" w:hAnsi="Times New Roman Regular" w:eastAsia="黑体" w:cs="Times New Roman Regular"/>
          <w:b/>
          <w:bCs/>
          <w:kern w:val="2"/>
          <w:sz w:val="32"/>
          <w:szCs w:val="32"/>
          <w:lang w:val="en-US" w:eastAsia="zh-CN" w:bidi="ar-SA"/>
        </w:rPr>
        <w:t>二、部门整体收支情况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 w:name="_Toc25434"/>
      <w:r>
        <w:rPr>
          <w:rFonts w:hint="default" w:ascii="Times New Roman Regular" w:hAnsi="Times New Roman Regular" w:eastAsia="楷体" w:cs="Times New Roman Regular"/>
          <w:b/>
          <w:bCs/>
          <w:sz w:val="32"/>
          <w:szCs w:val="32"/>
          <w:lang w:val="en-US" w:eastAsia="zh-CN"/>
        </w:rPr>
        <w:t>（一）资金收入情况</w:t>
      </w:r>
      <w:bookmarkEnd w:id="5"/>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2022年度部门决算报表，2022年初预算数为</w:t>
      </w:r>
      <w:r>
        <w:rPr>
          <w:rFonts w:hint="eastAsia" w:ascii="Times New Roman Regular" w:hAnsi="Times New Roman Regular" w:eastAsia="仿宋" w:cs="Times New Roman Regular"/>
          <w:b w:val="0"/>
          <w:bCs w:val="0"/>
          <w:sz w:val="31"/>
          <w:szCs w:val="31"/>
          <w:lang w:val="en-US" w:eastAsia="zh-CN"/>
        </w:rPr>
        <w:t>129.70</w:t>
      </w:r>
      <w:r>
        <w:rPr>
          <w:rFonts w:hint="default" w:ascii="Times New Roman Regular" w:hAnsi="Times New Roman Regular" w:eastAsia="仿宋" w:cs="Times New Roman Regular"/>
          <w:b w:val="0"/>
          <w:bCs w:val="0"/>
          <w:sz w:val="31"/>
          <w:szCs w:val="31"/>
          <w:lang w:val="en-US" w:eastAsia="zh-CN"/>
        </w:rPr>
        <w:t>万元。其中；一般公共预算财政拨款收入</w:t>
      </w:r>
      <w:r>
        <w:rPr>
          <w:rFonts w:hint="eastAsia" w:ascii="Times New Roman Regular" w:hAnsi="Times New Roman Regular" w:eastAsia="仿宋" w:cs="Times New Roman Regular"/>
          <w:b w:val="0"/>
          <w:bCs w:val="0"/>
          <w:sz w:val="31"/>
          <w:szCs w:val="31"/>
          <w:lang w:val="en-US" w:eastAsia="zh-CN"/>
        </w:rPr>
        <w:t>129.70</w:t>
      </w:r>
      <w:r>
        <w:rPr>
          <w:rFonts w:hint="default" w:ascii="Times New Roman Regular" w:hAnsi="Times New Roman Regular" w:eastAsia="仿宋" w:cs="Times New Roman Regular"/>
          <w:b w:val="0"/>
          <w:bCs w:val="0"/>
          <w:sz w:val="31"/>
          <w:szCs w:val="31"/>
          <w:lang w:val="en-US" w:eastAsia="zh-CN"/>
        </w:rPr>
        <w:t>万元、年初结转和结余资金</w:t>
      </w:r>
      <w:r>
        <w:rPr>
          <w:rFonts w:hint="eastAsia" w:ascii="Times New Roman Regular" w:hAnsi="Times New Roman Regular" w:eastAsia="仿宋" w:cs="Times New Roman Regular"/>
          <w:b w:val="0"/>
          <w:bCs w:val="0"/>
          <w:sz w:val="31"/>
          <w:szCs w:val="31"/>
          <w:lang w:val="en-US" w:eastAsia="zh-CN"/>
        </w:rPr>
        <w:t>0</w:t>
      </w:r>
      <w:r>
        <w:rPr>
          <w:rFonts w:hint="default" w:ascii="Times New Roman Regular" w:hAnsi="Times New Roman Regular" w:eastAsia="仿宋" w:cs="Times New Roman Regular"/>
          <w:b w:val="0"/>
          <w:bCs w:val="0"/>
          <w:sz w:val="31"/>
          <w:szCs w:val="31"/>
          <w:lang w:val="en-US" w:eastAsia="zh-CN"/>
        </w:rPr>
        <w:t>万元。</w:t>
      </w:r>
    </w:p>
    <w:p>
      <w:pPr>
        <w:numPr>
          <w:ilvl w:val="0"/>
          <w:numId w:val="0"/>
        </w:numPr>
        <w:ind w:firstLine="622" w:firstLineChars="200"/>
        <w:jc w:val="both"/>
        <w:outlineLvl w:val="1"/>
        <w:rPr>
          <w:rFonts w:hint="default" w:ascii="Times New Roman Regular" w:hAnsi="Times New Roman Regular" w:eastAsia="仿宋" w:cs="Times New Roman Regular"/>
          <w:b w:val="0"/>
          <w:bCs w:val="0"/>
          <w:sz w:val="31"/>
          <w:szCs w:val="31"/>
          <w:lang w:val="en-US" w:eastAsia="zh-CN"/>
        </w:rPr>
      </w:pPr>
      <w:bookmarkStart w:id="6" w:name="_Toc27233"/>
      <w:bookmarkStart w:id="7" w:name="_Toc6457"/>
      <w:r>
        <w:rPr>
          <w:rFonts w:hint="default" w:ascii="Times New Roman Regular" w:hAnsi="Times New Roman Regular" w:eastAsia="楷体" w:cs="Times New Roman Regular"/>
          <w:b/>
          <w:bCs/>
          <w:sz w:val="31"/>
          <w:szCs w:val="31"/>
          <w:lang w:val="en-US" w:eastAsia="zh-CN"/>
        </w:rPr>
        <w:t>（二）资金使用情况</w:t>
      </w:r>
      <w:bookmarkEnd w:id="6"/>
      <w:bookmarkEnd w:id="7"/>
    </w:p>
    <w:p>
      <w:pPr>
        <w:numPr>
          <w:ilvl w:val="0"/>
          <w:numId w:val="0"/>
        </w:numPr>
        <w:ind w:firstLine="620" w:firstLineChars="200"/>
        <w:jc w:val="both"/>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2022年度部门决算报表，2022年度</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共计支出</w:t>
      </w:r>
      <w:r>
        <w:rPr>
          <w:rFonts w:hint="eastAsia" w:ascii="Times New Roman Regular" w:hAnsi="Times New Roman Regular" w:eastAsia="仿宋" w:cs="Times New Roman Regular"/>
          <w:b w:val="0"/>
          <w:bCs w:val="0"/>
          <w:sz w:val="31"/>
          <w:szCs w:val="31"/>
          <w:lang w:val="en-US" w:eastAsia="zh-CN"/>
        </w:rPr>
        <w:t>129.70</w:t>
      </w:r>
      <w:r>
        <w:rPr>
          <w:rFonts w:hint="default" w:ascii="Times New Roman Regular" w:hAnsi="Times New Roman Regular" w:eastAsia="仿宋" w:cs="Times New Roman Regular"/>
          <w:b w:val="0"/>
          <w:bCs w:val="0"/>
          <w:sz w:val="31"/>
          <w:szCs w:val="31"/>
          <w:lang w:val="en-US" w:eastAsia="zh-CN"/>
        </w:rPr>
        <w:t>万元，其中：基本支出</w:t>
      </w:r>
      <w:r>
        <w:rPr>
          <w:rFonts w:hint="eastAsia" w:ascii="Times New Roman Regular" w:hAnsi="Times New Roman Regular" w:eastAsia="仿宋" w:cs="Times New Roman Regular"/>
          <w:b w:val="0"/>
          <w:bCs w:val="0"/>
          <w:sz w:val="31"/>
          <w:szCs w:val="31"/>
          <w:lang w:val="en-US" w:eastAsia="zh-CN"/>
        </w:rPr>
        <w:t>129.70</w:t>
      </w:r>
      <w:r>
        <w:rPr>
          <w:rFonts w:hint="default" w:ascii="Times New Roman Regular" w:hAnsi="Times New Roman Regular" w:eastAsia="仿宋" w:cs="Times New Roman Regular"/>
          <w:b w:val="0"/>
          <w:bCs w:val="0"/>
          <w:sz w:val="31"/>
          <w:szCs w:val="31"/>
          <w:lang w:val="en-US" w:eastAsia="zh-CN"/>
        </w:rPr>
        <w:t>万元</w:t>
      </w:r>
      <w:r>
        <w:rPr>
          <w:rFonts w:hint="eastAsia" w:ascii="Times New Roman Regular" w:hAnsi="Times New Roman Regular" w:eastAsia="仿宋" w:cs="Times New Roman Regular"/>
          <w:b w:val="0"/>
          <w:bCs w:val="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2022年度部门决算报表，2022年度</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基本支出共计</w:t>
      </w:r>
      <w:r>
        <w:rPr>
          <w:rFonts w:hint="eastAsia" w:ascii="Times New Roman Regular" w:hAnsi="Times New Roman Regular" w:eastAsia="仿宋" w:cs="Times New Roman Regular"/>
          <w:b w:val="0"/>
          <w:bCs w:val="0"/>
          <w:sz w:val="31"/>
          <w:szCs w:val="31"/>
          <w:lang w:val="en-US" w:eastAsia="zh-CN"/>
        </w:rPr>
        <w:t>129.70</w:t>
      </w:r>
      <w:r>
        <w:rPr>
          <w:rFonts w:hint="default" w:ascii="Times New Roman Regular" w:hAnsi="Times New Roman Regular" w:eastAsia="仿宋" w:cs="Times New Roman Regular"/>
          <w:b w:val="0"/>
          <w:bCs w:val="0"/>
          <w:sz w:val="31"/>
          <w:szCs w:val="31"/>
          <w:lang w:val="en-US" w:eastAsia="zh-CN"/>
        </w:rPr>
        <w:t>万元，其中</w:t>
      </w:r>
      <w:r>
        <w:rPr>
          <w:rFonts w:hint="default" w:ascii="Times New Roman Regular" w:hAnsi="Times New Roman Regular" w:eastAsia="仿宋" w:cs="Times New Roman Regular"/>
          <w:sz w:val="31"/>
          <w:szCs w:val="31"/>
        </w:rPr>
        <w:t>人员经费65.25万元，公用经费64.46万元</w:t>
      </w:r>
      <w:r>
        <w:rPr>
          <w:rFonts w:hint="default" w:ascii="Times New Roman Regular" w:hAnsi="Times New Roman Regular" w:eastAsia="仿宋" w:cs="Times New Roman Regular"/>
          <w:b w:val="0"/>
          <w:bCs w:val="0"/>
          <w:sz w:val="31"/>
          <w:szCs w:val="31"/>
          <w:lang w:val="en-US" w:eastAsia="zh-CN"/>
        </w:rPr>
        <w:t>。具体支出明细如下：</w:t>
      </w:r>
    </w:p>
    <w:tbl>
      <w:tblPr>
        <w:tblStyle w:val="17"/>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58"/>
        <w:gridCol w:w="4989"/>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rPr>
            </w:pPr>
            <w:r>
              <w:rPr>
                <w:rFonts w:hint="default" w:ascii="Times New Roman" w:hAnsi="Times New Roman" w:eastAsia="仿宋" w:cs="Times New Roman"/>
                <w:b/>
                <w:bCs/>
                <w:spacing w:val="-5"/>
                <w:sz w:val="21"/>
                <w:szCs w:val="21"/>
              </w:rPr>
              <w:t>序号</w:t>
            </w:r>
          </w:p>
        </w:tc>
        <w:tc>
          <w:tcPr>
            <w:tcW w:w="49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rPr>
            </w:pPr>
            <w:r>
              <w:rPr>
                <w:rFonts w:hint="default" w:ascii="Times New Roman" w:hAnsi="Times New Roman" w:eastAsia="仿宋" w:cs="Times New Roman"/>
                <w:b/>
                <w:bCs/>
                <w:spacing w:val="6"/>
                <w:sz w:val="21"/>
                <w:szCs w:val="21"/>
              </w:rPr>
              <w:t>支出项目</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rPr>
            </w:pPr>
            <w:r>
              <w:rPr>
                <w:rFonts w:hint="default" w:ascii="Times New Roman" w:hAnsi="Times New Roman" w:eastAsia="仿宋" w:cs="Times New Roman"/>
                <w:b/>
                <w:bCs/>
                <w:spacing w:val="4"/>
                <w:sz w:val="21"/>
                <w:szCs w:val="21"/>
              </w:rPr>
              <w:t>金额</w:t>
            </w:r>
            <w:r>
              <w:rPr>
                <w:rFonts w:hint="default" w:ascii="Times New Roman" w:hAnsi="Times New Roman" w:eastAsia="仿宋" w:cs="Times New Roman"/>
                <w:b/>
                <w:bCs/>
                <w:spacing w:val="4"/>
                <w:sz w:val="21"/>
                <w:szCs w:val="21"/>
                <w:lang w:eastAsia="zh-CN"/>
              </w:rPr>
              <w:t>（</w:t>
            </w:r>
            <w:r>
              <w:rPr>
                <w:rFonts w:hint="default" w:ascii="Times New Roman" w:hAnsi="Times New Roman" w:eastAsia="仿宋" w:cs="Times New Roman"/>
                <w:b/>
                <w:bCs/>
                <w:spacing w:val="4"/>
                <w:sz w:val="21"/>
                <w:szCs w:val="21"/>
              </w:rPr>
              <w:t>万元</w:t>
            </w:r>
            <w:r>
              <w:rPr>
                <w:rFonts w:hint="default" w:ascii="Times New Roman" w:hAnsi="Times New Roman" w:eastAsia="仿宋" w:cs="Times New Roman"/>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w:hAnsi="Times New Roman" w:eastAsia="仿宋" w:cs="Times New Roman"/>
                <w:b/>
                <w:bCs/>
                <w:sz w:val="21"/>
                <w:szCs w:val="21"/>
                <w:lang w:val="en-US" w:eastAsia="zh-CN"/>
              </w:rPr>
              <w:t>一</w:t>
            </w:r>
          </w:p>
        </w:tc>
        <w:tc>
          <w:tcPr>
            <w:tcW w:w="49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rPr>
            </w:pPr>
            <w:r>
              <w:rPr>
                <w:rFonts w:hint="default" w:ascii="Times New Roman" w:hAnsi="Times New Roman" w:eastAsia="仿宋" w:cs="Times New Roman"/>
                <w:b/>
                <w:bCs/>
                <w:spacing w:val="-5"/>
                <w:sz w:val="21"/>
                <w:szCs w:val="21"/>
              </w:rPr>
              <w:t>人员经费</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rPr>
            </w:pPr>
            <w:r>
              <w:rPr>
                <w:rFonts w:hint="eastAsia" w:ascii="Times New Roman" w:hAnsi="Times New Roman" w:eastAsia="仿宋" w:cs="Times New Roman"/>
                <w:b/>
                <w:bCs/>
                <w:spacing w:val="-4"/>
                <w:sz w:val="21"/>
                <w:szCs w:val="21"/>
                <w:lang w:val="en-US" w:eastAsia="zh-CN"/>
              </w:rPr>
              <w:t>65.25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bookmarkStart w:id="8" w:name="OLE_LINK1" w:colFirst="2" w:colLast="2"/>
            <w:r>
              <w:rPr>
                <w:rFonts w:hint="default" w:ascii="Times New Roman" w:hAnsi="Times New Roman" w:eastAsia="仿宋" w:cs="Times New Roman"/>
                <w:sz w:val="21"/>
                <w:szCs w:val="21"/>
                <w:lang w:val="en-US" w:eastAsia="zh-CN"/>
              </w:rPr>
              <w:t>1</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z w:val="24"/>
                <w:szCs w:val="24"/>
              </w:rPr>
            </w:pPr>
            <w:r>
              <w:rPr>
                <w:rFonts w:hint="eastAsia" w:ascii="仿宋" w:hAnsi="仿宋" w:eastAsia="仿宋" w:cs="仿宋"/>
                <w:i w:val="0"/>
                <w:iCs w:val="0"/>
                <w:color w:val="000000"/>
                <w:kern w:val="0"/>
                <w:sz w:val="22"/>
                <w:szCs w:val="22"/>
                <w:u w:val="none"/>
                <w:lang w:val="en-US" w:eastAsia="zh-CN" w:bidi="ar"/>
              </w:rPr>
              <w:t>基本工资</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w:hAnsi="Times New Roman" w:eastAsia="仿宋" w:cs="Times New Roman"/>
                <w:sz w:val="21"/>
                <w:szCs w:val="21"/>
                <w:lang w:val="en-US" w:eastAsia="zh-CN"/>
              </w:rPr>
              <w:t>2</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z w:val="24"/>
                <w:szCs w:val="24"/>
              </w:rPr>
            </w:pPr>
            <w:r>
              <w:rPr>
                <w:rFonts w:hint="eastAsia" w:ascii="仿宋" w:hAnsi="仿宋" w:eastAsia="仿宋" w:cs="仿宋"/>
                <w:i w:val="0"/>
                <w:iCs w:val="0"/>
                <w:color w:val="000000"/>
                <w:kern w:val="0"/>
                <w:sz w:val="22"/>
                <w:szCs w:val="22"/>
                <w:u w:val="none"/>
                <w:lang w:val="en-US" w:eastAsia="zh-CN" w:bidi="ar"/>
              </w:rPr>
              <w:t>津贴补贴</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kern w:val="0"/>
                <w:sz w:val="20"/>
                <w:szCs w:val="20"/>
                <w:u w:val="none"/>
                <w:lang w:eastAsia="zh-CN" w:bidi="ar"/>
              </w:rPr>
            </w:pPr>
            <w:r>
              <w:rPr>
                <w:rFonts w:hint="eastAsia" w:ascii="Times New Roman" w:hAnsi="Times New Roman" w:eastAsia="仿宋" w:cs="Times New Roman"/>
                <w:i w:val="0"/>
                <w:iCs w:val="0"/>
                <w:color w:val="000000"/>
                <w:kern w:val="0"/>
                <w:sz w:val="20"/>
                <w:szCs w:val="20"/>
                <w:u w:val="none"/>
                <w:lang w:val="en-US" w:eastAsia="zh-CN" w:bidi="ar"/>
              </w:rPr>
              <w:t>13.04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w:hAnsi="Times New Roman" w:eastAsia="仿宋" w:cs="Times New Roman"/>
                <w:sz w:val="21"/>
                <w:szCs w:val="21"/>
                <w:lang w:val="en-US" w:eastAsia="zh-CN"/>
              </w:rPr>
              <w:t>3</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spacing w:val="-2"/>
                <w:kern w:val="0"/>
                <w:sz w:val="24"/>
                <w:szCs w:val="24"/>
                <w:lang w:val="en-US" w:eastAsia="zh-CN"/>
              </w:rPr>
            </w:pPr>
            <w:r>
              <w:rPr>
                <w:rFonts w:hint="eastAsia" w:ascii="仿宋" w:hAnsi="仿宋" w:eastAsia="仿宋" w:cs="仿宋"/>
                <w:i w:val="0"/>
                <w:iCs w:val="0"/>
                <w:color w:val="000000"/>
                <w:kern w:val="0"/>
                <w:sz w:val="22"/>
                <w:szCs w:val="22"/>
                <w:u w:val="none"/>
                <w:lang w:val="en-US" w:eastAsia="zh-CN" w:bidi="ar"/>
              </w:rPr>
              <w:t>奖金</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snapToGrid/>
                <w:color w:val="000000"/>
                <w:spacing w:val="0"/>
                <w:kern w:val="0"/>
                <w:sz w:val="20"/>
                <w:szCs w:val="20"/>
                <w:u w:val="none"/>
                <w:lang w:eastAsia="zh-CN" w:bidi="ar"/>
              </w:rPr>
            </w:pPr>
            <w:r>
              <w:rPr>
                <w:rFonts w:hint="eastAsia" w:ascii="Times New Roman" w:hAnsi="Times New Roman" w:eastAsia="仿宋" w:cs="Times New Roman"/>
                <w:snapToGrid/>
                <w:color w:val="000000"/>
                <w:spacing w:val="0"/>
                <w:kern w:val="0"/>
                <w:sz w:val="20"/>
                <w:szCs w:val="20"/>
                <w:u w:val="none"/>
                <w:lang w:val="en-US" w:eastAsia="zh-CN" w:bidi="ar"/>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498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伙食补助费</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snapToGrid/>
                <w:color w:val="000000"/>
                <w:spacing w:val="0"/>
                <w:kern w:val="0"/>
                <w:sz w:val="20"/>
                <w:szCs w:val="20"/>
                <w:u w:val="none"/>
                <w:lang w:val="en-US" w:eastAsia="zh-CN" w:bidi="ar"/>
              </w:rPr>
            </w:pPr>
            <w:r>
              <w:rPr>
                <w:rFonts w:hint="eastAsia" w:ascii="Times New Roman" w:hAnsi="Times New Roman" w:eastAsia="仿宋" w:cs="Times New Roman"/>
                <w:snapToGrid/>
                <w:color w:val="000000"/>
                <w:spacing w:val="0"/>
                <w:kern w:val="0"/>
                <w:sz w:val="20"/>
                <w:szCs w:val="20"/>
                <w:u w:val="none"/>
                <w:lang w:val="en-US" w:eastAsia="zh-CN" w:bidi="ar"/>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498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绩效工资</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snapToGrid/>
                <w:color w:val="000000"/>
                <w:spacing w:val="0"/>
                <w:kern w:val="0"/>
                <w:sz w:val="20"/>
                <w:szCs w:val="20"/>
                <w:u w:val="none"/>
                <w:lang w:val="en-US" w:eastAsia="zh-CN" w:bidi="ar"/>
              </w:rPr>
            </w:pPr>
            <w:r>
              <w:rPr>
                <w:rFonts w:hint="eastAsia" w:ascii="Times New Roman" w:hAnsi="Times New Roman" w:eastAsia="仿宋" w:cs="Times New Roman"/>
                <w:snapToGrid/>
                <w:color w:val="000000"/>
                <w:spacing w:val="0"/>
                <w:kern w:val="0"/>
                <w:sz w:val="20"/>
                <w:szCs w:val="20"/>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w:hAnsi="Times New Roman" w:eastAsia="仿宋" w:cs="Times New Roman"/>
                <w:sz w:val="21"/>
                <w:szCs w:val="21"/>
                <w:lang w:val="en-US" w:eastAsia="zh-CN"/>
              </w:rPr>
              <w:t>6</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z w:val="24"/>
                <w:szCs w:val="24"/>
              </w:rPr>
            </w:pPr>
            <w:r>
              <w:rPr>
                <w:rFonts w:hint="eastAsia" w:ascii="仿宋" w:hAnsi="仿宋" w:eastAsia="仿宋" w:cs="仿宋"/>
                <w:i w:val="0"/>
                <w:iCs w:val="0"/>
                <w:color w:val="000000"/>
                <w:kern w:val="0"/>
                <w:sz w:val="22"/>
                <w:szCs w:val="22"/>
                <w:u w:val="none"/>
                <w:lang w:val="en-US" w:eastAsia="zh-CN" w:bidi="ar"/>
              </w:rPr>
              <w:t>机关事业单位基本养老保险缴费</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kern w:val="0"/>
                <w:sz w:val="20"/>
                <w:szCs w:val="20"/>
                <w:u w:val="none"/>
                <w:lang w:eastAsia="zh-CN" w:bidi="ar"/>
              </w:rPr>
            </w:pPr>
            <w:r>
              <w:rPr>
                <w:rFonts w:hint="eastAsia" w:ascii="Times New Roman" w:hAnsi="Times New Roman" w:eastAsia="仿宋" w:cs="Times New Roman"/>
                <w:i w:val="0"/>
                <w:iCs w:val="0"/>
                <w:color w:val="000000"/>
                <w:kern w:val="0"/>
                <w:sz w:val="20"/>
                <w:szCs w:val="20"/>
                <w:u w:val="none"/>
                <w:lang w:val="en-US" w:eastAsia="zh-CN" w:bidi="ar"/>
              </w:rPr>
              <w:t>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w:hAnsi="Times New Roman" w:eastAsia="仿宋" w:cs="Times New Roman"/>
                <w:sz w:val="21"/>
                <w:szCs w:val="21"/>
                <w:lang w:val="en-US" w:eastAsia="zh-CN"/>
              </w:rPr>
              <w:t>7</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z w:val="24"/>
                <w:szCs w:val="24"/>
              </w:rPr>
            </w:pPr>
            <w:r>
              <w:rPr>
                <w:rFonts w:hint="eastAsia" w:ascii="仿宋" w:hAnsi="仿宋" w:eastAsia="仿宋" w:cs="仿宋"/>
                <w:i w:val="0"/>
                <w:iCs w:val="0"/>
                <w:color w:val="000000"/>
                <w:kern w:val="0"/>
                <w:sz w:val="22"/>
                <w:szCs w:val="22"/>
                <w:u w:val="none"/>
                <w:lang w:val="en-US" w:eastAsia="zh-CN" w:bidi="ar"/>
              </w:rPr>
              <w:t>职工基本医疗保险缴费</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kern w:val="0"/>
                <w:sz w:val="20"/>
                <w:szCs w:val="20"/>
                <w:u w:val="none"/>
                <w:lang w:eastAsia="zh-CN" w:bidi="ar"/>
              </w:rPr>
            </w:pPr>
            <w:r>
              <w:rPr>
                <w:rFonts w:hint="eastAsia" w:ascii="Times New Roman" w:hAnsi="Times New Roman" w:eastAsia="仿宋" w:cs="Times New Roman"/>
                <w:i w:val="0"/>
                <w:iCs w:val="0"/>
                <w:color w:val="000000"/>
                <w:kern w:val="0"/>
                <w:sz w:val="20"/>
                <w:szCs w:val="20"/>
                <w:u w:val="none"/>
                <w:lang w:val="en-US" w:eastAsia="zh-CN" w:bidi="ar"/>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w:hAnsi="Times New Roman" w:eastAsia="仿宋" w:cs="Times New Roman"/>
                <w:sz w:val="21"/>
                <w:szCs w:val="21"/>
                <w:lang w:val="en-US" w:eastAsia="zh-CN"/>
              </w:rPr>
              <w:t>8</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kern w:val="0"/>
                <w:sz w:val="24"/>
                <w:szCs w:val="24"/>
              </w:rPr>
            </w:pPr>
            <w:r>
              <w:rPr>
                <w:rFonts w:hint="eastAsia" w:ascii="仿宋" w:hAnsi="仿宋" w:eastAsia="仿宋" w:cs="仿宋"/>
                <w:i w:val="0"/>
                <w:iCs w:val="0"/>
                <w:color w:val="000000"/>
                <w:kern w:val="0"/>
                <w:sz w:val="22"/>
                <w:szCs w:val="22"/>
                <w:u w:val="none"/>
                <w:lang w:val="en-US" w:eastAsia="zh-CN" w:bidi="ar"/>
              </w:rPr>
              <w:t>其他社会保障缴费</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spacing w:val="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w:hAnsi="Times New Roman" w:eastAsia="仿宋" w:cs="Times New Roman"/>
                <w:sz w:val="21"/>
                <w:szCs w:val="21"/>
                <w:lang w:val="en-US" w:eastAsia="zh-CN"/>
              </w:rPr>
              <w:t>9</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pacing w:val="1"/>
                <w:sz w:val="24"/>
                <w:szCs w:val="24"/>
              </w:rPr>
            </w:pPr>
            <w:r>
              <w:rPr>
                <w:rFonts w:hint="eastAsia" w:ascii="仿宋" w:hAnsi="仿宋" w:eastAsia="仿宋" w:cs="仿宋"/>
                <w:i w:val="0"/>
                <w:iCs w:val="0"/>
                <w:color w:val="000000"/>
                <w:kern w:val="0"/>
                <w:sz w:val="22"/>
                <w:szCs w:val="22"/>
                <w:u w:val="none"/>
                <w:lang w:val="en-US" w:eastAsia="zh-CN" w:bidi="ar"/>
              </w:rPr>
              <w:t>住房公积金</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spacing w:val="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w:t>
            </w:r>
          </w:p>
        </w:tc>
        <w:tc>
          <w:tcPr>
            <w:tcW w:w="498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其他工资福利支出</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w:hAnsi="Times New Roman" w:eastAsia="仿宋" w:cs="Times New Roman"/>
                <w:b/>
                <w:bCs/>
                <w:position w:val="-4"/>
                <w:sz w:val="21"/>
                <w:szCs w:val="21"/>
              </w:rPr>
              <w:t>二</w:t>
            </w:r>
          </w:p>
        </w:tc>
        <w:tc>
          <w:tcPr>
            <w:tcW w:w="49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w:hAnsi="Times New Roman" w:eastAsia="仿宋" w:cs="Times New Roman"/>
                <w:b/>
                <w:bCs/>
                <w:spacing w:val="-1"/>
                <w:sz w:val="21"/>
                <w:szCs w:val="21"/>
              </w:rPr>
              <w:t>公用经费</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w:hAnsi="Times New Roman" w:eastAsia="仿宋" w:cs="Times New Roman"/>
                <w:b/>
                <w:bCs/>
                <w:spacing w:val="-4"/>
                <w:sz w:val="21"/>
                <w:szCs w:val="21"/>
                <w:lang w:val="en-US" w:eastAsia="zh-CN"/>
              </w:rPr>
              <w:t>64.46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w:hAnsi="Times New Roman" w:eastAsia="仿宋" w:cs="Times New Roman"/>
                <w:sz w:val="21"/>
                <w:szCs w:val="21"/>
              </w:rPr>
              <w:t>1</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kern w:val="0"/>
                <w:sz w:val="24"/>
                <w:szCs w:val="24"/>
              </w:rPr>
            </w:pPr>
            <w:r>
              <w:rPr>
                <w:rFonts w:hint="default" w:ascii="Times New Roman" w:hAnsi="Times New Roman" w:eastAsia="仿宋" w:cs="Times New Roman"/>
                <w:i w:val="0"/>
                <w:iCs w:val="0"/>
                <w:color w:val="000000"/>
                <w:kern w:val="0"/>
                <w:sz w:val="22"/>
                <w:szCs w:val="22"/>
                <w:u w:val="none"/>
                <w:lang w:val="en-US" w:eastAsia="zh-CN" w:bidi="ar"/>
              </w:rPr>
              <w:t>办公费</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spacing w:val="0"/>
                <w:kern w:val="0"/>
                <w:sz w:val="20"/>
                <w:szCs w:val="20"/>
                <w:u w:val="none"/>
                <w:lang w:val="en-US" w:eastAsia="zh-CN" w:bidi="ar"/>
              </w:rPr>
            </w:pPr>
            <w:r>
              <w:rPr>
                <w:rFonts w:hint="default" w:ascii="Times New Roman" w:hAnsi="Times New Roman" w:eastAsia="仿宋" w:cs="Times New Roman"/>
                <w:i w:val="0"/>
                <w:iCs w:val="0"/>
                <w:color w:val="000000"/>
                <w:spacing w:val="0"/>
                <w:kern w:val="0"/>
                <w:sz w:val="20"/>
                <w:szCs w:val="20"/>
                <w:u w:val="none"/>
                <w:lang w:val="en-US" w:eastAsia="zh-CN" w:bidi="ar"/>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w:hAnsi="Times New Roman" w:eastAsia="仿宋" w:cs="Times New Roman"/>
                <w:sz w:val="21"/>
                <w:szCs w:val="21"/>
              </w:rPr>
              <w:t>2</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kern w:val="0"/>
                <w:sz w:val="24"/>
                <w:szCs w:val="24"/>
              </w:rPr>
            </w:pPr>
            <w:r>
              <w:rPr>
                <w:rFonts w:hint="default" w:ascii="Times New Roman" w:hAnsi="Times New Roman" w:eastAsia="仿宋" w:cs="Times New Roman"/>
                <w:i w:val="0"/>
                <w:iCs w:val="0"/>
                <w:color w:val="000000"/>
                <w:kern w:val="0"/>
                <w:sz w:val="22"/>
                <w:szCs w:val="22"/>
                <w:u w:val="none"/>
                <w:lang w:val="en-US" w:eastAsia="zh-CN" w:bidi="ar"/>
              </w:rPr>
              <w:t>印刷费</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spacing w:val="0"/>
                <w:kern w:val="0"/>
                <w:sz w:val="20"/>
                <w:szCs w:val="20"/>
                <w:u w:val="none"/>
                <w:lang w:val="en-US" w:eastAsia="zh-CN" w:bidi="ar"/>
              </w:rPr>
            </w:pPr>
            <w:r>
              <w:rPr>
                <w:rFonts w:hint="default" w:ascii="Times New Roman" w:hAnsi="Times New Roman" w:eastAsia="仿宋" w:cs="Times New Roman"/>
                <w:i w:val="0"/>
                <w:iCs w:val="0"/>
                <w:color w:val="000000"/>
                <w:spacing w:val="0"/>
                <w:kern w:val="0"/>
                <w:sz w:val="20"/>
                <w:szCs w:val="20"/>
                <w:u w:val="none"/>
                <w:lang w:val="en-US" w:eastAsia="zh-CN" w:bidi="ar"/>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w:hAnsi="Times New Roman" w:eastAsia="仿宋" w:cs="Times New Roman"/>
                <w:snapToGrid w:val="0"/>
                <w:color w:val="000000"/>
                <w:kern w:val="0"/>
                <w:sz w:val="21"/>
                <w:szCs w:val="21"/>
                <w:lang w:val="en-US" w:eastAsia="zh-CN"/>
              </w:rPr>
              <w:t>3</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pacing w:val="2"/>
                <w:sz w:val="24"/>
                <w:szCs w:val="24"/>
              </w:rPr>
            </w:pPr>
            <w:r>
              <w:rPr>
                <w:rFonts w:hint="default" w:ascii="Times New Roman" w:hAnsi="Times New Roman" w:eastAsia="仿宋" w:cs="Times New Roman"/>
                <w:i w:val="0"/>
                <w:iCs w:val="0"/>
                <w:color w:val="000000"/>
                <w:kern w:val="0"/>
                <w:sz w:val="22"/>
                <w:szCs w:val="22"/>
                <w:u w:val="none"/>
                <w:lang w:val="en-US" w:eastAsia="zh-CN" w:bidi="ar"/>
              </w:rPr>
              <w:t>劳务费</w:t>
            </w:r>
          </w:p>
        </w:tc>
        <w:tc>
          <w:tcPr>
            <w:tcW w:w="2080" w:type="dxa"/>
            <w:vAlign w:val="bottom"/>
          </w:tcPr>
          <w:p>
            <w:pPr>
              <w:keepNext w:val="0"/>
              <w:keepLines w:val="0"/>
              <w:widowControl/>
              <w:suppressLineNumbers w:val="0"/>
              <w:jc w:val="center"/>
              <w:textAlignment w:val="bottom"/>
              <w:rPr>
                <w:rFonts w:hint="eastAsia" w:ascii="Times New Roman" w:hAnsi="Times New Roman" w:eastAsia="仿宋" w:cs="Times New Roman"/>
                <w:color w:val="000000"/>
                <w:spacing w:val="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w:hAnsi="Times New Roman" w:eastAsia="仿宋" w:cs="Times New Roman"/>
                <w:snapToGrid w:val="0"/>
                <w:color w:val="000000"/>
                <w:kern w:val="0"/>
                <w:sz w:val="21"/>
                <w:szCs w:val="21"/>
                <w:lang w:val="en-US" w:eastAsia="zh-CN"/>
              </w:rPr>
              <w:t>4</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kern w:val="0"/>
                <w:sz w:val="24"/>
                <w:szCs w:val="24"/>
              </w:rPr>
            </w:pPr>
            <w:r>
              <w:rPr>
                <w:rFonts w:hint="eastAsia" w:ascii="Times New Roman" w:hAnsi="Times New Roman" w:eastAsia="仿宋" w:cs="Times New Roman"/>
                <w:i w:val="0"/>
                <w:iCs w:val="0"/>
                <w:color w:val="000000"/>
                <w:kern w:val="0"/>
                <w:sz w:val="22"/>
                <w:szCs w:val="22"/>
                <w:u w:val="none"/>
                <w:lang w:val="en-US" w:eastAsia="zh-CN" w:bidi="ar"/>
              </w:rPr>
              <w:t>委托业务费</w:t>
            </w:r>
          </w:p>
        </w:tc>
        <w:tc>
          <w:tcPr>
            <w:tcW w:w="2080" w:type="dxa"/>
            <w:vAlign w:val="bottom"/>
          </w:tcPr>
          <w:p>
            <w:pPr>
              <w:keepNext w:val="0"/>
              <w:keepLines w:val="0"/>
              <w:widowControl/>
              <w:suppressLineNumbers w:val="0"/>
              <w:jc w:val="center"/>
              <w:textAlignment w:val="bottom"/>
              <w:rPr>
                <w:rFonts w:hint="default" w:ascii="Times New Roman" w:hAnsi="Times New Roman" w:eastAsia="仿宋" w:cs="Times New Roman"/>
                <w:snapToGrid/>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31.09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w:hAnsi="Times New Roman" w:eastAsia="仿宋" w:cs="Times New Roman"/>
                <w:snapToGrid w:val="0"/>
                <w:color w:val="000000"/>
                <w:kern w:val="0"/>
                <w:sz w:val="21"/>
                <w:szCs w:val="21"/>
                <w:lang w:val="en-US" w:eastAsia="zh-CN"/>
              </w:rPr>
              <w:t>5</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kern w:val="0"/>
                <w:sz w:val="24"/>
                <w:szCs w:val="24"/>
              </w:rPr>
            </w:pPr>
            <w:r>
              <w:rPr>
                <w:rFonts w:hint="default" w:ascii="Times New Roman" w:hAnsi="Times New Roman" w:eastAsia="仿宋" w:cs="Times New Roman"/>
                <w:i w:val="0"/>
                <w:iCs w:val="0"/>
                <w:color w:val="000000"/>
                <w:kern w:val="0"/>
                <w:sz w:val="22"/>
                <w:szCs w:val="22"/>
                <w:u w:val="none"/>
                <w:lang w:val="en-US" w:eastAsia="zh-CN" w:bidi="ar"/>
              </w:rPr>
              <w:t>工会经费</w:t>
            </w:r>
          </w:p>
        </w:tc>
        <w:tc>
          <w:tcPr>
            <w:tcW w:w="2080" w:type="dxa"/>
            <w:vAlign w:val="bottom"/>
          </w:tcPr>
          <w:p>
            <w:pPr>
              <w:keepNext w:val="0"/>
              <w:keepLines w:val="0"/>
              <w:widowControl/>
              <w:suppressLineNumbers w:val="0"/>
              <w:jc w:val="center"/>
              <w:textAlignment w:val="bottom"/>
              <w:rPr>
                <w:rFonts w:hint="default" w:ascii="Times New Roman" w:hAnsi="Times New Roman" w:eastAsia="仿宋" w:cs="Times New Roman"/>
                <w:snapToGrid/>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lang w:val="en-US" w:eastAsia="zh-CN" w:bidi="ar-SA"/>
              </w:rPr>
            </w:pPr>
            <w:r>
              <w:rPr>
                <w:rFonts w:hint="eastAsia" w:ascii="Times New Roman" w:hAnsi="Times New Roman" w:eastAsia="仿宋" w:cs="Times New Roman"/>
                <w:snapToGrid w:val="0"/>
                <w:color w:val="000000"/>
                <w:spacing w:val="-6"/>
                <w:kern w:val="0"/>
                <w:sz w:val="21"/>
                <w:szCs w:val="21"/>
                <w:lang w:val="en-US" w:eastAsia="zh-CN"/>
              </w:rPr>
              <w:t>7</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kern w:val="0"/>
                <w:sz w:val="24"/>
                <w:szCs w:val="24"/>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其他交通费用</w:t>
            </w:r>
          </w:p>
        </w:tc>
        <w:tc>
          <w:tcPr>
            <w:tcW w:w="2080" w:type="dxa"/>
            <w:vAlign w:val="bottom"/>
          </w:tcPr>
          <w:p>
            <w:pPr>
              <w:keepNext w:val="0"/>
              <w:keepLines w:val="0"/>
              <w:widowControl/>
              <w:suppressLineNumbers w:val="0"/>
              <w:jc w:val="center"/>
              <w:textAlignment w:val="bottom"/>
              <w:rPr>
                <w:rFonts w:hint="default" w:ascii="Times New Roman" w:hAnsi="Times New Roman" w:eastAsia="仿宋" w:cs="Times New Roman"/>
                <w:snapToGrid/>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lang w:val="en-US" w:eastAsia="zh-CN" w:bidi="ar-SA"/>
              </w:rPr>
            </w:pPr>
            <w:r>
              <w:rPr>
                <w:rFonts w:hint="eastAsia" w:ascii="Times New Roman" w:hAnsi="Times New Roman" w:eastAsia="仿宋" w:cs="Times New Roman"/>
                <w:spacing w:val="-6"/>
                <w:sz w:val="21"/>
                <w:szCs w:val="21"/>
                <w:lang w:val="en-US" w:eastAsia="zh-CN"/>
              </w:rPr>
              <w:t>8</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kern w:val="0"/>
                <w:sz w:val="24"/>
                <w:szCs w:val="24"/>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其他商品和服务支出</w:t>
            </w:r>
          </w:p>
        </w:tc>
        <w:tc>
          <w:tcPr>
            <w:tcW w:w="2080" w:type="dxa"/>
            <w:vAlign w:val="bottom"/>
          </w:tcPr>
          <w:p>
            <w:pPr>
              <w:keepNext w:val="0"/>
              <w:keepLines w:val="0"/>
              <w:widowControl/>
              <w:suppressLineNumbers w:val="0"/>
              <w:jc w:val="center"/>
              <w:textAlignment w:val="bottom"/>
              <w:rPr>
                <w:rFonts w:hint="default" w:ascii="Times New Roman" w:hAnsi="Times New Roman" w:eastAsia="仿宋" w:cs="Times New Roman"/>
                <w:snapToGrid/>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lang w:val="en-US" w:eastAsia="zh-CN" w:bidi="ar-SA"/>
              </w:rPr>
            </w:pPr>
            <w:r>
              <w:rPr>
                <w:rFonts w:hint="eastAsia" w:ascii="Times New Roman" w:hAnsi="Times New Roman" w:eastAsia="仿宋" w:cs="Times New Roman"/>
                <w:spacing w:val="-6"/>
                <w:sz w:val="21"/>
                <w:szCs w:val="21"/>
                <w:lang w:val="en-US" w:eastAsia="zh-CN"/>
              </w:rPr>
              <w:t>9</w:t>
            </w:r>
          </w:p>
        </w:tc>
        <w:tc>
          <w:tcPr>
            <w:tcW w:w="4983"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snapToGrid w:val="0"/>
                <w:color w:val="000000"/>
                <w:kern w:val="0"/>
                <w:sz w:val="24"/>
                <w:szCs w:val="24"/>
                <w:lang w:val="en-US" w:eastAsia="zh-CN" w:bidi="ar-SA"/>
              </w:rPr>
            </w:pPr>
            <w:r>
              <w:rPr>
                <w:rFonts w:hint="eastAsia" w:ascii="Times New Roman" w:hAnsi="Times New Roman" w:eastAsia="仿宋" w:cs="Times New Roman"/>
                <w:i w:val="0"/>
                <w:iCs w:val="0"/>
                <w:color w:val="000000"/>
                <w:kern w:val="0"/>
                <w:sz w:val="22"/>
                <w:szCs w:val="22"/>
                <w:u w:val="none"/>
                <w:lang w:val="en-US" w:eastAsia="zh-CN" w:bidi="ar"/>
              </w:rPr>
              <w:t>办公设备购置</w:t>
            </w:r>
          </w:p>
        </w:tc>
        <w:tc>
          <w:tcPr>
            <w:tcW w:w="2080" w:type="dxa"/>
            <w:vAlign w:val="bottom"/>
          </w:tcPr>
          <w:p>
            <w:pPr>
              <w:keepNext w:val="0"/>
              <w:keepLines w:val="0"/>
              <w:widowControl/>
              <w:suppressLineNumbers w:val="0"/>
              <w:jc w:val="center"/>
              <w:textAlignment w:val="bottom"/>
              <w:rPr>
                <w:rFonts w:hint="default" w:ascii="Times New Roman" w:hAnsi="Times New Roman" w:eastAsia="仿宋" w:cs="Times New Roman"/>
                <w:snapToGrid/>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lang w:val="en-US" w:eastAsia="zh-CN" w:bidi="ar-SA"/>
              </w:rPr>
            </w:pPr>
            <w:r>
              <w:rPr>
                <w:rFonts w:hint="default" w:ascii="Times New Roman" w:hAnsi="Times New Roman" w:eastAsia="仿宋" w:cs="Times New Roman"/>
                <w:b/>
                <w:bCs/>
                <w:spacing w:val="-3"/>
                <w:sz w:val="21"/>
                <w:szCs w:val="21"/>
              </w:rPr>
              <w:t>合计</w:t>
            </w:r>
          </w:p>
        </w:tc>
        <w:tc>
          <w:tcPr>
            <w:tcW w:w="49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lang w:val="en-US" w:eastAsia="zh-CN" w:bidi="ar-SA"/>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仿宋" w:cs="Times New Roman"/>
                <w:b/>
                <w:bCs/>
                <w:snapToGrid/>
                <w:color w:val="auto"/>
                <w:spacing w:val="-4"/>
                <w:kern w:val="2"/>
                <w:sz w:val="21"/>
                <w:szCs w:val="21"/>
                <w:lang w:val="en-US" w:eastAsia="zh-CN" w:bidi="ar-SA"/>
              </w:rPr>
            </w:pPr>
            <w:r>
              <w:rPr>
                <w:rFonts w:hint="eastAsia" w:ascii="Times New Roman" w:hAnsi="Times New Roman" w:eastAsia="仿宋" w:cs="Times New Roman"/>
                <w:b/>
                <w:bCs/>
                <w:snapToGrid/>
                <w:color w:val="auto"/>
                <w:spacing w:val="-4"/>
                <w:kern w:val="2"/>
                <w:sz w:val="21"/>
                <w:szCs w:val="21"/>
                <w:lang w:val="en-US" w:eastAsia="zh-CN" w:bidi="ar-SA"/>
              </w:rPr>
              <w:t>129.70</w:t>
            </w:r>
          </w:p>
        </w:tc>
      </w:tr>
      <w:bookmarkEnd w:id="8"/>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ascii="Times New Roman" w:hAnsi="Times New Roman" w:eastAsia="仿宋" w:cs="Times New Roman"/>
          <w:b w:val="0"/>
          <w:bCs w:val="0"/>
          <w:color w:val="FF0000"/>
          <w:sz w:val="32"/>
          <w:szCs w:val="32"/>
          <w:lang w:val="en-US" w:eastAsia="zh-CN"/>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2022年度部门决算报表，</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2022年“三公经费”年初预算数为</w:t>
      </w:r>
      <w:r>
        <w:rPr>
          <w:rFonts w:hint="eastAsia" w:ascii="Times New Roman Regular" w:hAnsi="Times New Roman Regular" w:eastAsia="仿宋" w:cs="Times New Roman Regular"/>
          <w:b w:val="0"/>
          <w:bCs w:val="0"/>
          <w:sz w:val="31"/>
          <w:szCs w:val="31"/>
          <w:lang w:val="en-US" w:eastAsia="zh-CN"/>
        </w:rPr>
        <w:t>0.40</w:t>
      </w:r>
      <w:r>
        <w:rPr>
          <w:rFonts w:hint="default" w:ascii="Times New Roman Regular" w:hAnsi="Times New Roman Regular" w:eastAsia="仿宋" w:cs="Times New Roman Regular"/>
          <w:b w:val="0"/>
          <w:bCs w:val="0"/>
          <w:sz w:val="31"/>
          <w:szCs w:val="31"/>
          <w:lang w:val="en-US" w:eastAsia="zh-CN"/>
        </w:rPr>
        <w:t>万元，2022年共计支出</w:t>
      </w:r>
      <w:r>
        <w:rPr>
          <w:rFonts w:hint="eastAsia" w:ascii="Times New Roman Regular" w:hAnsi="Times New Roman Regular" w:eastAsia="仿宋" w:cs="Times New Roman Regular"/>
          <w:b w:val="0"/>
          <w:bCs w:val="0"/>
          <w:sz w:val="31"/>
          <w:szCs w:val="31"/>
          <w:lang w:val="en-US" w:eastAsia="zh-CN"/>
        </w:rPr>
        <w:t>0.00</w:t>
      </w:r>
      <w:r>
        <w:rPr>
          <w:rFonts w:hint="default" w:ascii="Times New Roman Regular" w:hAnsi="Times New Roman Regular" w:eastAsia="仿宋" w:cs="Times New Roman Regular"/>
          <w:b w:val="0"/>
          <w:bCs w:val="0"/>
          <w:sz w:val="31"/>
          <w:szCs w:val="31"/>
          <w:lang w:val="en-US" w:eastAsia="zh-CN"/>
        </w:rPr>
        <w:t>万元</w:t>
      </w:r>
      <w:r>
        <w:rPr>
          <w:rFonts w:hint="eastAsia" w:ascii="Times New Roman Regular" w:hAnsi="Times New Roman Regular" w:eastAsia="仿宋" w:cs="Times New Roman Regular"/>
          <w:b w:val="0"/>
          <w:bCs w:val="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9" w:name="_Toc17082"/>
      <w:r>
        <w:rPr>
          <w:rFonts w:hint="default" w:ascii="Times New Roman Regular" w:hAnsi="Times New Roman Regular" w:eastAsia="楷体" w:cs="Times New Roman Regular"/>
          <w:b/>
          <w:bCs/>
          <w:sz w:val="32"/>
          <w:szCs w:val="32"/>
          <w:lang w:val="en-US" w:eastAsia="zh-CN"/>
        </w:rPr>
        <w:t>（三）资金管理情况</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融媒体中心</w:t>
      </w:r>
      <w:r>
        <w:rPr>
          <w:rFonts w:hint="default" w:ascii="Times New Roman Regular" w:hAnsi="Times New Roman Regular" w:eastAsia="仿宋" w:cs="Times New Roman Regular"/>
          <w:b w:val="0"/>
          <w:bCs w:val="0"/>
          <w:sz w:val="32"/>
          <w:szCs w:val="32"/>
          <w:lang w:val="en-US" w:eastAsia="zh-CN"/>
        </w:rPr>
        <w:t>制定了《财务管理</w:t>
      </w:r>
      <w:r>
        <w:rPr>
          <w:rFonts w:hint="eastAsia" w:ascii="Times New Roman Regular" w:hAnsi="Times New Roman Regular" w:eastAsia="仿宋" w:cs="Times New Roman Regular"/>
          <w:b w:val="0"/>
          <w:bCs w:val="0"/>
          <w:sz w:val="32"/>
          <w:szCs w:val="32"/>
          <w:lang w:val="en-US" w:eastAsia="zh-CN"/>
        </w:rPr>
        <w:t>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从收入管理、支出管理、资产管理、财务监督等方面进行了有关规定，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严格按照有关财务制度，加强机关财务管理，节约使用资金，降低行政成本。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0" w:name="_Toc23316"/>
      <w:r>
        <w:rPr>
          <w:rFonts w:hint="default" w:ascii="Times New Roman Regular" w:hAnsi="Times New Roman Regular" w:eastAsia="黑体" w:cs="Times New Roman Regular"/>
          <w:b/>
          <w:bCs/>
          <w:kern w:val="2"/>
          <w:sz w:val="32"/>
          <w:szCs w:val="32"/>
          <w:lang w:val="en-US" w:eastAsia="zh-CN" w:bidi="ar-SA"/>
        </w:rPr>
        <w:t>三、制度建设情况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1" w:name="_Toc12490"/>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财务管理</w:t>
      </w:r>
      <w:r>
        <w:rPr>
          <w:rFonts w:hint="default" w:ascii="Times New Roman Regular" w:hAnsi="Times New Roman Regular" w:eastAsia="楷体" w:cs="Times New Roman Regular"/>
          <w:b/>
          <w:bCs/>
          <w:sz w:val="32"/>
          <w:szCs w:val="32"/>
          <w:lang w:val="en-US" w:eastAsia="zh-CN"/>
        </w:rPr>
        <w:t>制度建设情况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制定了《</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工作制度》，其中包含《</w:t>
      </w:r>
      <w:r>
        <w:rPr>
          <w:rFonts w:hint="eastAsia" w:ascii="Times New Roman Regular" w:hAnsi="Times New Roman Regular" w:eastAsia="仿宋" w:cs="Times New Roman Regular"/>
          <w:b w:val="0"/>
          <w:bCs w:val="0"/>
          <w:sz w:val="31"/>
          <w:szCs w:val="31"/>
          <w:lang w:val="en-US" w:eastAsia="zh-CN"/>
        </w:rPr>
        <w:t>财务管理制度</w:t>
      </w:r>
      <w:r>
        <w:rPr>
          <w:rFonts w:hint="default" w:ascii="Times New Roman Regular" w:hAnsi="Times New Roman Regular" w:eastAsia="仿宋" w:cs="Times New Roman Regular"/>
          <w:b w:val="0"/>
          <w:bCs w:val="0"/>
          <w:sz w:val="31"/>
          <w:szCs w:val="31"/>
          <w:lang w:val="en-US" w:eastAsia="zh-CN"/>
        </w:rPr>
        <w:t>》《</w:t>
      </w:r>
      <w:r>
        <w:rPr>
          <w:rFonts w:hint="eastAsia" w:ascii="Times New Roman Regular" w:hAnsi="Times New Roman Regular" w:eastAsia="仿宋" w:cs="Times New Roman Regular"/>
          <w:b w:val="0"/>
          <w:bCs w:val="0"/>
          <w:sz w:val="31"/>
          <w:szCs w:val="31"/>
          <w:lang w:val="en-US" w:eastAsia="zh-CN"/>
        </w:rPr>
        <w:t>资金管理制度</w:t>
      </w:r>
      <w:r>
        <w:rPr>
          <w:rFonts w:hint="default" w:ascii="Times New Roman Regular" w:hAnsi="Times New Roman Regular" w:eastAsia="仿宋" w:cs="Times New Roman Regular"/>
          <w:b w:val="0"/>
          <w:bCs w:val="0"/>
          <w:sz w:val="31"/>
          <w:szCs w:val="31"/>
          <w:lang w:val="en-US" w:eastAsia="zh-CN"/>
        </w:rPr>
        <w:t>》等各项工作制度</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对</w:t>
      </w:r>
      <w:r>
        <w:rPr>
          <w:rFonts w:hint="eastAsia" w:ascii="Times New Roman Regular" w:hAnsi="Times New Roman Regular" w:eastAsia="仿宋" w:cs="Times New Roman Regular"/>
          <w:b w:val="0"/>
          <w:bCs w:val="0"/>
          <w:sz w:val="31"/>
          <w:szCs w:val="31"/>
          <w:lang w:val="en-US" w:eastAsia="zh-CN"/>
        </w:rPr>
        <w:t>收入管理、经费申报和审批、财务报账制度、</w:t>
      </w:r>
      <w:r>
        <w:rPr>
          <w:rFonts w:hint="default" w:ascii="Times New Roman Regular" w:hAnsi="Times New Roman Regular" w:eastAsia="仿宋" w:cs="Times New Roman Regular"/>
          <w:b w:val="0"/>
          <w:bCs w:val="0"/>
          <w:sz w:val="31"/>
          <w:szCs w:val="31"/>
          <w:lang w:val="en-US" w:eastAsia="zh-CN"/>
        </w:rPr>
        <w:t>日常管理等做出了具体规定。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2" w:name="_Toc2699"/>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在《财务管理制度》对有关资产管理进行了规定。</w:t>
      </w:r>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截</w:t>
      </w:r>
      <w:r>
        <w:rPr>
          <w:rFonts w:hint="eastAsia" w:ascii="Times New Roman Regular" w:hAnsi="Times New Roman Regular" w:eastAsia="仿宋" w:cs="Times New Roman Regular"/>
          <w:b w:val="0"/>
          <w:bCs w:val="0"/>
          <w:sz w:val="31"/>
          <w:szCs w:val="31"/>
          <w:lang w:val="en-US" w:eastAsia="zh-CN"/>
        </w:rPr>
        <w:t>至</w:t>
      </w:r>
      <w:r>
        <w:rPr>
          <w:rFonts w:hint="default" w:ascii="Times New Roman Regular" w:hAnsi="Times New Roman Regular" w:eastAsia="仿宋" w:cs="Times New Roman Regular"/>
          <w:b w:val="0"/>
          <w:bCs w:val="0"/>
          <w:sz w:val="31"/>
          <w:szCs w:val="31"/>
          <w:lang w:val="en-US" w:eastAsia="zh-CN"/>
        </w:rPr>
        <w:t>2022年12月31日，</w:t>
      </w:r>
      <w:r>
        <w:rPr>
          <w:rFonts w:hint="eastAsia" w:ascii="Times New Roman Regular" w:hAnsi="Times New Roman Regular" w:eastAsia="仿宋" w:cs="Times New Roman Regular"/>
          <w:b w:val="0"/>
          <w:bCs w:val="0"/>
          <w:sz w:val="31"/>
          <w:szCs w:val="31"/>
          <w:lang w:val="en-US" w:eastAsia="zh-CN"/>
        </w:rPr>
        <w:t>邵阳市北塔区融媒体中心</w:t>
      </w:r>
      <w:r>
        <w:rPr>
          <w:rFonts w:hint="default" w:ascii="Times New Roman Regular" w:hAnsi="Times New Roman Regular" w:eastAsia="仿宋" w:cs="Times New Roman Regular"/>
          <w:b w:val="0"/>
          <w:bCs w:val="0"/>
          <w:sz w:val="31"/>
          <w:szCs w:val="31"/>
          <w:lang w:val="en-US" w:eastAsia="zh-CN"/>
        </w:rPr>
        <w:t>固定资产账面原值</w:t>
      </w:r>
      <w:r>
        <w:rPr>
          <w:rFonts w:hint="eastAsia" w:ascii="Times New Roman Regular" w:hAnsi="Times New Roman Regular" w:eastAsia="仿宋" w:cs="Times New Roman Regular"/>
          <w:b w:val="0"/>
          <w:bCs w:val="0"/>
          <w:sz w:val="31"/>
          <w:szCs w:val="31"/>
          <w:lang w:val="en-US" w:eastAsia="zh-CN"/>
        </w:rPr>
        <w:t>74.93</w:t>
      </w:r>
      <w:r>
        <w:rPr>
          <w:rFonts w:hint="default" w:ascii="Times New Roman Regular" w:hAnsi="Times New Roman Regular" w:eastAsia="仿宋" w:cs="Times New Roman Regular"/>
          <w:b w:val="0"/>
          <w:bCs w:val="0"/>
          <w:sz w:val="31"/>
          <w:szCs w:val="31"/>
          <w:lang w:val="en-US" w:eastAsia="zh-CN"/>
        </w:rPr>
        <w:t>万元。其中：通用设备</w:t>
      </w:r>
      <w:r>
        <w:rPr>
          <w:rFonts w:hint="eastAsia" w:ascii="Times New Roman Regular" w:hAnsi="Times New Roman Regular" w:eastAsia="仿宋" w:cs="Times New Roman Regular"/>
          <w:b w:val="0"/>
          <w:bCs w:val="0"/>
          <w:sz w:val="31"/>
          <w:szCs w:val="31"/>
          <w:lang w:val="en-US" w:eastAsia="zh-CN"/>
        </w:rPr>
        <w:t>61.07</w:t>
      </w:r>
      <w:r>
        <w:rPr>
          <w:rFonts w:hint="default" w:ascii="Times New Roman Regular" w:hAnsi="Times New Roman Regular" w:eastAsia="仿宋" w:cs="Times New Roman Regular"/>
          <w:b w:val="0"/>
          <w:bCs w:val="0"/>
          <w:sz w:val="31"/>
          <w:szCs w:val="31"/>
          <w:lang w:val="en-US" w:eastAsia="zh-CN"/>
        </w:rPr>
        <w:t>万元；家具、用具、装具及动植物</w:t>
      </w:r>
      <w:r>
        <w:rPr>
          <w:rFonts w:hint="eastAsia" w:ascii="Times New Roman Regular" w:hAnsi="Times New Roman Regular" w:eastAsia="仿宋" w:cs="Times New Roman Regular"/>
          <w:b w:val="0"/>
          <w:bCs w:val="0"/>
          <w:sz w:val="31"/>
          <w:szCs w:val="31"/>
          <w:lang w:val="en-US" w:eastAsia="zh-CN"/>
        </w:rPr>
        <w:t>13.25</w:t>
      </w:r>
      <w:r>
        <w:rPr>
          <w:rFonts w:hint="default" w:ascii="Times New Roman Regular" w:hAnsi="Times New Roman Regular" w:eastAsia="仿宋" w:cs="Times New Roman Regular"/>
          <w:b w:val="0"/>
          <w:bCs w:val="0"/>
          <w:sz w:val="31"/>
          <w:szCs w:val="31"/>
          <w:lang w:val="en-US" w:eastAsia="zh-CN"/>
        </w:rPr>
        <w:t>万元；土地、房屋及构筑物</w:t>
      </w:r>
      <w:r>
        <w:rPr>
          <w:rFonts w:hint="eastAsia" w:ascii="Times New Roman Regular" w:hAnsi="Times New Roman Regular" w:eastAsia="仿宋" w:cs="Times New Roman Regular"/>
          <w:b w:val="0"/>
          <w:bCs w:val="0"/>
          <w:sz w:val="31"/>
          <w:szCs w:val="31"/>
          <w:lang w:val="en-US" w:eastAsia="zh-CN"/>
        </w:rPr>
        <w:t>0</w:t>
      </w:r>
      <w:r>
        <w:rPr>
          <w:rFonts w:hint="default" w:ascii="Times New Roman Regular" w:hAnsi="Times New Roman Regular" w:eastAsia="仿宋" w:cs="Times New Roman Regular"/>
          <w:b w:val="0"/>
          <w:bCs w:val="0"/>
          <w:sz w:val="31"/>
          <w:szCs w:val="31"/>
          <w:lang w:val="en-US" w:eastAsia="zh-CN"/>
        </w:rPr>
        <w:t>万元；专用设备</w:t>
      </w:r>
      <w:r>
        <w:rPr>
          <w:rFonts w:hint="eastAsia" w:ascii="Times New Roman Regular" w:hAnsi="Times New Roman Regular" w:eastAsia="仿宋" w:cs="Times New Roman Regular"/>
          <w:b w:val="0"/>
          <w:bCs w:val="0"/>
          <w:sz w:val="31"/>
          <w:szCs w:val="31"/>
          <w:lang w:val="en-US" w:eastAsia="zh-CN"/>
        </w:rPr>
        <w:t>0.61</w:t>
      </w:r>
      <w:r>
        <w:rPr>
          <w:rFonts w:hint="default" w:ascii="Times New Roman Regular" w:hAnsi="Times New Roman Regular" w:eastAsia="仿宋" w:cs="Times New Roman Regular"/>
          <w:b w:val="0"/>
          <w:bCs w:val="0"/>
          <w:sz w:val="31"/>
          <w:szCs w:val="31"/>
          <w:lang w:val="en-US" w:eastAsia="zh-CN"/>
        </w:rPr>
        <w:t>万元。固定资产在用</w:t>
      </w:r>
      <w:r>
        <w:rPr>
          <w:rFonts w:hint="eastAsia" w:ascii="Times New Roman Regular" w:hAnsi="Times New Roman Regular" w:eastAsia="仿宋" w:cs="Times New Roman Regular"/>
          <w:b w:val="0"/>
          <w:bCs w:val="0"/>
          <w:sz w:val="31"/>
          <w:szCs w:val="31"/>
          <w:lang w:val="en-US" w:eastAsia="zh-CN"/>
        </w:rPr>
        <w:t>74.93</w:t>
      </w:r>
      <w:r>
        <w:rPr>
          <w:rFonts w:hint="default" w:ascii="Times New Roman Regular" w:hAnsi="Times New Roman Regular" w:eastAsia="仿宋" w:cs="Times New Roman Regular"/>
          <w:b w:val="0"/>
          <w:bCs w:val="0"/>
          <w:sz w:val="31"/>
          <w:szCs w:val="31"/>
          <w:lang w:val="en-US" w:eastAsia="zh-CN"/>
        </w:rPr>
        <w:t>万元，资产使用率</w:t>
      </w:r>
      <w:r>
        <w:rPr>
          <w:rFonts w:hint="eastAsia" w:ascii="Times New Roman Regular" w:hAnsi="Times New Roman Regular" w:eastAsia="仿宋" w:cs="Times New Roman Regular"/>
          <w:b w:val="0"/>
          <w:bCs w:val="0"/>
          <w:sz w:val="31"/>
          <w:szCs w:val="31"/>
          <w:lang w:val="en-US" w:eastAsia="zh-CN"/>
        </w:rPr>
        <w:t>100</w:t>
      </w:r>
      <w:r>
        <w:rPr>
          <w:rFonts w:hint="default" w:ascii="Times New Roman Regular" w:hAnsi="Times New Roman Regular" w:eastAsia="仿宋" w:cs="Times New Roman Regular"/>
          <w:b w:val="0"/>
          <w:bCs w:val="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3" w:name="_Toc1805"/>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融媒体中心在《</w:t>
      </w:r>
      <w:r>
        <w:rPr>
          <w:rFonts w:hint="default" w:ascii="Times New Roman Regular" w:hAnsi="Times New Roman Regular" w:eastAsia="仿宋" w:cs="Times New Roman Regular"/>
          <w:b w:val="0"/>
          <w:bCs w:val="0"/>
          <w:sz w:val="31"/>
          <w:szCs w:val="31"/>
          <w:lang w:val="en-US" w:eastAsia="zh-CN"/>
        </w:rPr>
        <w:t>政府采购管理制度</w:t>
      </w:r>
      <w:r>
        <w:rPr>
          <w:rFonts w:hint="eastAsia" w:ascii="Times New Roman Regular" w:hAnsi="Times New Roman Regular" w:eastAsia="仿宋" w:cs="Times New Roman Regular"/>
          <w:b w:val="0"/>
          <w:bCs w:val="0"/>
          <w:sz w:val="32"/>
          <w:szCs w:val="32"/>
          <w:lang w:val="en-US" w:eastAsia="zh-CN"/>
        </w:rPr>
        <w:t>》中明确了政府采购相关规定</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4" w:name="_Toc25834"/>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5" w:name="_Toc16153"/>
      <w:r>
        <w:rPr>
          <w:rFonts w:hint="default" w:ascii="Times New Roman Regular" w:hAnsi="Times New Roman Regular" w:eastAsia="楷体" w:cs="Times New Roman Regular"/>
          <w:b/>
          <w:bCs/>
          <w:sz w:val="32"/>
          <w:szCs w:val="32"/>
          <w:lang w:val="en-US" w:eastAsia="zh-CN"/>
        </w:rPr>
        <w:t>（一）重点绩效评价目的</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6" w:name="_Toc19302"/>
      <w:r>
        <w:rPr>
          <w:rFonts w:hint="default" w:ascii="Times New Roman Regular" w:hAnsi="Times New Roman Regular" w:eastAsia="楷体" w:cs="Times New Roman Regular"/>
          <w:b/>
          <w:bCs/>
          <w:sz w:val="32"/>
          <w:szCs w:val="32"/>
          <w:lang w:val="en-US" w:eastAsia="zh-CN"/>
        </w:rPr>
        <w:t>（二）重点绩效评价工作过程</w:t>
      </w:r>
      <w:bookmarkEnd w:id="16"/>
    </w:p>
    <w:p>
      <w:pPr>
        <w:numPr>
          <w:ilvl w:val="0"/>
          <w:numId w:val="0"/>
        </w:numPr>
        <w:ind w:firstLine="64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2"/>
          <w:szCs w:val="32"/>
          <w:lang w:val="en-US" w:eastAsia="zh-CN"/>
        </w:rPr>
        <w:t>参考</w:t>
      </w:r>
      <w:r>
        <w:rPr>
          <w:rFonts w:hint="default" w:ascii="Times New Roman" w:hAnsi="Times New Roman" w:eastAsia="仿宋_GB2312"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融媒体中心</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7" w:name="_Toc13155"/>
      <w:r>
        <w:rPr>
          <w:rFonts w:hint="default" w:ascii="Times New Roman Regular" w:hAnsi="Times New Roman Regular" w:eastAsia="黑体" w:cs="Times New Roman Regular"/>
          <w:b/>
          <w:bCs/>
          <w:kern w:val="2"/>
          <w:sz w:val="32"/>
          <w:szCs w:val="32"/>
          <w:lang w:val="en-US" w:eastAsia="zh-CN" w:bidi="ar-SA"/>
        </w:rPr>
        <w:t>五、部门整体支出绩效情况</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8" w:name="_Toc31850"/>
      <w:r>
        <w:rPr>
          <w:rFonts w:hint="default" w:ascii="Times New Roman Regular" w:hAnsi="Times New Roman Regular" w:eastAsia="楷体" w:cs="Times New Roman Regular"/>
          <w:b/>
          <w:bCs/>
          <w:sz w:val="32"/>
          <w:szCs w:val="32"/>
          <w:lang w:val="en-US" w:eastAsia="zh-CN"/>
        </w:rPr>
        <w:t>（一）部门整体实际产出情况</w:t>
      </w:r>
      <w:bookmarkEnd w:id="18"/>
    </w:p>
    <w:p>
      <w:pPr>
        <w:pStyle w:val="10"/>
        <w:ind w:firstLine="620" w:firstLineChars="200"/>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1、新闻宣传全媒发力。今年上半年，中心紧紧围绕迎接党的二十大召开、“四区二城”、疫情防控、乡村振兴、创建全国文明城市等重大主题，在全媒体平台开办专题专栏，开展全媒体宣传，自身平台共发稿近 1700 条。在中央省市各级主流媒体平台累计发稿近 500 篇。其中，在中央级媒体上稿 68篇，在学习强国上稿 10 条；在湖南日报发表市州版头条2条，其他版面5条；省级主流上稿近 100篇：在邵阳日报发表头版头条6条，县区版头条 6条，头版文章 6 条。</w:t>
      </w:r>
    </w:p>
    <w:p>
      <w:pPr>
        <w:pStyle w:val="10"/>
        <w:ind w:firstLine="620" w:firstLineChars="200"/>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2、融媒视频量质齐升。今年以来，制作视频号、抖音号短视频 42 条。与去年相比，数量、质量实现了双提升。在策划制作时强化群众视角、运用群众语言、回应群众关切，作品“接地气”“带露珠”“有温度”。《北塔区疫情防控小剧场》《志愿者化身快递哥》《田江种出新希望》《致敬最美劳动者》等一批短视频得到了市区领导和广大群众的好评和点赞。</w:t>
      </w:r>
    </w:p>
    <w:p>
      <w:pPr>
        <w:pStyle w:val="10"/>
        <w:ind w:firstLine="620" w:firstLineChars="200"/>
        <w:rPr>
          <w:rFonts w:hint="default"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sz w:val="31"/>
          <w:szCs w:val="31"/>
          <w:lang w:val="en-US" w:eastAsia="zh-CN"/>
        </w:rPr>
        <w:t>3、全力提升粉丝数量。在全区各单位的大力支持下，在中心干部的不懈努力下，“北塔发布”公众号粉丝数量从原来的4648人上升到了目前的 27507 人。“精美北塔”APP粉丝数量从原来的1800 人上升到了26928 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9" w:name="_Toc26444"/>
      <w:r>
        <w:rPr>
          <w:rFonts w:hint="default" w:ascii="Times New Roman Regular" w:hAnsi="Times New Roman Regular" w:eastAsia="楷体" w:cs="Times New Roman Regular"/>
          <w:b/>
          <w:bCs/>
          <w:sz w:val="32"/>
          <w:szCs w:val="32"/>
          <w:lang w:val="en-US" w:eastAsia="zh-CN"/>
        </w:rPr>
        <w:t>（二）部门整体效益情况</w:t>
      </w:r>
      <w:bookmarkEnd w:id="19"/>
    </w:p>
    <w:p>
      <w:pPr>
        <w:pStyle w:val="10"/>
        <w:ind w:firstLine="620" w:firstLineChars="200"/>
        <w:rPr>
          <w:rFonts w:hint="eastAsia" w:ascii="仿宋_GB2312" w:hAnsi="Times New Roman" w:eastAsia="仿宋_GB2312" w:cs="Times New Roman"/>
          <w:b w:val="0"/>
          <w:kern w:val="2"/>
          <w:sz w:val="32"/>
          <w:szCs w:val="32"/>
          <w:lang w:val="en-US" w:eastAsia="zh-CN" w:bidi="ar-SA"/>
        </w:rPr>
      </w:pPr>
      <w:r>
        <w:rPr>
          <w:rFonts w:hint="eastAsia" w:ascii="Times New Roman Regular" w:hAnsi="Times New Roman Regular" w:eastAsia="仿宋" w:cs="Times New Roman Regular"/>
          <w:b w:val="0"/>
          <w:bCs w:val="0"/>
          <w:sz w:val="31"/>
          <w:szCs w:val="31"/>
          <w:lang w:val="en-US" w:eastAsia="zh-CN"/>
        </w:rPr>
        <w:t>1、</w:t>
      </w:r>
      <w:r>
        <w:rPr>
          <w:rFonts w:hint="eastAsia" w:ascii="仿宋_GB2312" w:hAnsi="Times New Roman" w:eastAsia="仿宋_GB2312" w:cs="Times New Roman"/>
          <w:b w:val="0"/>
          <w:kern w:val="2"/>
          <w:sz w:val="32"/>
          <w:szCs w:val="32"/>
          <w:lang w:val="en-US" w:eastAsia="zh-CN" w:bidi="ar-SA"/>
        </w:rPr>
        <w:t>产出</w:t>
      </w:r>
    </w:p>
    <w:p>
      <w:pPr>
        <w:pStyle w:val="10"/>
        <w:ind w:firstLine="620" w:firstLineChars="200"/>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数量指标2个均完成指标值。正面宣传：自身平台发稿1900条；融媒视频：北塔发布视频号发布视频数165个；</w:t>
      </w:r>
    </w:p>
    <w:p>
      <w:pPr>
        <w:pStyle w:val="10"/>
        <w:ind w:firstLine="620" w:firstLineChars="200"/>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质量指标完成2个指标值。中央级媒体上稿71篇、省级主流上稿近145篇、在邵阳日报发表头版头条10条、县区版头条12条、头版文章20条；转载省、市级主流媒体视频110个、原创视频55个；</w:t>
      </w:r>
    </w:p>
    <w:p>
      <w:pPr>
        <w:pStyle w:val="10"/>
        <w:ind w:firstLine="620" w:firstLineChars="200"/>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时效指标1个已完成指标值。重点工作按时办结100%。</w:t>
      </w:r>
    </w:p>
    <w:p>
      <w:pPr>
        <w:pStyle w:val="10"/>
        <w:ind w:firstLine="620" w:firstLineChars="200"/>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成本指标1个已完成指标值。各项业务经费未超出预算，未超支审批。</w:t>
      </w:r>
    </w:p>
    <w:p>
      <w:pPr>
        <w:pStyle w:val="10"/>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2、效益</w:t>
      </w:r>
    </w:p>
    <w:p>
      <w:pPr>
        <w:pStyle w:val="10"/>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宣传提升北塔知名度，促进北塔招商引资提升社会收入；着力打造学习型机关；提升“精美北塔”“北塔发布”公众号粉丝；疫情彰显融媒担当；深入学习宣传党的二十大精神。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20" w:name="_Toc14831"/>
      <w:r>
        <w:rPr>
          <w:rFonts w:hint="default" w:ascii="Times New Roman Regular" w:hAnsi="Times New Roman Regular" w:eastAsia="楷体" w:cs="Times New Roman Regular"/>
          <w:b/>
          <w:bCs/>
          <w:sz w:val="32"/>
          <w:szCs w:val="32"/>
          <w:lang w:val="en-US" w:eastAsia="zh-CN"/>
        </w:rPr>
        <w:t>（三）部门整体满意度</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绩效评价小组针对</w:t>
      </w:r>
      <w:r>
        <w:rPr>
          <w:rFonts w:hint="eastAsia" w:ascii="Times New Roman Regular" w:hAnsi="Times New Roman Regular" w:eastAsia="仿宋" w:cs="Times New Roman Regular"/>
          <w:b w:val="0"/>
          <w:bCs w:val="0"/>
          <w:color w:val="auto"/>
          <w:sz w:val="32"/>
          <w:szCs w:val="32"/>
          <w:lang w:val="en-US" w:eastAsia="zh-CN"/>
        </w:rPr>
        <w:t>融媒体中心</w:t>
      </w:r>
      <w:r>
        <w:rPr>
          <w:rFonts w:hint="default" w:ascii="Times New Roman Regular" w:hAnsi="Times New Roman Regular" w:eastAsia="仿宋" w:cs="Times New Roman Regular"/>
          <w:b w:val="0"/>
          <w:bCs w:val="0"/>
          <w:color w:val="auto"/>
          <w:sz w:val="32"/>
          <w:szCs w:val="32"/>
          <w:lang w:val="en-US" w:eastAsia="zh-CN"/>
        </w:rPr>
        <w:t>整体情况通过</w:t>
      </w:r>
      <w:r>
        <w:rPr>
          <w:rFonts w:hint="eastAsia" w:ascii="Times New Roman Regular" w:hAnsi="Times New Roman Regular" w:eastAsia="仿宋" w:cs="Times New Roman Regular"/>
          <w:b w:val="0"/>
          <w:bCs w:val="0"/>
          <w:color w:val="auto"/>
          <w:sz w:val="32"/>
          <w:szCs w:val="32"/>
          <w:lang w:val="en-US" w:eastAsia="zh-CN"/>
        </w:rPr>
        <w:t>电子问卷向单位职工</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相关受益群体</w:t>
      </w:r>
      <w:r>
        <w:rPr>
          <w:rFonts w:hint="default" w:ascii="Times New Roman Regular" w:hAnsi="Times New Roman Regular" w:eastAsia="仿宋" w:cs="Times New Roman Regular"/>
          <w:b w:val="0"/>
          <w:bCs w:val="0"/>
          <w:color w:val="auto"/>
          <w:sz w:val="32"/>
          <w:szCs w:val="32"/>
          <w:lang w:val="en-US" w:eastAsia="zh-CN"/>
        </w:rPr>
        <w:t>发放问卷进行满意度调查，共收集有效问卷</w:t>
      </w:r>
      <w:r>
        <w:rPr>
          <w:rFonts w:hint="eastAsia" w:ascii="Times New Roman Regular" w:hAnsi="Times New Roman Regular" w:eastAsia="仿宋" w:cs="Times New Roman Regular"/>
          <w:b w:val="0"/>
          <w:bCs w:val="0"/>
          <w:color w:val="auto"/>
          <w:sz w:val="32"/>
          <w:szCs w:val="32"/>
          <w:lang w:val="en-US" w:eastAsia="zh-CN"/>
        </w:rPr>
        <w:t>21</w:t>
      </w:r>
      <w:r>
        <w:rPr>
          <w:rFonts w:hint="default" w:ascii="Times New Roman Regular" w:hAnsi="Times New Roman Regular" w:eastAsia="仿宋" w:cs="Times New Roman Regular"/>
          <w:b w:val="0"/>
          <w:bCs w:val="0"/>
          <w:color w:val="auto"/>
          <w:sz w:val="32"/>
          <w:szCs w:val="32"/>
          <w:lang w:val="en-US" w:eastAsia="zh-CN"/>
        </w:rPr>
        <w:t>份。经统计，2022年</w:t>
      </w:r>
      <w:r>
        <w:rPr>
          <w:rFonts w:hint="eastAsia" w:ascii="Times New Roman Regular" w:hAnsi="Times New Roman Regular" w:eastAsia="仿宋" w:cs="Times New Roman Regular"/>
          <w:b w:val="0"/>
          <w:bCs w:val="0"/>
          <w:color w:val="auto"/>
          <w:sz w:val="32"/>
          <w:szCs w:val="32"/>
          <w:lang w:val="en-US" w:eastAsia="zh-CN"/>
        </w:rPr>
        <w:t>融媒体中心</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100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21" w:name="_Toc6299"/>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21"/>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根据资金绩效评价指标体系和绩效检查情况，</w:t>
      </w:r>
      <w:r>
        <w:rPr>
          <w:rFonts w:hint="eastAsia" w:ascii="Times New Roman" w:hAnsi="Times New Roman" w:eastAsia="仿宋" w:cs="Times New Roman"/>
          <w:b w:val="0"/>
          <w:bCs w:val="0"/>
          <w:sz w:val="31"/>
          <w:szCs w:val="31"/>
          <w:lang w:val="en-US" w:eastAsia="zh-CN"/>
        </w:rPr>
        <w:t>根据</w:t>
      </w:r>
      <w:r>
        <w:rPr>
          <w:rFonts w:hint="default" w:ascii="Times New Roman" w:hAnsi="Times New Roman" w:eastAsia="仿宋" w:cs="Times New Roman"/>
          <w:kern w:val="2"/>
          <w:sz w:val="32"/>
          <w:szCs w:val="32"/>
          <w:lang w:val="en-US" w:eastAsia="zh-CN" w:bidi="ar-SA"/>
        </w:rPr>
        <w:t>《邵阳市北塔区融媒体中心2022年度部门整体支出绩效评价指标表》等方面具体指标综合评分，得分为9</w:t>
      </w:r>
      <w:r>
        <w:rPr>
          <w:rFonts w:hint="eastAsia" w:ascii="Times New Roman" w:hAnsi="Times New Roman" w:eastAsia="仿宋" w:cs="Times New Roman"/>
          <w:kern w:val="2"/>
          <w:sz w:val="32"/>
          <w:szCs w:val="32"/>
          <w:lang w:val="en-US" w:eastAsia="zh-CN" w:bidi="ar-SA"/>
        </w:rPr>
        <w:t>4</w:t>
      </w:r>
      <w:r>
        <w:rPr>
          <w:rFonts w:hint="default" w:ascii="Times New Roman" w:hAnsi="Times New Roman" w:eastAsia="仿宋" w:cs="Times New Roman"/>
          <w:kern w:val="2"/>
          <w:sz w:val="32"/>
          <w:szCs w:val="32"/>
          <w:lang w:val="en-US" w:eastAsia="zh-CN" w:bidi="ar-SA"/>
        </w:rPr>
        <w:t>分，综合评价等级分为</w:t>
      </w:r>
      <w:r>
        <w:rPr>
          <w:rFonts w:hint="default" w:ascii="Times New Roman" w:hAnsi="Times New Roman" w:eastAsia="仿宋" w:cs="Times New Roman"/>
          <w:kern w:val="2"/>
          <w:sz w:val="32"/>
          <w:szCs w:val="32"/>
          <w:highlight w:val="none"/>
          <w:lang w:val="en-US" w:eastAsia="zh-CN" w:bidi="ar-SA"/>
        </w:rPr>
        <w:t>优秀（</w:t>
      </w:r>
      <w:r>
        <w:rPr>
          <w:rFonts w:hint="default" w:ascii="Times New Roman" w:hAnsi="Times New Roman" w:eastAsia="仿宋" w:cs="Times New Roman"/>
          <w:b w:val="0"/>
          <w:bCs w:val="0"/>
          <w:sz w:val="31"/>
          <w:szCs w:val="31"/>
          <w:lang w:val="en-US" w:eastAsia="zh-CN"/>
        </w:rPr>
        <w:t>详见附件）。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22" w:name="_Toc1933"/>
      <w:r>
        <w:rPr>
          <w:rFonts w:hint="default" w:ascii="Times New Roman Regular" w:hAnsi="Times New Roman Regular" w:eastAsia="黑体" w:cs="Times New Roman Regular"/>
          <w:b/>
          <w:bCs/>
          <w:kern w:val="2"/>
          <w:sz w:val="32"/>
          <w:szCs w:val="32"/>
          <w:lang w:val="en-US" w:eastAsia="zh-CN" w:bidi="ar-SA"/>
        </w:rPr>
        <w:t>七、存在的主要问题</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3" w:name="_Toc11722"/>
      <w:bookmarkStart w:id="24" w:name="_Toc27302"/>
      <w:r>
        <w:rPr>
          <w:rFonts w:hint="eastAsia" w:ascii="Times New Roman Regular" w:hAnsi="Times New Roman Regular" w:eastAsia="楷体" w:cs="Times New Roman Regular"/>
          <w:b/>
          <w:bCs/>
          <w:sz w:val="32"/>
          <w:szCs w:val="32"/>
          <w:lang w:val="en-US" w:eastAsia="zh-CN"/>
        </w:rPr>
        <w:t>（一）绩效管理方面</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绩效管理意识有待提高，经查看单位2022年度绩效考核个性指标申报表，绩效指标细化分解程序不够，设立不够全面。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5" w:name="_Toc26122"/>
      <w:r>
        <w:rPr>
          <w:rFonts w:hint="eastAsia" w:ascii="Times New Roman Regular" w:hAnsi="Times New Roman Regular" w:eastAsia="楷体" w:cs="Times New Roman Regular"/>
          <w:b/>
          <w:bCs/>
          <w:sz w:val="32"/>
          <w:szCs w:val="32"/>
          <w:lang w:val="en-US" w:eastAsia="zh-CN"/>
        </w:rPr>
        <w:t>（二）财务管理方面</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1、合同后签。2022年1月7#凭证，支付贺靖州2021年10月-2022年1月工资1.59万元，政府采购合同签订时间2022年1月12日，发票开具时间为2022年1月11日，发票开具时间早于合同签订时间。</w:t>
      </w:r>
    </w:p>
    <w:p>
      <w:pPr>
        <w:pStyle w:val="2"/>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2、跨期报账。2022年1月12#凭证县级融媒体中心建设合作（湖南日报报业集团）6.50万元，发票开具时间为2020年12月23日。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6" w:name="_Toc28631"/>
      <w:r>
        <w:rPr>
          <w:rFonts w:hint="eastAsia" w:ascii="Times New Roman Regular" w:hAnsi="Times New Roman Regular" w:eastAsia="楷体" w:cs="Times New Roman Regular"/>
          <w:b/>
          <w:bCs/>
          <w:sz w:val="32"/>
          <w:szCs w:val="32"/>
          <w:lang w:val="en-US" w:eastAsia="zh-CN"/>
        </w:rPr>
        <w:t>（三）资产管理方面</w:t>
      </w:r>
      <w:bookmarkEnd w:id="24"/>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1、存在资产管理不规范的情况。经现场检查单位资产，一是资产均未贴标，且大部分资产在资产卡片列表中未写明资产存放位置，不利于单位资产管理。</w:t>
      </w:r>
    </w:p>
    <w:p>
      <w:pPr>
        <w:pStyle w:val="2"/>
        <w:rPr>
          <w:rFonts w:hint="default"/>
          <w:lang w:val="en-US" w:eastAsia="zh-CN"/>
        </w:rPr>
      </w:pPr>
      <w:r>
        <w:rPr>
          <w:rFonts w:hint="eastAsia" w:ascii="Times New Roman Regular" w:hAnsi="Times New Roman Regular" w:eastAsia="仿宋" w:cs="Times New Roman Regular"/>
          <w:b w:val="0"/>
          <w:bCs w:val="0"/>
          <w:sz w:val="32"/>
          <w:szCs w:val="32"/>
          <w:lang w:val="en-US" w:eastAsia="zh-CN"/>
        </w:rPr>
        <w:t>2、存在达到固定资产入账标准未入账的情况。2022年4月6#凭证，设备采购共11.18万元，其中购买佳能专业数码单反2台共6.46万元，富士无反微单相机1.86万元，大疆无人机2.28万元，均计入“业务活动费用-商品和服务费用”，未入固定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27" w:name="_Toc24694"/>
      <w:r>
        <w:rPr>
          <w:rFonts w:hint="default" w:ascii="Times New Roman Regular" w:hAnsi="Times New Roman Regular" w:eastAsia="黑体" w:cs="Times New Roman Regular"/>
          <w:b/>
          <w:bCs/>
          <w:kern w:val="2"/>
          <w:sz w:val="32"/>
          <w:szCs w:val="32"/>
          <w:lang w:val="en-US" w:eastAsia="zh-CN" w:bidi="ar-SA"/>
        </w:rPr>
        <w:t>八、相关建议</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highlight w:val="none"/>
          <w:lang w:val="en-US" w:eastAsia="zh-CN"/>
        </w:rPr>
      </w:pPr>
      <w:bookmarkStart w:id="28" w:name="_Toc11316"/>
      <w:bookmarkStart w:id="29" w:name="_Toc13173"/>
      <w:r>
        <w:rPr>
          <w:rFonts w:hint="eastAsia" w:ascii="Times New Roman Regular" w:hAnsi="Times New Roman Regular" w:eastAsia="楷体" w:cs="Times New Roman Regular"/>
          <w:b/>
          <w:bCs/>
          <w:sz w:val="32"/>
          <w:szCs w:val="32"/>
          <w:highlight w:val="none"/>
          <w:lang w:val="en-US" w:eastAsia="zh-CN"/>
        </w:rPr>
        <w:t>（一）</w:t>
      </w:r>
      <w:r>
        <w:rPr>
          <w:rFonts w:hint="eastAsia" w:ascii="Times New Roman Regular" w:hAnsi="Times New Roman Regular" w:eastAsia="楷体" w:cs="Times New Roman Regular"/>
          <w:b/>
          <w:bCs/>
          <w:sz w:val="32"/>
          <w:szCs w:val="32"/>
          <w:highlight w:val="none"/>
        </w:rPr>
        <w:t>增强绩效目标管理意识</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楷体" w:cs="Times New Roman Regular"/>
          <w:b/>
          <w:bCs/>
          <w:sz w:val="32"/>
          <w:szCs w:val="32"/>
          <w:lang w:eastAsia="zh-CN"/>
        </w:rPr>
      </w:pPr>
      <w:bookmarkStart w:id="30" w:name="_Toc18003"/>
      <w:bookmarkStart w:id="31" w:name="_Toc7957"/>
      <w:r>
        <w:rPr>
          <w:rFonts w:hint="eastAsia" w:ascii="Times New Roman Regular" w:hAnsi="Times New Roman Regular" w:eastAsia="仿宋" w:cs="Times New Roman Regular"/>
          <w:b w:val="0"/>
          <w:bCs w:val="0"/>
          <w:kern w:val="2"/>
          <w:sz w:val="32"/>
          <w:szCs w:val="32"/>
          <w:lang w:val="en-US" w:eastAsia="zh-CN" w:bidi="ar-SA"/>
        </w:rPr>
        <w:t>深化财政项目绩效理念，逐步增强责任意识，提升项目预算管理水平。预算单位应在编制预算时结合单位年度具体工作内容、预算情况、实施条件以及项目特点，编制相应的预算草案、绩效目标，并将整体的绩效目标细化、分解为清晰、可衡量的绩效指标，在编制项目预算的同时编制绩效目标，实现绩效目标与预算编制一体化。</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2" w:name="_Toc29896"/>
      <w:r>
        <w:rPr>
          <w:rFonts w:hint="eastAsia" w:ascii="Times New Roman Regular" w:hAnsi="Times New Roman Regular" w:eastAsia="楷体" w:cs="Times New Roman Regular"/>
          <w:b/>
          <w:bCs/>
          <w:sz w:val="32"/>
          <w:szCs w:val="32"/>
          <w:lang w:val="en-US" w:eastAsia="zh-CN"/>
        </w:rPr>
        <w:t>（二）加强财务支出审核</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kern w:val="2"/>
          <w:sz w:val="32"/>
          <w:szCs w:val="32"/>
          <w:lang w:val="en-US" w:eastAsia="zh-CN" w:bidi="ar-SA"/>
        </w:rPr>
      </w:pPr>
      <w:bookmarkStart w:id="33" w:name="_Toc5798"/>
      <w:r>
        <w:rPr>
          <w:rFonts w:hint="eastAsia" w:ascii="Times New Roman Regular" w:hAnsi="Times New Roman Regular" w:eastAsia="仿宋" w:cs="Times New Roman Regular"/>
          <w:b w:val="0"/>
          <w:bCs w:val="0"/>
          <w:kern w:val="2"/>
          <w:sz w:val="32"/>
          <w:szCs w:val="32"/>
          <w:lang w:val="en-US" w:eastAsia="zh-CN" w:bidi="ar-SA"/>
        </w:rPr>
        <w:t>一是建议单位设立报账截止时点，单位工作人员在规定的时间节点前规范报账，单位财务人员及时拨付相关款项，以便于准确反映单位年度资金使用情况，增强单位年度决算报表数据准确性、完整性；二是加大对支出的审核力度，对不真实、不合法、不准确、不完整的原始单据，应不予接受并退回经办人重新办理；加强对相关人员的培训，严格资金的使用用途，规范做账，严格遵守财务管理制度，避免合同后签的情况发生。</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34" w:name="_Toc16922"/>
      <w:r>
        <w:rPr>
          <w:rFonts w:hint="eastAsia" w:ascii="Times New Roman Regular" w:hAnsi="Times New Roman Regular" w:eastAsia="楷体" w:cs="Times New Roman Regular"/>
          <w:b/>
          <w:bCs/>
          <w:sz w:val="32"/>
          <w:szCs w:val="32"/>
          <w:lang w:eastAsia="zh-CN"/>
        </w:rPr>
        <w:t>（</w:t>
      </w:r>
      <w:r>
        <w:rPr>
          <w:rFonts w:hint="eastAsia" w:ascii="Times New Roman Regular" w:hAnsi="Times New Roman Regular" w:eastAsia="楷体" w:cs="Times New Roman Regular"/>
          <w:b/>
          <w:bCs/>
          <w:sz w:val="32"/>
          <w:szCs w:val="32"/>
          <w:lang w:val="en-US" w:eastAsia="zh-CN"/>
        </w:rPr>
        <w:t>三</w:t>
      </w:r>
      <w:r>
        <w:rPr>
          <w:rFonts w:hint="eastAsia" w:ascii="Times New Roman Regular" w:hAnsi="Times New Roman Regular" w:eastAsia="楷体" w:cs="Times New Roman Regular"/>
          <w:b/>
          <w:bCs/>
          <w:sz w:val="32"/>
          <w:szCs w:val="32"/>
          <w:lang w:eastAsia="zh-CN"/>
        </w:rPr>
        <w:t>）</w:t>
      </w:r>
      <w:r>
        <w:rPr>
          <w:rFonts w:hint="eastAsia" w:ascii="Times New Roman Regular" w:hAnsi="Times New Roman Regular" w:eastAsia="楷体" w:cs="Times New Roman Regular"/>
          <w:b/>
          <w:bCs/>
          <w:sz w:val="32"/>
          <w:szCs w:val="32"/>
          <w:lang w:val="en-US" w:eastAsia="zh-CN"/>
        </w:rPr>
        <w:t>规范资产管理</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bookmarkStart w:id="35" w:name="_Toc18488"/>
      <w:r>
        <w:rPr>
          <w:rFonts w:hint="eastAsia" w:ascii="Times New Roman Regular" w:hAnsi="Times New Roman Regular" w:eastAsia="仿宋" w:cs="Times New Roman Regular"/>
          <w:b w:val="0"/>
          <w:bCs w:val="0"/>
          <w:sz w:val="32"/>
          <w:szCs w:val="32"/>
          <w:lang w:val="en-US" w:eastAsia="zh-CN"/>
        </w:rPr>
        <w:t>一是建议单位进一步规范实物资产的管理，对实物资产进行定期或不定期的盘点，确保固定资产账实相符，对固定资产实行卡片管理，每一个固定资产进行贴标，明确使用部门及责任；二是对达到固定资产入账条件的资产，应及时入账，确保国有资产的安全、完整。</w:t>
      </w:r>
    </w:p>
    <w:bookmarkEnd w:id="35"/>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36" w:name="_Toc24259"/>
      <w:r>
        <w:rPr>
          <w:rFonts w:hint="default" w:ascii="Times New Roman Regular" w:hAnsi="Times New Roman Regular" w:eastAsia="黑体" w:cs="Times New Roman Regular"/>
          <w:b/>
          <w:bCs/>
          <w:kern w:val="2"/>
          <w:sz w:val="32"/>
          <w:szCs w:val="32"/>
          <w:lang w:val="en-US" w:eastAsia="zh-CN" w:bidi="ar-SA"/>
        </w:rPr>
        <w:t>九、报告使用情况说明</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邵阳市北塔区融媒体中心</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10"/>
        <w:rPr>
          <w:rFonts w:hint="default" w:ascii="Times New Roman Regular" w:hAnsi="Times New Roman Regular" w:eastAsia="仿宋" w:cs="Times New Roman Regular"/>
          <w:b w:val="0"/>
          <w:bCs w:val="0"/>
          <w:sz w:val="32"/>
          <w:szCs w:val="32"/>
          <w:lang w:val="en-US" w:eastAsia="zh-CN"/>
        </w:rPr>
      </w:pPr>
    </w:p>
    <w:p>
      <w:pPr>
        <w:pStyle w:val="10"/>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邵阳市北塔区融媒体中心</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0"/>
        <w:rPr>
          <w:rFonts w:hint="default" w:ascii="Times New Roman Regular" w:hAnsi="Times New Roman Regular" w:eastAsia="仿宋" w:cs="Times New Roman Regular"/>
          <w:sz w:val="32"/>
          <w:szCs w:val="32"/>
        </w:rPr>
      </w:pPr>
      <w:r>
        <w:rPr>
          <w:rFonts w:hint="default" w:ascii="Times New Roman Regular" w:hAnsi="Times New Roman Regular" w:eastAsia="仿宋" w:cs="Times New Roman Regular"/>
          <w:sz w:val="32"/>
          <w:szCs w:val="32"/>
          <w:lang w:val="en-US" w:eastAsia="zh-CN"/>
        </w:rPr>
        <w:t>附件2：</w:t>
      </w:r>
      <w:r>
        <w:rPr>
          <w:rFonts w:hint="eastAsia" w:ascii="Times New Roman Regular" w:hAnsi="Times New Roman Regular" w:eastAsia="仿宋" w:cs="Times New Roman Regular"/>
          <w:b w:val="0"/>
          <w:bCs w:val="0"/>
          <w:sz w:val="32"/>
          <w:szCs w:val="32"/>
          <w:lang w:val="en-US" w:eastAsia="zh-CN"/>
        </w:rPr>
        <w:t>邵阳市北塔区融媒体中心</w:t>
      </w:r>
      <w:r>
        <w:rPr>
          <w:rFonts w:hint="default" w:ascii="Times New Roman Regular" w:hAnsi="Times New Roman Regular" w:eastAsia="仿宋" w:cs="Times New Roman Regular"/>
          <w:b w:val="0"/>
          <w:bCs w:val="0"/>
          <w:sz w:val="32"/>
          <w:szCs w:val="32"/>
          <w:lang w:val="en-US" w:eastAsia="zh-CN"/>
        </w:rPr>
        <w:t>2022年度</w:t>
      </w:r>
      <w:r>
        <w:rPr>
          <w:rFonts w:hint="default" w:ascii="Times New Roman Regular" w:hAnsi="Times New Roman Regular" w:eastAsia="仿宋" w:cs="Times New Roman Regular"/>
          <w:sz w:val="32"/>
          <w:szCs w:val="32"/>
        </w:rPr>
        <w:t>部门整体支出绩效评价基础数据表</w:t>
      </w:r>
    </w:p>
    <w:p>
      <w:pPr>
        <w:rPr>
          <w:rFonts w:hint="default"/>
          <w:lang w:val="en-US" w:eastAsia="zh-CN"/>
        </w:rPr>
      </w:pPr>
      <w:r>
        <w:rPr>
          <w:rFonts w:hint="default" w:ascii="Times New Roman Regular" w:hAnsi="Times New Roman Regular" w:eastAsia="仿宋" w:cs="Times New Roman Regular"/>
          <w:sz w:val="32"/>
          <w:szCs w:val="32"/>
          <w:lang w:val="en-US" w:eastAsia="zh-CN"/>
        </w:rPr>
        <w:t>附件</w:t>
      </w:r>
      <w:r>
        <w:rPr>
          <w:rFonts w:hint="eastAsia" w:ascii="Times New Roman Regular" w:hAnsi="Times New Roman Regular" w:eastAsia="仿宋" w:cs="Times New Roman Regular"/>
          <w:sz w:val="32"/>
          <w:szCs w:val="32"/>
          <w:lang w:val="en-US" w:eastAsia="zh-CN"/>
        </w:rPr>
        <w:t>3</w:t>
      </w:r>
      <w:r>
        <w:rPr>
          <w:rFonts w:hint="default" w:ascii="Times New Roman Regular" w:hAnsi="Times New Roman Regular" w:eastAsia="仿宋" w:cs="Times New Roman Regular"/>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邵阳市北塔区融媒体中心</w:t>
      </w:r>
      <w:r>
        <w:rPr>
          <w:rFonts w:hint="default" w:ascii="Times New Roman Regular" w:hAnsi="Times New Roman Regular" w:eastAsia="仿宋" w:cs="Times New Roman Regular"/>
          <w:b w:val="0"/>
          <w:bCs w:val="0"/>
          <w:sz w:val="32"/>
          <w:szCs w:val="32"/>
          <w:lang w:val="en-US" w:eastAsia="zh-CN"/>
        </w:rPr>
        <w:t>2022年度</w:t>
      </w:r>
      <w:r>
        <w:rPr>
          <w:rFonts w:hint="default" w:ascii="Times New Roman Regular" w:hAnsi="Times New Roman Regular" w:eastAsia="仿宋" w:cs="Times New Roman Regular"/>
          <w:sz w:val="32"/>
          <w:szCs w:val="32"/>
        </w:rPr>
        <w:t>部门整体支出绩效自评表</w:t>
      </w:r>
    </w:p>
    <w:p>
      <w:pPr>
        <w:pStyle w:val="11"/>
        <w:rPr>
          <w:rFonts w:hint="default"/>
          <w:lang w:val="en-US" w:eastAsia="zh-CN"/>
        </w:rPr>
      </w:pPr>
    </w:p>
    <w:p>
      <w:pPr>
        <w:pStyle w:val="10"/>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中国注册会计师：</w:t>
      </w:r>
    </w:p>
    <w:p>
      <w:pPr>
        <w:pStyle w:val="10"/>
        <w:rPr>
          <w:rFonts w:hint="default" w:ascii="Times New Roman Regular" w:hAnsi="Times New Roman Regular" w:cs="Times New Roman Regular"/>
          <w:lang w:val="en-US" w:eastAsia="zh-CN"/>
        </w:rPr>
      </w:pPr>
    </w:p>
    <w:p>
      <w:pPr>
        <w:pStyle w:val="10"/>
        <w:ind w:firstLine="5670" w:firstLineChars="2700"/>
        <w:rPr>
          <w:rFonts w:hint="default" w:ascii="Times New Roman Regular" w:hAnsi="Times New Roman Regular" w:cs="Times New Roman Regular"/>
          <w:lang w:val="en-US" w:eastAsia="zh-CN"/>
        </w:rPr>
      </w:pPr>
    </w:p>
    <w:p>
      <w:pPr>
        <w:pStyle w:val="10"/>
        <w:ind w:firstLine="5670" w:firstLineChars="2700"/>
        <w:rPr>
          <w:rFonts w:hint="default" w:ascii="Times New Roman Regular" w:hAnsi="Times New Roman Regular" w:cs="Times New Roman Regular"/>
          <w:lang w:val="en-US" w:eastAsia="zh-CN"/>
        </w:rPr>
      </w:pPr>
    </w:p>
    <w:p>
      <w:pPr>
        <w:pStyle w:val="10"/>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10"/>
        <w:ind w:firstLine="5890" w:firstLineChars="1900"/>
        <w:rPr>
          <w:rFonts w:hint="default" w:ascii="Times New Roman Regular" w:hAnsi="Times New Roman Regular" w:eastAsia="仿宋" w:cs="Times New Roman Regular"/>
          <w:b w:val="0"/>
          <w:bCs w:val="0"/>
          <w:sz w:val="31"/>
          <w:szCs w:val="31"/>
          <w:lang w:val="en-US" w:eastAsia="zh-CN"/>
        </w:rPr>
        <w:sectPr>
          <w:headerReference r:id="rId5" w:type="default"/>
          <w:footerReference r:id="rId6"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融媒体</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中心2022年度部门整体支出绩效评价指标表</w:t>
      </w:r>
    </w:p>
    <w:tbl>
      <w:tblPr>
        <w:tblStyle w:val="1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0"/>
        <w:gridCol w:w="1089"/>
        <w:gridCol w:w="1572"/>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6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2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26"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5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3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bookmarkStart w:id="39" w:name="_GoBack"/>
            <w:bookmarkEnd w:id="39"/>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1</w:t>
            </w:r>
          </w:p>
        </w:tc>
        <w:tc>
          <w:tcPr>
            <w:tcW w:w="1008"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绩效指标细化分解程度不够，不够全面，酌情扣2分。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存在发票跨期严重、合同后签的现象，扣2分。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存在资产未贴标的情况；达到固定资产未入固定资产情况，扣2分。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1"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部门单位履职、运转</w:t>
            </w:r>
          </w:p>
        </w:tc>
        <w:tc>
          <w:tcPr>
            <w:tcW w:w="326"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单位履职、运转正常，计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自身平台发稿1900条；融媒视频：北塔发布视频号发布视频数165个</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7</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7</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工作完成</w:t>
            </w:r>
            <w:r>
              <w:rPr>
                <w:rFonts w:ascii="Times New Roman" w:hAnsi="Times New Roman" w:cs="Times New Roman" w:eastAsiaTheme="minorEastAsia"/>
                <w:color w:val="000000"/>
                <w:sz w:val="18"/>
                <w:szCs w:val="18"/>
              </w:rPr>
              <w:t>及时性</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7</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w:t>
            </w:r>
            <w:r>
              <w:rPr>
                <w:rFonts w:hint="eastAsia" w:ascii="Times New Roman" w:hAnsi="Times New Roman" w:cs="Times New Roman"/>
                <w:color w:val="000000"/>
                <w:sz w:val="18"/>
                <w:szCs w:val="18"/>
                <w:lang w:val="en-US" w:eastAsia="zh-CN"/>
              </w:rPr>
              <w:t>7</w:t>
            </w:r>
            <w:r>
              <w:rPr>
                <w:rFonts w:ascii="Times New Roman" w:hAnsi="Times New Roman" w:cs="Times New Roman" w:eastAsiaTheme="minorEastAsia"/>
                <w:color w:val="000000"/>
                <w:sz w:val="18"/>
                <w:szCs w:val="18"/>
              </w:rPr>
              <w:t>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7</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各项工作</w:t>
            </w:r>
            <w:r>
              <w:rPr>
                <w:rFonts w:ascii="Times New Roman" w:hAnsi="Times New Roman" w:cs="Times New Roman" w:eastAsiaTheme="minorEastAsia"/>
                <w:color w:val="000000"/>
                <w:sz w:val="18"/>
                <w:szCs w:val="18"/>
              </w:rPr>
              <w:t>成本节约率</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成本节约率=[（计划成本-实际成本）/计划成本]×100%。成本节约率10%（不含）以上，得</w:t>
            </w:r>
            <w:r>
              <w:rPr>
                <w:rFonts w:hint="eastAsia" w:ascii="Times New Roman" w:hAnsi="Times New Roman" w:cs="Times New Roman"/>
                <w:color w:val="000000"/>
                <w:sz w:val="18"/>
                <w:szCs w:val="18"/>
                <w:lang w:val="en-US" w:eastAsia="zh-CN"/>
              </w:rPr>
              <w:t>6</w:t>
            </w:r>
            <w:r>
              <w:rPr>
                <w:rFonts w:ascii="Times New Roman" w:hAnsi="Times New Roman" w:cs="Times New Roman" w:eastAsiaTheme="minorEastAsia"/>
                <w:color w:val="000000"/>
                <w:sz w:val="18"/>
                <w:szCs w:val="18"/>
              </w:rPr>
              <w:t>分；成本节约率5%（不含）-10%（含）得</w:t>
            </w:r>
            <w:r>
              <w:rPr>
                <w:rFonts w:hint="eastAsia" w:ascii="Times New Roman" w:hAnsi="Times New Roman" w:cs="Times New Roman"/>
                <w:color w:val="000000"/>
                <w:sz w:val="18"/>
                <w:szCs w:val="18"/>
                <w:lang w:val="en-US" w:eastAsia="zh-CN"/>
              </w:rPr>
              <w:t>4</w:t>
            </w:r>
            <w:r>
              <w:rPr>
                <w:rFonts w:ascii="Times New Roman" w:hAnsi="Times New Roman" w:cs="Times New Roman" w:eastAsiaTheme="minorEastAsia"/>
                <w:color w:val="000000"/>
                <w:sz w:val="18"/>
                <w:szCs w:val="18"/>
              </w:rPr>
              <w:t>分，成本节约率5%（含）以下得</w:t>
            </w:r>
            <w:r>
              <w:rPr>
                <w:rFonts w:hint="eastAsia" w:ascii="Times New Roman" w:hAnsi="Times New Roman" w:cs="Times New Roman" w:eastAsiaTheme="minorEastAsia"/>
                <w:color w:val="000000"/>
                <w:sz w:val="18"/>
                <w:szCs w:val="18"/>
              </w:rPr>
              <w:t>2</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可持续影响</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考核单位工作的开展是否能降能节耗，制止资源浪费，有效利用资源，节约财政资金，提升服务质量，</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w:t>
            </w:r>
            <w:r>
              <w:rPr>
                <w:rFonts w:hint="eastAsia" w:ascii="Times New Roman" w:hAnsi="Times New Roman" w:cs="Times New Roman"/>
                <w:color w:val="000000"/>
                <w:sz w:val="18"/>
                <w:szCs w:val="18"/>
                <w:lang w:val="en-US" w:eastAsia="zh-CN"/>
              </w:rPr>
              <w:t>受益</w:t>
            </w:r>
            <w:r>
              <w:rPr>
                <w:rFonts w:ascii="Times New Roman" w:hAnsi="Times New Roman" w:cs="Times New Roman" w:eastAsiaTheme="minorEastAsia"/>
                <w:color w:val="000000"/>
                <w:sz w:val="18"/>
                <w:szCs w:val="18"/>
              </w:rPr>
              <w:t>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社会效益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考核单位工作的开展是否能显著优化环境提升全区形象，</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单位职工</w:t>
            </w:r>
            <w:r>
              <w:rPr>
                <w:rFonts w:hint="eastAsia" w:ascii="Times New Roman" w:hAnsi="Times New Roman" w:cs="Times New Roman"/>
                <w:color w:val="000000"/>
                <w:sz w:val="18"/>
                <w:szCs w:val="18"/>
                <w:lang w:val="en-US" w:eastAsia="zh-CN"/>
              </w:rPr>
              <w:t>及受益群众</w:t>
            </w:r>
            <w:r>
              <w:rPr>
                <w:rFonts w:ascii="Times New Roman" w:hAnsi="Times New Roman" w:cs="Times New Roman" w:eastAsiaTheme="minorEastAsia"/>
                <w:color w:val="000000"/>
                <w:sz w:val="18"/>
                <w:szCs w:val="18"/>
              </w:rPr>
              <w:t>满意度</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分：每低5%扣1分。满意度＜75%计0分。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5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94</w:t>
            </w:r>
          </w:p>
        </w:tc>
        <w:tc>
          <w:tcPr>
            <w:tcW w:w="1008"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pPr>
    </w:p>
    <w:p>
      <w:pPr>
        <w:pStyle w:val="2"/>
        <w:rPr>
          <w:rFonts w:hint="default" w:ascii="Times New Roman Regular" w:hAnsi="Times New Roman Regular" w:eastAsia="仿宋" w:cs="Times New Roman Regular"/>
          <w:b w:val="0"/>
          <w:bCs w:val="0"/>
          <w:sz w:val="31"/>
          <w:szCs w:val="31"/>
          <w:lang w:val="en-US" w:eastAsia="zh-CN"/>
        </w:rPr>
      </w:pPr>
    </w:p>
    <w:p>
      <w:pPr>
        <w:widowControl/>
        <w:kinsoku w:val="0"/>
        <w:autoSpaceDE w:val="0"/>
        <w:autoSpaceDN w:val="0"/>
        <w:adjustRightInd w:val="0"/>
        <w:snapToGrid w:val="0"/>
        <w:spacing w:before="55" w:line="222" w:lineRule="auto"/>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sectPr>
          <w:headerReference r:id="rId7" w:type="default"/>
          <w:footerReference r:id="rId8" w:type="default"/>
          <w:pgSz w:w="16838" w:h="11906" w:orient="landscape"/>
          <w:pgMar w:top="1389" w:right="986" w:bottom="1389" w:left="986" w:header="624" w:footer="992" w:gutter="0"/>
          <w:pgBorders>
            <w:top w:val="none" w:sz="0" w:space="0"/>
            <w:left w:val="none" w:sz="0" w:space="0"/>
            <w:bottom w:val="none" w:sz="0" w:space="0"/>
            <w:right w:val="none" w:sz="0" w:space="0"/>
          </w:pgBorders>
          <w:pgNumType w:fmt="decimal" w:start="1"/>
          <w:cols w:space="0" w:num="1"/>
          <w:rtlGutter w:val="0"/>
          <w:docGrid w:type="lines" w:linePitch="314" w:charSpace="0"/>
        </w:sectPr>
      </w:pPr>
    </w:p>
    <w:p>
      <w:pPr>
        <w:widowControl/>
        <w:kinsoku w:val="0"/>
        <w:autoSpaceDE w:val="0"/>
        <w:autoSpaceDN w:val="0"/>
        <w:adjustRightInd w:val="0"/>
        <w:snapToGrid w:val="0"/>
        <w:spacing w:before="55" w:line="222" w:lineRule="auto"/>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附件2：</w:t>
      </w:r>
    </w:p>
    <w:p>
      <w:pPr>
        <w:widowControl/>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邵阳市北塔区融媒体中心2022年度部门整体支出</w:t>
      </w:r>
    </w:p>
    <w:p>
      <w:pPr>
        <w:widowControl/>
        <w:jc w:val="center"/>
        <w:rPr>
          <w:rFonts w:hint="default" w:ascii="Times New Roman" w:hAnsi="Times New Roman" w:eastAsia="仿宋" w:cs="Times New Roman"/>
          <w:color w:val="000000"/>
          <w:kern w:val="0"/>
          <w:sz w:val="32"/>
          <w:szCs w:val="32"/>
        </w:rPr>
      </w:pPr>
      <w:r>
        <w:rPr>
          <w:rFonts w:hint="default" w:ascii="Times New Roman" w:hAnsi="Times New Roman" w:eastAsia="方正小标宋_GBK" w:cs="Times New Roman"/>
          <w:sz w:val="36"/>
          <w:szCs w:val="36"/>
        </w:rPr>
        <w:t>绩效评价基础数据表</w:t>
      </w:r>
    </w:p>
    <w:tbl>
      <w:tblPr>
        <w:tblStyle w:val="14"/>
        <w:tblW w:w="8058" w:type="dxa"/>
        <w:jc w:val="center"/>
        <w:tblLayout w:type="fixed"/>
        <w:tblCellMar>
          <w:top w:w="0" w:type="dxa"/>
          <w:left w:w="108" w:type="dxa"/>
          <w:bottom w:w="0" w:type="dxa"/>
          <w:right w:w="108" w:type="dxa"/>
        </w:tblCellMar>
      </w:tblPr>
      <w:tblGrid>
        <w:gridCol w:w="2967"/>
        <w:gridCol w:w="1511"/>
        <w:gridCol w:w="5"/>
        <w:gridCol w:w="4"/>
        <w:gridCol w:w="2051"/>
        <w:gridCol w:w="1520"/>
      </w:tblGrid>
      <w:tr>
        <w:tblPrEx>
          <w:tblCellMar>
            <w:top w:w="0" w:type="dxa"/>
            <w:left w:w="108" w:type="dxa"/>
            <w:bottom w:w="0" w:type="dxa"/>
            <w:right w:w="108" w:type="dxa"/>
          </w:tblCellMar>
        </w:tblPrEx>
        <w:trPr>
          <w:trHeight w:val="407" w:hRule="atLeast"/>
          <w:jc w:val="center"/>
        </w:trPr>
        <w:tc>
          <w:tcPr>
            <w:tcW w:w="29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财政供养人员情况</w:t>
            </w:r>
          </w:p>
        </w:tc>
        <w:tc>
          <w:tcPr>
            <w:tcW w:w="151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编制数</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年末实际在职人数</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控制率</w:t>
            </w:r>
          </w:p>
        </w:tc>
      </w:tr>
      <w:tr>
        <w:tblPrEx>
          <w:tblCellMar>
            <w:top w:w="0" w:type="dxa"/>
            <w:left w:w="108" w:type="dxa"/>
            <w:bottom w:w="0" w:type="dxa"/>
            <w:right w:w="108" w:type="dxa"/>
          </w:tblCellMar>
        </w:tblPrEx>
        <w:trPr>
          <w:trHeight w:val="407" w:hRule="atLeast"/>
          <w:jc w:val="center"/>
        </w:trPr>
        <w:tc>
          <w:tcPr>
            <w:tcW w:w="2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p>
        </w:tc>
        <w:tc>
          <w:tcPr>
            <w:tcW w:w="151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r>
              <w:rPr>
                <w:rFonts w:hint="eastAsia" w:ascii="Times New Roman" w:hAnsi="Times New Roman" w:cs="Times New Roman"/>
                <w:color w:val="000000"/>
                <w:kern w:val="2"/>
                <w:sz w:val="18"/>
                <w:szCs w:val="18"/>
                <w:lang w:val="en-US" w:eastAsia="zh-CN"/>
              </w:rPr>
              <w:t>6</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r>
              <w:rPr>
                <w:rFonts w:hint="eastAsia" w:ascii="Times New Roman" w:hAnsi="Times New Roman" w:cs="Times New Roman" w:eastAsiaTheme="minorEastAsia"/>
                <w:color w:val="000000"/>
                <w:kern w:val="2"/>
                <w:sz w:val="18"/>
                <w:szCs w:val="18"/>
                <w:lang w:val="en-US" w:eastAsia="zh-CN"/>
              </w:rPr>
              <w:t>7</w:t>
            </w:r>
          </w:p>
        </w:tc>
        <w:tc>
          <w:tcPr>
            <w:tcW w:w="152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r>
              <w:rPr>
                <w:rFonts w:hint="eastAsia" w:ascii="Times New Roman" w:hAnsi="Times New Roman" w:cs="Times New Roman"/>
                <w:color w:val="000000"/>
                <w:kern w:val="2"/>
                <w:sz w:val="18"/>
                <w:szCs w:val="18"/>
                <w:lang w:val="en-US" w:eastAsia="zh-CN"/>
              </w:rPr>
              <w:t>117</w:t>
            </w:r>
            <w:r>
              <w:rPr>
                <w:rFonts w:hint="eastAsia" w:ascii="Times New Roman" w:hAnsi="Times New Roman" w:cs="Times New Roman" w:eastAsiaTheme="minorEastAsia"/>
                <w:color w:val="000000"/>
                <w:kern w:val="2"/>
                <w:sz w:val="18"/>
                <w:szCs w:val="18"/>
                <w:lang w:val="en-US" w:eastAsia="zh-CN"/>
              </w:rPr>
              <w:t>%</w:t>
            </w: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经费控制情况</w:t>
            </w: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当年决算数</w:t>
            </w: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当年预算数</w:t>
            </w: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上年决算数</w:t>
            </w: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一、部门基本支出</w:t>
            </w: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r>
              <w:rPr>
                <w:rFonts w:hint="eastAsia" w:ascii="Times New Roman" w:hAnsi="Times New Roman" w:cs="Times New Roman" w:eastAsiaTheme="minorEastAsia"/>
                <w:i w:val="0"/>
                <w:iCs w:val="0"/>
                <w:color w:val="000000"/>
                <w:kern w:val="2"/>
                <w:sz w:val="18"/>
                <w:szCs w:val="18"/>
                <w:u w:val="none"/>
                <w:lang w:val="en-US" w:eastAsia="zh-CN" w:bidi="ar"/>
              </w:rPr>
              <w:t>129.7</w:t>
            </w:r>
            <w:r>
              <w:rPr>
                <w:rFonts w:hint="eastAsia" w:ascii="宋体" w:hAnsi="宋体" w:eastAsia="宋体" w:cs="宋体"/>
                <w:i w:val="0"/>
                <w:iCs w:val="0"/>
                <w:color w:val="000000"/>
                <w:kern w:val="0"/>
                <w:sz w:val="22"/>
                <w:szCs w:val="22"/>
                <w:u w:val="none"/>
                <w:lang w:val="en-US" w:eastAsia="zh-CN" w:bidi="ar"/>
              </w:rPr>
              <w:t>万元</w:t>
            </w: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cs="Times New Roman" w:eastAsiaTheme="minorEastAsia"/>
                <w:i w:val="0"/>
                <w:iCs w:val="0"/>
                <w:color w:val="000000"/>
                <w:kern w:val="2"/>
                <w:sz w:val="18"/>
                <w:szCs w:val="18"/>
                <w:u w:val="none"/>
                <w:lang w:val="en-US" w:eastAsia="zh-CN" w:bidi="ar"/>
              </w:rPr>
              <w:t>129.7</w:t>
            </w:r>
            <w:r>
              <w:rPr>
                <w:rFonts w:hint="eastAsia" w:ascii="宋体" w:hAnsi="宋体" w:eastAsia="宋体" w:cs="宋体"/>
                <w:i w:val="0"/>
                <w:iCs w:val="0"/>
                <w:color w:val="000000"/>
                <w:kern w:val="0"/>
                <w:sz w:val="22"/>
                <w:szCs w:val="22"/>
                <w:u w:val="none"/>
                <w:lang w:val="en-US" w:eastAsia="zh-CN" w:bidi="ar"/>
              </w:rPr>
              <w:t>万元</w:t>
            </w: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cs="Times New Roman" w:eastAsiaTheme="minorEastAsia"/>
                <w:color w:val="000000"/>
                <w:kern w:val="2"/>
                <w:sz w:val="18"/>
                <w:szCs w:val="18"/>
                <w:u w:val="none"/>
                <w:lang w:bidi="ar"/>
              </w:rPr>
              <w:t>322.13</w:t>
            </w:r>
            <w:r>
              <w:rPr>
                <w:rFonts w:hint="eastAsia" w:ascii="Times New Roman" w:hAnsi="Times New Roman" w:eastAsia="仿宋_GB2312" w:cs="Times New Roman"/>
                <w:kern w:val="0"/>
                <w:szCs w:val="21"/>
                <w:lang w:eastAsia="zh-CN"/>
              </w:rPr>
              <w:t>万元</w:t>
            </w: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其中：1、压缩一般性支出</w:t>
            </w: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2、三公经费</w:t>
            </w:r>
          </w:p>
        </w:tc>
        <w:tc>
          <w:tcPr>
            <w:tcW w:w="1511"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r>
              <w:rPr>
                <w:rFonts w:hint="eastAsia" w:ascii="Times New Roman" w:hAnsi="Times New Roman" w:cs="Times New Roman" w:eastAsiaTheme="minorEastAsia"/>
                <w:color w:val="000000"/>
                <w:kern w:val="2"/>
                <w:sz w:val="18"/>
                <w:szCs w:val="18"/>
                <w:lang w:val="en-US" w:eastAsia="zh-CN"/>
              </w:rPr>
              <w:t>0</w:t>
            </w: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r>
              <w:rPr>
                <w:rFonts w:hint="eastAsia" w:ascii="Times New Roman" w:hAnsi="Times New Roman" w:cs="Times New Roman" w:eastAsiaTheme="minorEastAsia"/>
                <w:color w:val="000000"/>
                <w:kern w:val="2"/>
                <w:sz w:val="18"/>
                <w:szCs w:val="18"/>
                <w:lang w:val="en-US" w:eastAsia="zh-CN"/>
              </w:rPr>
              <w:t>0</w:t>
            </w:r>
          </w:p>
        </w:tc>
        <w:tc>
          <w:tcPr>
            <w:tcW w:w="1520"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r>
              <w:rPr>
                <w:rFonts w:hint="eastAsia" w:ascii="Times New Roman" w:hAnsi="Times New Roman" w:cs="Times New Roman" w:eastAsiaTheme="minorEastAsia"/>
                <w:color w:val="000000"/>
                <w:kern w:val="2"/>
                <w:sz w:val="18"/>
                <w:szCs w:val="18"/>
                <w:lang w:val="en-US" w:eastAsia="zh-CN"/>
              </w:rPr>
              <w:t>0</w:t>
            </w: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公务用车购置和维护经费</w:t>
            </w:r>
          </w:p>
        </w:tc>
        <w:tc>
          <w:tcPr>
            <w:tcW w:w="1511"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p>
        </w:tc>
        <w:tc>
          <w:tcPr>
            <w:tcW w:w="1520"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其中：公车购置</w:t>
            </w:r>
          </w:p>
        </w:tc>
        <w:tc>
          <w:tcPr>
            <w:tcW w:w="1511"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p>
        </w:tc>
        <w:tc>
          <w:tcPr>
            <w:tcW w:w="1520"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公车运行维护</w:t>
            </w:r>
          </w:p>
        </w:tc>
        <w:tc>
          <w:tcPr>
            <w:tcW w:w="1511"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bidi="ar-SA"/>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bidi="ar-SA"/>
              </w:rPr>
            </w:pPr>
          </w:p>
        </w:tc>
        <w:tc>
          <w:tcPr>
            <w:tcW w:w="1520"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公务接待</w:t>
            </w:r>
          </w:p>
        </w:tc>
        <w:tc>
          <w:tcPr>
            <w:tcW w:w="1511"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p>
        </w:tc>
        <w:tc>
          <w:tcPr>
            <w:tcW w:w="1520"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出国（境）经费</w:t>
            </w:r>
          </w:p>
        </w:tc>
        <w:tc>
          <w:tcPr>
            <w:tcW w:w="1511"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p>
        </w:tc>
        <w:tc>
          <w:tcPr>
            <w:tcW w:w="1520"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cs="Times New Roman"/>
                <w:kern w:val="0"/>
                <w:szCs w:val="21"/>
              </w:rPr>
              <w:t>二、部门项目支出</w:t>
            </w:r>
          </w:p>
        </w:tc>
        <w:tc>
          <w:tcPr>
            <w:tcW w:w="1511"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r>
              <w:rPr>
                <w:rFonts w:hint="eastAsia" w:ascii="Times New Roman" w:hAnsi="Times New Roman" w:cs="Times New Roman"/>
                <w:i w:val="0"/>
                <w:iCs w:val="0"/>
                <w:color w:val="000000"/>
                <w:kern w:val="2"/>
                <w:sz w:val="18"/>
                <w:szCs w:val="18"/>
                <w:u w:val="none"/>
                <w:lang w:val="en-US" w:eastAsia="zh-CN" w:bidi="ar"/>
              </w:rPr>
              <w:t>0</w:t>
            </w: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rPr>
            </w:pPr>
            <w:r>
              <w:rPr>
                <w:rFonts w:hint="eastAsia" w:ascii="Times New Roman" w:hAnsi="Times New Roman" w:cs="Times New Roman"/>
                <w:i w:val="0"/>
                <w:iCs w:val="0"/>
                <w:color w:val="000000"/>
                <w:kern w:val="2"/>
                <w:sz w:val="18"/>
                <w:szCs w:val="18"/>
                <w:u w:val="none"/>
                <w:lang w:val="en-US" w:eastAsia="zh-CN" w:bidi="ar"/>
              </w:rPr>
              <w:t>0</w:t>
            </w:r>
          </w:p>
        </w:tc>
        <w:tc>
          <w:tcPr>
            <w:tcW w:w="1520" w:type="dxa"/>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cs="Times New Roman" w:eastAsiaTheme="minorEastAsia"/>
                <w:color w:val="000000"/>
                <w:kern w:val="2"/>
                <w:sz w:val="18"/>
                <w:szCs w:val="18"/>
                <w:lang w:val="en-US" w:eastAsia="zh-CN" w:bidi="ar-SA"/>
              </w:rPr>
            </w:pPr>
            <w:r>
              <w:rPr>
                <w:rFonts w:hint="eastAsia" w:ascii="Times New Roman" w:hAnsi="Times New Roman" w:cs="Times New Roman"/>
                <w:i w:val="0"/>
                <w:iCs w:val="0"/>
                <w:color w:val="000000"/>
                <w:kern w:val="2"/>
                <w:sz w:val="18"/>
                <w:szCs w:val="18"/>
                <w:u w:val="none"/>
                <w:lang w:val="en-US" w:eastAsia="zh-CN" w:bidi="ar"/>
              </w:rPr>
              <w:t>0</w:t>
            </w: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s="Times New Roman"/>
                <w:kern w:val="0"/>
                <w:szCs w:val="21"/>
                <w:lang w:eastAsia="zh-CN"/>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lang w:val="en-US" w:eastAsia="zh-CN"/>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1511"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val="en-US" w:eastAsia="zh-CN"/>
              </w:rPr>
            </w:pPr>
          </w:p>
        </w:tc>
        <w:tc>
          <w:tcPr>
            <w:tcW w:w="20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07"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151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20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152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301" w:hRule="atLeast"/>
          <w:jc w:val="center"/>
        </w:trPr>
        <w:tc>
          <w:tcPr>
            <w:tcW w:w="2967" w:type="dxa"/>
            <w:tcBorders>
              <w:top w:val="nil"/>
              <w:left w:val="single" w:color="auto" w:sz="4" w:space="0"/>
              <w:bottom w:val="single" w:color="auto" w:sz="4" w:space="0"/>
              <w:right w:val="single" w:color="auto" w:sz="4" w:space="0"/>
            </w:tcBorders>
            <w:noWrap w:val="0"/>
            <w:vAlign w:val="center"/>
          </w:tcPr>
          <w:p>
            <w:pPr>
              <w:widowControl/>
              <w:ind w:firstLine="210" w:firstLineChars="100"/>
              <w:jc w:val="center"/>
              <w:rPr>
                <w:rFonts w:hint="default" w:ascii="Times New Roman" w:hAnsi="Times New Roman" w:eastAsia="仿宋_GB2312" w:cs="Times New Roman"/>
                <w:kern w:val="0"/>
                <w:szCs w:val="21"/>
              </w:rPr>
            </w:pPr>
          </w:p>
        </w:tc>
        <w:tc>
          <w:tcPr>
            <w:tcW w:w="15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rPr>
            </w:pP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52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05" w:hRule="atLeast"/>
          <w:jc w:val="center"/>
        </w:trPr>
        <w:tc>
          <w:tcPr>
            <w:tcW w:w="2967"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eastAsia" w:ascii="Times New Roman" w:hAnsi="Times New Roman"/>
                <w:kern w:val="0"/>
                <w:szCs w:val="21"/>
              </w:rPr>
            </w:pPr>
            <w:r>
              <w:rPr>
                <w:rFonts w:hint="eastAsia" w:ascii="Times New Roman" w:hAnsi="Times New Roman"/>
                <w:kern w:val="0"/>
                <w:szCs w:val="21"/>
              </w:rPr>
              <w:t>政府采购金额</w:t>
            </w:r>
          </w:p>
        </w:tc>
        <w:tc>
          <w:tcPr>
            <w:tcW w:w="152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Style w:val="16"/>
                <w:rFonts w:hint="eastAsia" w:ascii="Times New Roman" w:hAnsi="Times New Roman" w:cs="Times New Roman" w:eastAsiaTheme="minorEastAsia"/>
                <w:sz w:val="18"/>
                <w:szCs w:val="18"/>
                <w:lang w:bidi="ar"/>
              </w:rPr>
              <w:t>52.01</w:t>
            </w:r>
            <w:r>
              <w:rPr>
                <w:rStyle w:val="22"/>
                <w:rFonts w:hint="default" w:ascii="Times New Roman Regular" w:hAnsi="Times New Roman Regular" w:eastAsia="仿宋_GB2312" w:cs="Times New Roman Regular"/>
                <w:sz w:val="21"/>
                <w:szCs w:val="21"/>
              </w:rPr>
              <w:t>万元</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Style w:val="16"/>
                <w:rFonts w:hint="eastAsia" w:ascii="Times New Roman" w:hAnsi="Times New Roman" w:cs="Times New Roman" w:eastAsiaTheme="minorEastAsia"/>
                <w:sz w:val="18"/>
                <w:szCs w:val="18"/>
                <w:lang w:bidi="ar"/>
              </w:rPr>
              <w:t>52.01</w:t>
            </w:r>
            <w:r>
              <w:rPr>
                <w:rStyle w:val="22"/>
                <w:rFonts w:hint="default" w:ascii="Times New Roman Regular" w:hAnsi="Times New Roman Regular" w:eastAsia="仿宋_GB2312" w:cs="Times New Roman Regular"/>
                <w:sz w:val="21"/>
                <w:szCs w:val="21"/>
              </w:rPr>
              <w:t>万元</w:t>
            </w:r>
          </w:p>
        </w:tc>
        <w:tc>
          <w:tcPr>
            <w:tcW w:w="152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Cs w:val="21"/>
                <w:lang w:eastAsia="zh-CN"/>
              </w:rPr>
            </w:pPr>
            <w:r>
              <w:rPr>
                <w:rStyle w:val="16"/>
                <w:rFonts w:hint="eastAsia" w:ascii="Times New Roman" w:hAnsi="Times New Roman" w:cs="Times New Roman" w:eastAsiaTheme="minorEastAsia"/>
                <w:sz w:val="18"/>
                <w:szCs w:val="18"/>
                <w:lang w:bidi="ar"/>
              </w:rPr>
              <w:t>142.87</w:t>
            </w:r>
            <w:r>
              <w:rPr>
                <w:rStyle w:val="22"/>
                <w:rFonts w:hint="eastAsia" w:ascii="Times New Roman Regular" w:hAnsi="Times New Roman Regular" w:eastAsia="仿宋_GB2312" w:cs="Times New Roman Regular"/>
                <w:sz w:val="21"/>
                <w:szCs w:val="21"/>
                <w:lang w:eastAsia="zh-CN"/>
              </w:rPr>
              <w:t>万元</w:t>
            </w:r>
          </w:p>
        </w:tc>
      </w:tr>
      <w:tr>
        <w:tblPrEx>
          <w:tblCellMar>
            <w:top w:w="0" w:type="dxa"/>
            <w:left w:w="108" w:type="dxa"/>
            <w:bottom w:w="0" w:type="dxa"/>
            <w:right w:w="108" w:type="dxa"/>
          </w:tblCellMar>
        </w:tblPrEx>
        <w:trPr>
          <w:trHeight w:val="319" w:hRule="atLeast"/>
          <w:jc w:val="center"/>
        </w:trPr>
        <w:tc>
          <w:tcPr>
            <w:tcW w:w="29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Cs w:val="21"/>
              </w:rPr>
            </w:pPr>
            <w:r>
              <w:rPr>
                <w:rFonts w:hint="eastAsia" w:ascii="Times New Roman" w:hAnsi="Times New Roman"/>
                <w:kern w:val="0"/>
                <w:szCs w:val="21"/>
              </w:rPr>
              <w:t>厉行节约保障措施</w:t>
            </w:r>
          </w:p>
        </w:tc>
        <w:tc>
          <w:tcPr>
            <w:tcW w:w="5091" w:type="dxa"/>
            <w:gridSpan w:val="5"/>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eastAsia"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ab/>
            </w:r>
            <w:r>
              <w:rPr>
                <w:rFonts w:hint="eastAsia" w:ascii="Times New Roman" w:hAnsi="Times New Roman"/>
                <w:kern w:val="0"/>
                <w:szCs w:val="21"/>
                <w:lang w:val="en-US" w:eastAsia="zh-CN"/>
              </w:rPr>
              <w:t>严格控制三公经费支出</w:t>
            </w:r>
            <w:r>
              <w:rPr>
                <w:rFonts w:hint="eastAsia" w:ascii="Times New Roman" w:hAnsi="Times New Roman"/>
                <w:kern w:val="0"/>
                <w:szCs w:val="21"/>
              </w:rPr>
              <w:t>　　</w:t>
            </w:r>
          </w:p>
        </w:tc>
      </w:tr>
    </w:tbl>
    <w:p>
      <w:pPr>
        <w:spacing w:before="62" w:beforeLines="20"/>
        <w:rPr>
          <w:rFonts w:hint="default" w:ascii="Times New Roman" w:hAnsi="Times New Roman" w:eastAsia="仿宋_GB2312" w:cs="Times New Roman"/>
          <w:sz w:val="32"/>
          <w:szCs w:val="32"/>
        </w:rPr>
      </w:pPr>
    </w:p>
    <w:p>
      <w:pPr>
        <w:spacing w:before="62" w:beforeLines="20"/>
        <w:rPr>
          <w:rFonts w:hint="default" w:ascii="Times New Roman" w:hAnsi="Times New Roman" w:eastAsia="仿宋_GB2312" w:cs="Times New Roman"/>
          <w:sz w:val="32"/>
          <w:szCs w:val="32"/>
        </w:rPr>
      </w:pPr>
    </w:p>
    <w:p>
      <w:pPr>
        <w:spacing w:before="62" w:beforeLines="20"/>
        <w:rPr>
          <w:rFonts w:hint="default" w:ascii="Times New Roman" w:hAnsi="Times New Roman" w:eastAsia="仿宋_GB2312" w:cs="Times New Roman"/>
          <w:sz w:val="32"/>
          <w:szCs w:val="32"/>
        </w:rPr>
      </w:pPr>
    </w:p>
    <w:p>
      <w:pPr>
        <w:spacing w:before="62" w:beforeLines="20"/>
        <w:rPr>
          <w:rFonts w:hint="default" w:ascii="Times New Roman" w:hAnsi="Times New Roman" w:eastAsia="仿宋_GB2312" w:cs="Times New Roman"/>
          <w:sz w:val="32"/>
          <w:szCs w:val="32"/>
        </w:rPr>
      </w:pPr>
    </w:p>
    <w:p>
      <w:pPr>
        <w:spacing w:before="62" w:beforeLines="20"/>
        <w:rPr>
          <w:rFonts w:hint="eastAsia" w:ascii="Times New Roman" w:hAnsi="Times New Roman" w:eastAsia="仿宋"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邵阳市北塔区融媒体中心2022年度部门整体支出</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绩效自评表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108" w:type="dxa"/>
        </w:tblCellMar>
      </w:tblPr>
      <w:tblGrid>
        <w:gridCol w:w="569"/>
        <w:gridCol w:w="846"/>
        <w:gridCol w:w="986"/>
        <w:gridCol w:w="947"/>
        <w:gridCol w:w="1288"/>
        <w:gridCol w:w="1731"/>
        <w:gridCol w:w="1383"/>
        <w:gridCol w:w="68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06" w:type="pct"/>
            <w:vMerge w:val="restart"/>
            <w:noWrap w:val="0"/>
            <w:textDirection w:val="tbRlV"/>
            <w:vAlign w:val="center"/>
          </w:tcPr>
          <w:p>
            <w:pPr>
              <w:widowControl/>
              <w:ind w:left="113" w:right="113"/>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部门资金（万元）</w:t>
            </w:r>
          </w:p>
        </w:tc>
        <w:tc>
          <w:tcPr>
            <w:tcW w:w="1491" w:type="pct"/>
            <w:gridSpan w:val="3"/>
            <w:noWrap w:val="0"/>
            <w:vAlign w:val="center"/>
          </w:tcPr>
          <w:p>
            <w:pPr>
              <w:widowControl/>
              <w:jc w:val="center"/>
              <w:rPr>
                <w:rFonts w:hint="default" w:ascii="Times New Roman" w:hAnsi="Times New Roman" w:cs="Times New Roman"/>
                <w:color w:val="000000"/>
                <w:kern w:val="0"/>
                <w:sz w:val="18"/>
                <w:szCs w:val="18"/>
              </w:rPr>
            </w:pPr>
          </w:p>
        </w:tc>
        <w:tc>
          <w:tcPr>
            <w:tcW w:w="690"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全年预算数</w:t>
            </w:r>
          </w:p>
        </w:tc>
        <w:tc>
          <w:tcPr>
            <w:tcW w:w="9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全年执行数</w:t>
            </w:r>
          </w:p>
        </w:tc>
        <w:tc>
          <w:tcPr>
            <w:tcW w:w="741"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预算执行率</w:t>
            </w:r>
          </w:p>
        </w:tc>
        <w:tc>
          <w:tcPr>
            <w:tcW w:w="36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分值</w:t>
            </w:r>
          </w:p>
        </w:tc>
        <w:tc>
          <w:tcPr>
            <w:tcW w:w="470"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06" w:type="pct"/>
            <w:vMerge w:val="continue"/>
            <w:noWrap w:val="0"/>
            <w:textDirection w:val="tbRlV"/>
            <w:vAlign w:val="center"/>
          </w:tcPr>
          <w:p>
            <w:pPr>
              <w:widowControl/>
              <w:ind w:left="113" w:right="113"/>
              <w:jc w:val="left"/>
              <w:rPr>
                <w:rFonts w:hint="default" w:ascii="Times New Roman" w:hAnsi="Times New Roman" w:cs="Times New Roman"/>
                <w:color w:val="000000"/>
                <w:kern w:val="0"/>
                <w:sz w:val="18"/>
                <w:szCs w:val="18"/>
              </w:rPr>
            </w:pPr>
          </w:p>
        </w:tc>
        <w:tc>
          <w:tcPr>
            <w:tcW w:w="1491" w:type="pct"/>
            <w:gridSpan w:val="3"/>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年度资金总额　</w:t>
            </w:r>
          </w:p>
        </w:tc>
        <w:tc>
          <w:tcPr>
            <w:tcW w:w="690" w:type="pct"/>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i w:val="0"/>
                <w:iCs w:val="0"/>
                <w:caps w:val="0"/>
                <w:color w:val="auto"/>
                <w:spacing w:val="0"/>
                <w:kern w:val="2"/>
                <w:sz w:val="18"/>
                <w:szCs w:val="18"/>
                <w:highlight w:val="none"/>
                <w:shd w:val="clear" w:fill="FFFFFF"/>
                <w:lang w:val="en-US" w:eastAsia="zh-CN" w:bidi="ar-SA"/>
              </w:rPr>
              <w:t>162.85万元</w:t>
            </w:r>
          </w:p>
        </w:tc>
        <w:tc>
          <w:tcPr>
            <w:tcW w:w="9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129.7万元</w:t>
            </w:r>
          </w:p>
        </w:tc>
        <w:tc>
          <w:tcPr>
            <w:tcW w:w="741" w:type="pct"/>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i w:val="0"/>
                <w:iCs w:val="0"/>
                <w:caps w:val="0"/>
                <w:color w:val="auto"/>
                <w:spacing w:val="0"/>
                <w:kern w:val="2"/>
                <w:sz w:val="18"/>
                <w:szCs w:val="18"/>
                <w:highlight w:val="none"/>
                <w:shd w:val="clear" w:fill="FFFFFF"/>
                <w:lang w:val="en-US" w:eastAsia="zh-CN" w:bidi="ar-SA"/>
              </w:rPr>
              <w:t>79.64%</w:t>
            </w:r>
          </w:p>
        </w:tc>
        <w:tc>
          <w:tcPr>
            <w:tcW w:w="36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06" w:type="pct"/>
            <w:vMerge w:val="continue"/>
            <w:noWrap w:val="0"/>
            <w:textDirection w:val="tbRlV"/>
            <w:vAlign w:val="center"/>
          </w:tcPr>
          <w:p>
            <w:pPr>
              <w:widowControl/>
              <w:ind w:left="113" w:right="113"/>
              <w:jc w:val="left"/>
              <w:rPr>
                <w:rFonts w:hint="default" w:ascii="Times New Roman" w:hAnsi="Times New Roman" w:cs="Times New Roman"/>
                <w:color w:val="000000"/>
                <w:kern w:val="0"/>
                <w:sz w:val="18"/>
                <w:szCs w:val="18"/>
              </w:rPr>
            </w:pPr>
          </w:p>
        </w:tc>
        <w:tc>
          <w:tcPr>
            <w:tcW w:w="2182" w:type="pct"/>
            <w:gridSpan w:val="4"/>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按收入性质分类</w:t>
            </w:r>
          </w:p>
        </w:tc>
        <w:tc>
          <w:tcPr>
            <w:tcW w:w="2510" w:type="pct"/>
            <w:gridSpan w:val="4"/>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06" w:type="pct"/>
            <w:vMerge w:val="continue"/>
            <w:noWrap w:val="0"/>
            <w:textDirection w:val="tbRlV"/>
            <w:vAlign w:val="center"/>
          </w:tcPr>
          <w:p>
            <w:pPr>
              <w:widowControl/>
              <w:ind w:left="113" w:right="113"/>
              <w:jc w:val="left"/>
              <w:rPr>
                <w:rFonts w:hint="default" w:ascii="Times New Roman" w:hAnsi="Times New Roman" w:cs="Times New Roman"/>
                <w:color w:val="000000"/>
                <w:kern w:val="0"/>
                <w:sz w:val="18"/>
                <w:szCs w:val="18"/>
              </w:rPr>
            </w:pPr>
          </w:p>
        </w:tc>
        <w:tc>
          <w:tcPr>
            <w:tcW w:w="1491" w:type="pct"/>
            <w:gridSpan w:val="3"/>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一般公共预算拨款</w:t>
            </w:r>
          </w:p>
        </w:tc>
        <w:tc>
          <w:tcPr>
            <w:tcW w:w="690" w:type="pct"/>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129.7万元</w:t>
            </w:r>
          </w:p>
        </w:tc>
        <w:tc>
          <w:tcPr>
            <w:tcW w:w="1671" w:type="pct"/>
            <w:gridSpan w:val="2"/>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基本支出</w:t>
            </w:r>
          </w:p>
        </w:tc>
        <w:tc>
          <w:tcPr>
            <w:tcW w:w="839" w:type="pct"/>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06" w:type="pct"/>
            <w:vMerge w:val="continue"/>
            <w:noWrap w:val="0"/>
            <w:textDirection w:val="tbRlV"/>
            <w:vAlign w:val="center"/>
          </w:tcPr>
          <w:p>
            <w:pPr>
              <w:widowControl/>
              <w:ind w:left="113" w:right="113"/>
              <w:jc w:val="left"/>
              <w:rPr>
                <w:rFonts w:hint="default" w:ascii="Times New Roman" w:hAnsi="Times New Roman" w:cs="Times New Roman"/>
                <w:color w:val="000000"/>
                <w:kern w:val="0"/>
                <w:sz w:val="18"/>
                <w:szCs w:val="18"/>
              </w:rPr>
            </w:pPr>
          </w:p>
        </w:tc>
        <w:tc>
          <w:tcPr>
            <w:tcW w:w="1491" w:type="pct"/>
            <w:gridSpan w:val="3"/>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政府性基金拨款</w:t>
            </w:r>
          </w:p>
        </w:tc>
        <w:tc>
          <w:tcPr>
            <w:tcW w:w="690" w:type="pct"/>
            <w:noWrap w:val="0"/>
            <w:vAlign w:val="center"/>
          </w:tcPr>
          <w:p>
            <w:pPr>
              <w:widowControl/>
              <w:jc w:val="center"/>
              <w:rPr>
                <w:rFonts w:hint="default" w:ascii="Times New Roman" w:hAnsi="Times New Roman" w:eastAsia="宋体" w:cs="Times New Roman"/>
                <w:color w:val="000000"/>
                <w:kern w:val="0"/>
                <w:sz w:val="18"/>
                <w:szCs w:val="18"/>
                <w:lang w:val="en-US" w:eastAsia="zh-CN"/>
              </w:rPr>
            </w:pPr>
          </w:p>
        </w:tc>
        <w:tc>
          <w:tcPr>
            <w:tcW w:w="1671" w:type="pct"/>
            <w:gridSpan w:val="2"/>
            <w:noWrap w:val="0"/>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lang w:bidi="ar"/>
              </w:rPr>
              <w:t>1.人员经费</w:t>
            </w:r>
          </w:p>
        </w:tc>
        <w:tc>
          <w:tcPr>
            <w:tcW w:w="839" w:type="pct"/>
            <w:gridSpan w:val="2"/>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65.25</w:t>
            </w:r>
            <w:r>
              <w:rPr>
                <w:rFonts w:hint="default" w:ascii="Times New Roman" w:hAnsi="Times New Roman" w:cs="Times New Roman"/>
                <w:color w:val="000000"/>
                <w:kern w:val="0"/>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06" w:type="pct"/>
            <w:vMerge w:val="continue"/>
            <w:noWrap w:val="0"/>
            <w:textDirection w:val="tbRlV"/>
            <w:vAlign w:val="center"/>
          </w:tcPr>
          <w:p>
            <w:pPr>
              <w:widowControl/>
              <w:ind w:left="113" w:right="113"/>
              <w:jc w:val="left"/>
              <w:rPr>
                <w:rFonts w:hint="default" w:ascii="Times New Roman" w:hAnsi="Times New Roman" w:cs="Times New Roman"/>
                <w:color w:val="000000"/>
                <w:kern w:val="0"/>
                <w:sz w:val="18"/>
                <w:szCs w:val="18"/>
              </w:rPr>
            </w:pPr>
          </w:p>
        </w:tc>
        <w:tc>
          <w:tcPr>
            <w:tcW w:w="1491" w:type="pct"/>
            <w:gridSpan w:val="3"/>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纳入管理的非税收入拨款</w:t>
            </w:r>
          </w:p>
        </w:tc>
        <w:tc>
          <w:tcPr>
            <w:tcW w:w="690"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c>
          <w:tcPr>
            <w:tcW w:w="1671" w:type="pct"/>
            <w:gridSpan w:val="2"/>
            <w:noWrap w:val="0"/>
            <w:vAlign w:val="center"/>
          </w:tcPr>
          <w:p>
            <w:pPr>
              <w:widowControl/>
              <w:ind w:firstLine="360" w:firstLineChars="200"/>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lang w:bidi="ar"/>
              </w:rPr>
              <w:t>2.公用经费</w:t>
            </w:r>
          </w:p>
        </w:tc>
        <w:tc>
          <w:tcPr>
            <w:tcW w:w="839" w:type="pct"/>
            <w:gridSpan w:val="2"/>
            <w:noWrap w:val="0"/>
            <w:vAlign w:val="center"/>
          </w:tcPr>
          <w:p>
            <w:pPr>
              <w:widowControl/>
              <w:jc w:val="center"/>
              <w:rPr>
                <w:rFonts w:hint="default" w:ascii="Times New Roman" w:hAnsi="Times New Roman" w:eastAsia="宋体" w:cs="Times New Roman"/>
                <w:color w:val="000000"/>
                <w:kern w:val="0"/>
                <w:sz w:val="18"/>
                <w:szCs w:val="18"/>
                <w:lang w:eastAsia="zh-CN"/>
              </w:rPr>
            </w:pPr>
            <w:r>
              <w:rPr>
                <w:rFonts w:hint="default" w:ascii="Times New Roman" w:hAnsi="Times New Roman" w:cs="Times New Roman"/>
                <w:color w:val="000000"/>
                <w:kern w:val="0"/>
                <w:sz w:val="18"/>
                <w:szCs w:val="18"/>
              </w:rPr>
              <w:t>64.46</w:t>
            </w:r>
            <w:r>
              <w:rPr>
                <w:rFonts w:hint="default" w:ascii="Times New Roman" w:hAnsi="Times New Roman" w:cs="Times New Roman"/>
                <w:color w:val="000000"/>
                <w:kern w:val="0"/>
                <w:sz w:val="18"/>
                <w:szCs w:val="1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06" w:type="pct"/>
            <w:vMerge w:val="continue"/>
            <w:noWrap w:val="0"/>
            <w:textDirection w:val="tbRlV"/>
            <w:vAlign w:val="center"/>
          </w:tcPr>
          <w:p>
            <w:pPr>
              <w:widowControl/>
              <w:ind w:left="113" w:right="113"/>
              <w:jc w:val="left"/>
              <w:rPr>
                <w:rFonts w:hint="default" w:ascii="Times New Roman" w:hAnsi="Times New Roman" w:cs="Times New Roman"/>
                <w:color w:val="000000"/>
                <w:kern w:val="0"/>
                <w:sz w:val="18"/>
                <w:szCs w:val="18"/>
              </w:rPr>
            </w:pPr>
          </w:p>
        </w:tc>
        <w:tc>
          <w:tcPr>
            <w:tcW w:w="1491" w:type="pct"/>
            <w:gridSpan w:val="3"/>
            <w:noWrap w:val="0"/>
            <w:vAlign w:val="center"/>
          </w:tcPr>
          <w:p>
            <w:pPr>
              <w:widowControl/>
              <w:jc w:val="center"/>
              <w:rPr>
                <w:rFonts w:hint="default" w:ascii="Times New Roman" w:hAnsi="Times New Roman" w:cs="Times New Roman"/>
                <w:color w:val="000000"/>
                <w:kern w:val="0"/>
                <w:sz w:val="18"/>
                <w:szCs w:val="18"/>
              </w:rPr>
            </w:pPr>
          </w:p>
        </w:tc>
        <w:tc>
          <w:tcPr>
            <w:tcW w:w="690" w:type="pct"/>
            <w:noWrap w:val="0"/>
            <w:vAlign w:val="center"/>
          </w:tcPr>
          <w:p>
            <w:pPr>
              <w:widowControl/>
              <w:jc w:val="center"/>
              <w:rPr>
                <w:rFonts w:hint="default" w:ascii="Times New Roman" w:hAnsi="Times New Roman" w:cs="Times New Roman"/>
                <w:color w:val="000000"/>
                <w:kern w:val="0"/>
                <w:sz w:val="18"/>
                <w:szCs w:val="18"/>
              </w:rPr>
            </w:pPr>
          </w:p>
        </w:tc>
        <w:tc>
          <w:tcPr>
            <w:tcW w:w="1671" w:type="pct"/>
            <w:gridSpan w:val="2"/>
            <w:noWrap w:val="0"/>
            <w:vAlign w:val="center"/>
          </w:tcPr>
          <w:p>
            <w:pPr>
              <w:widowControl/>
              <w:jc w:val="righ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其中：三公经费</w:t>
            </w:r>
          </w:p>
        </w:tc>
        <w:tc>
          <w:tcPr>
            <w:tcW w:w="839" w:type="pct"/>
            <w:gridSpan w:val="2"/>
            <w:noWrap w:val="0"/>
            <w:vAlign w:val="center"/>
          </w:tcPr>
          <w:p>
            <w:pPr>
              <w:widowControl/>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306" w:type="pct"/>
            <w:vMerge w:val="continue"/>
            <w:noWrap w:val="0"/>
            <w:textDirection w:val="tbRlV"/>
            <w:vAlign w:val="center"/>
          </w:tcPr>
          <w:p>
            <w:pPr>
              <w:widowControl/>
              <w:ind w:left="113" w:right="113"/>
              <w:jc w:val="left"/>
              <w:rPr>
                <w:rFonts w:hint="default" w:ascii="Times New Roman" w:hAnsi="Times New Roman" w:cs="Times New Roman"/>
                <w:color w:val="000000"/>
                <w:kern w:val="0"/>
                <w:sz w:val="18"/>
                <w:szCs w:val="18"/>
              </w:rPr>
            </w:pPr>
          </w:p>
        </w:tc>
        <w:tc>
          <w:tcPr>
            <w:tcW w:w="1491" w:type="pct"/>
            <w:gridSpan w:val="3"/>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其他资金</w:t>
            </w:r>
          </w:p>
        </w:tc>
        <w:tc>
          <w:tcPr>
            <w:tcW w:w="690"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lang w:val="en-US" w:eastAsia="zh-CN"/>
              </w:rPr>
              <w:t>0</w:t>
            </w:r>
            <w:r>
              <w:rPr>
                <w:rFonts w:hint="default" w:ascii="Times New Roman" w:hAnsi="Times New Roman" w:cs="Times New Roman"/>
                <w:color w:val="000000"/>
                <w:kern w:val="0"/>
                <w:sz w:val="18"/>
                <w:szCs w:val="18"/>
              </w:rPr>
              <w:t>　</w:t>
            </w:r>
          </w:p>
        </w:tc>
        <w:tc>
          <w:tcPr>
            <w:tcW w:w="1671" w:type="pct"/>
            <w:gridSpan w:val="2"/>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项目支出</w:t>
            </w:r>
          </w:p>
        </w:tc>
        <w:tc>
          <w:tcPr>
            <w:tcW w:w="839" w:type="pct"/>
            <w:gridSpan w:val="2"/>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306" w:type="pct"/>
            <w:vMerge w:val="restart"/>
            <w:noWrap w:val="0"/>
            <w:textDirection w:val="tbRlV"/>
            <w:vAlign w:val="center"/>
          </w:tcPr>
          <w:p>
            <w:pPr>
              <w:widowControl/>
              <w:ind w:left="113" w:right="113"/>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年度总体目标</w:t>
            </w:r>
          </w:p>
        </w:tc>
        <w:tc>
          <w:tcPr>
            <w:tcW w:w="2182" w:type="pct"/>
            <w:gridSpan w:val="4"/>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年初预期（设定）目标　</w:t>
            </w:r>
          </w:p>
        </w:tc>
        <w:tc>
          <w:tcPr>
            <w:tcW w:w="2510" w:type="pct"/>
            <w:gridSpan w:val="4"/>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306" w:type="pct"/>
            <w:vMerge w:val="continue"/>
            <w:noWrap w:val="0"/>
            <w:textDirection w:val="tbRlV"/>
            <w:vAlign w:val="center"/>
          </w:tcPr>
          <w:p>
            <w:pPr>
              <w:widowControl/>
              <w:ind w:left="113" w:right="113"/>
              <w:jc w:val="left"/>
              <w:rPr>
                <w:rFonts w:hint="default" w:ascii="Times New Roman" w:hAnsi="Times New Roman" w:cs="Times New Roman"/>
                <w:color w:val="000000"/>
                <w:kern w:val="0"/>
                <w:sz w:val="18"/>
                <w:szCs w:val="18"/>
              </w:rPr>
            </w:pPr>
          </w:p>
        </w:tc>
        <w:tc>
          <w:tcPr>
            <w:tcW w:w="2182" w:type="pct"/>
            <w:gridSpan w:val="4"/>
            <w:noWrap w:val="0"/>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在本年度收支预算内，确保完成以下整体目标：</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目标1：人员经费按照相关政策及时发放到位</w:t>
            </w:r>
          </w:p>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目标2：严格控制三公经费，确保机关正常运行</w:t>
            </w:r>
          </w:p>
          <w:p>
            <w:pPr>
              <w:widowControl/>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目标3：做好社会保障工作</w:t>
            </w:r>
          </w:p>
        </w:tc>
        <w:tc>
          <w:tcPr>
            <w:tcW w:w="2510" w:type="pct"/>
            <w:gridSpan w:val="4"/>
            <w:noWrap w:val="0"/>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按照财政预算，严控三公经费，2022年本单位正常运行，人员相关经费按照政策及时发放到位。</w:t>
            </w:r>
            <w:r>
              <w:rPr>
                <w:rFonts w:hint="default" w:ascii="Times New Roman" w:hAnsi="Times New Roman" w:cs="Times New Roman"/>
                <w:color w:val="000000"/>
                <w:kern w:val="0"/>
                <w:sz w:val="18"/>
                <w:szCs w:val="18"/>
              </w:rPr>
              <w:t>　</w:t>
            </w:r>
          </w:p>
          <w:p>
            <w:pPr>
              <w:widowControl/>
              <w:jc w:val="center"/>
              <w:rPr>
                <w:rFonts w:hint="default" w:ascii="Times New Roman" w:hAnsi="Times New Roman" w:eastAsia="宋体" w:cs="Times New Roman"/>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306" w:type="pct"/>
            <w:vMerge w:val="restart"/>
            <w:noWrap w:val="0"/>
            <w:textDirection w:val="tbRlV"/>
            <w:vAlign w:val="center"/>
          </w:tcPr>
          <w:p>
            <w:pPr>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绩效指标</w:t>
            </w:r>
          </w:p>
        </w:tc>
        <w:tc>
          <w:tcPr>
            <w:tcW w:w="454"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一级</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tc>
        <w:tc>
          <w:tcPr>
            <w:tcW w:w="5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二级指标</w:t>
            </w:r>
          </w:p>
        </w:tc>
        <w:tc>
          <w:tcPr>
            <w:tcW w:w="1199" w:type="pct"/>
            <w:gridSpan w:val="2"/>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三级指标　</w:t>
            </w:r>
          </w:p>
        </w:tc>
        <w:tc>
          <w:tcPr>
            <w:tcW w:w="9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年度指标值</w:t>
            </w:r>
          </w:p>
        </w:tc>
        <w:tc>
          <w:tcPr>
            <w:tcW w:w="741"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实际完成值</w:t>
            </w:r>
          </w:p>
        </w:tc>
        <w:tc>
          <w:tcPr>
            <w:tcW w:w="36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分值</w:t>
            </w:r>
          </w:p>
        </w:tc>
        <w:tc>
          <w:tcPr>
            <w:tcW w:w="470"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restar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产出</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（50分）</w:t>
            </w:r>
          </w:p>
        </w:tc>
        <w:tc>
          <w:tcPr>
            <w:tcW w:w="529" w:type="pct"/>
            <w:vMerge w:val="restar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数量指标</w:t>
            </w: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bidi="ar-SA"/>
              </w:rPr>
              <w:t>正面宣传：自身平台发稿数</w:t>
            </w:r>
          </w:p>
        </w:tc>
        <w:tc>
          <w:tcPr>
            <w:tcW w:w="929"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1900条</w:t>
            </w:r>
          </w:p>
        </w:tc>
        <w:tc>
          <w:tcPr>
            <w:tcW w:w="741"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1900条</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8</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continue"/>
            <w:noWrap w:val="0"/>
            <w:vAlign w:val="center"/>
          </w:tcPr>
          <w:p>
            <w:pPr>
              <w:widowControl/>
              <w:jc w:val="center"/>
              <w:rPr>
                <w:rFonts w:hint="default" w:ascii="Times New Roman" w:hAnsi="Times New Roman" w:cs="Times New Roman"/>
                <w:color w:val="000000"/>
                <w:kern w:val="0"/>
                <w:sz w:val="18"/>
                <w:szCs w:val="18"/>
              </w:rPr>
            </w:pPr>
          </w:p>
        </w:tc>
        <w:tc>
          <w:tcPr>
            <w:tcW w:w="529" w:type="pct"/>
            <w:vMerge w:val="continue"/>
            <w:noWrap w:val="0"/>
            <w:vAlign w:val="center"/>
          </w:tcPr>
          <w:p>
            <w:pPr>
              <w:widowControl/>
              <w:jc w:val="center"/>
              <w:rPr>
                <w:rFonts w:hint="default" w:ascii="Times New Roman" w:hAnsi="Times New Roman" w:cs="Times New Roman"/>
                <w:color w:val="000000"/>
                <w:kern w:val="0"/>
                <w:sz w:val="18"/>
                <w:szCs w:val="18"/>
              </w:rPr>
            </w:pPr>
          </w:p>
        </w:tc>
        <w:tc>
          <w:tcPr>
            <w:tcW w:w="1199" w:type="pct"/>
            <w:gridSpan w:val="2"/>
            <w:noWrap w:val="0"/>
            <w:vAlign w:val="center"/>
          </w:tcPr>
          <w:p>
            <w:pPr>
              <w:widowControl/>
              <w:jc w:val="both"/>
              <w:textAlignment w:val="center"/>
              <w:rPr>
                <w:rFonts w:hint="default" w:ascii="Times New Roman" w:hAnsi="Times New Roman" w:cs="Times New Roman"/>
                <w:color w:val="000000"/>
                <w:kern w:val="0"/>
                <w:sz w:val="18"/>
                <w:szCs w:val="18"/>
                <w:lang w:eastAsia="zh-CN"/>
              </w:rPr>
            </w:pPr>
            <w:r>
              <w:rPr>
                <w:rFonts w:hint="default" w:ascii="Times New Roman" w:hAnsi="Times New Roman" w:cs="Times New Roman"/>
                <w:color w:val="000000"/>
                <w:kern w:val="0"/>
                <w:sz w:val="18"/>
                <w:szCs w:val="18"/>
                <w:lang w:eastAsia="zh-CN"/>
              </w:rPr>
              <w:t>融媒视频：北塔发布视频号发布视频数</w:t>
            </w:r>
          </w:p>
        </w:tc>
        <w:tc>
          <w:tcPr>
            <w:tcW w:w="929" w:type="pct"/>
            <w:noWrap w:val="0"/>
            <w:vAlign w:val="center"/>
          </w:tcPr>
          <w:p>
            <w:pPr>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kern w:val="0"/>
                <w:sz w:val="18"/>
                <w:szCs w:val="18"/>
                <w:lang w:eastAsia="zh-CN"/>
              </w:rPr>
              <w:t>165个</w:t>
            </w:r>
          </w:p>
        </w:tc>
        <w:tc>
          <w:tcPr>
            <w:tcW w:w="741" w:type="pct"/>
            <w:noWrap w:val="0"/>
            <w:vAlign w:val="center"/>
          </w:tcPr>
          <w:p>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eastAsia="zh-CN"/>
              </w:rPr>
              <w:t>165个</w:t>
            </w:r>
          </w:p>
        </w:tc>
        <w:tc>
          <w:tcPr>
            <w:tcW w:w="369" w:type="pct"/>
            <w:noWrap w:val="0"/>
            <w:vAlign w:val="center"/>
          </w:tcPr>
          <w:p>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8</w:t>
            </w:r>
          </w:p>
        </w:tc>
        <w:tc>
          <w:tcPr>
            <w:tcW w:w="470" w:type="pct"/>
            <w:noWrap w:val="0"/>
            <w:vAlign w:val="center"/>
          </w:tcPr>
          <w:p>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529" w:type="pct"/>
            <w:vMerge w:val="restar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质量指标</w:t>
            </w: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eastAsia="zh-CN"/>
              </w:rPr>
              <w:t>中央级媒体上稿71篇，省级主流上稿近145篇；在邵阳日报发表头版头条10条，县区版头条12条，头版文章20条</w:t>
            </w:r>
          </w:p>
        </w:tc>
        <w:tc>
          <w:tcPr>
            <w:tcW w:w="929"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741"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7</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529"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bidi="ar-SA"/>
              </w:rPr>
              <w:t>转载省、市级主流媒体视频110个，原创视频55个。</w:t>
            </w:r>
          </w:p>
        </w:tc>
        <w:tc>
          <w:tcPr>
            <w:tcW w:w="929"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bidi="ar-SA"/>
              </w:rPr>
              <w:t>100%</w:t>
            </w:r>
          </w:p>
        </w:tc>
        <w:tc>
          <w:tcPr>
            <w:tcW w:w="741"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bidi="ar-SA"/>
              </w:rPr>
              <w:t>100%</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bidi="ar-SA"/>
              </w:rPr>
              <w:t>10</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5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时效指标</w:t>
            </w: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重点工作办结率</w:t>
            </w:r>
          </w:p>
        </w:tc>
        <w:tc>
          <w:tcPr>
            <w:tcW w:w="929"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按时办结100%</w:t>
            </w:r>
          </w:p>
        </w:tc>
        <w:tc>
          <w:tcPr>
            <w:tcW w:w="741"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按时办</w:t>
            </w:r>
            <w:r>
              <w:rPr>
                <w:rFonts w:hint="default" w:ascii="Times New Roman" w:hAnsi="Times New Roman" w:eastAsia="宋体" w:cs="Times New Roman"/>
                <w:color w:val="000000"/>
                <w:sz w:val="18"/>
                <w:szCs w:val="18"/>
                <w:lang w:val="en-US" w:eastAsia="zh-CN"/>
              </w:rPr>
              <w:t>结</w:t>
            </w:r>
            <w:r>
              <w:rPr>
                <w:rFonts w:hint="default" w:ascii="Times New Roman" w:hAnsi="Times New Roman" w:eastAsia="宋体" w:cs="Times New Roman"/>
                <w:color w:val="000000"/>
                <w:sz w:val="18"/>
                <w:szCs w:val="18"/>
              </w:rPr>
              <w:t>100%</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09"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5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成本指标</w:t>
            </w: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各项业务经费不超出预算，超支审批</w:t>
            </w:r>
          </w:p>
        </w:tc>
        <w:tc>
          <w:tcPr>
            <w:tcW w:w="929"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741" w:type="pct"/>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9</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94" w:hRule="exact"/>
          <w:jc w:val="center"/>
        </w:trPr>
        <w:tc>
          <w:tcPr>
            <w:tcW w:w="306" w:type="pct"/>
            <w:vMerge w:val="restar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绩效指标</w:t>
            </w:r>
          </w:p>
        </w:tc>
        <w:tc>
          <w:tcPr>
            <w:tcW w:w="454" w:type="pct"/>
            <w:vMerge w:val="restar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效益</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（30分）</w:t>
            </w:r>
          </w:p>
        </w:tc>
        <w:tc>
          <w:tcPr>
            <w:tcW w:w="5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经济效益指标</w:t>
            </w: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eastAsia="zh-CN"/>
              </w:rPr>
              <w:t>宣传提升北塔知名度，促进北塔招商引资提升社会收入</w:t>
            </w:r>
          </w:p>
        </w:tc>
        <w:tc>
          <w:tcPr>
            <w:tcW w:w="929"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较上年有所</w:t>
            </w:r>
            <w:r>
              <w:rPr>
                <w:rFonts w:hint="default" w:ascii="Times New Roman" w:hAnsi="Times New Roman" w:cs="Times New Roman"/>
                <w:color w:val="000000"/>
                <w:sz w:val="18"/>
                <w:szCs w:val="18"/>
                <w:lang w:eastAsia="zh-CN"/>
              </w:rPr>
              <w:t>上升</w:t>
            </w:r>
          </w:p>
        </w:tc>
        <w:tc>
          <w:tcPr>
            <w:tcW w:w="741"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有所</w:t>
            </w:r>
            <w:r>
              <w:rPr>
                <w:rFonts w:hint="default" w:ascii="Times New Roman" w:hAnsi="Times New Roman" w:cs="Times New Roman"/>
                <w:color w:val="000000"/>
                <w:kern w:val="0"/>
                <w:sz w:val="18"/>
                <w:szCs w:val="18"/>
                <w:lang w:val="en-US" w:eastAsia="zh-CN"/>
              </w:rPr>
              <w:t xml:space="preserve">上升 </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8</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55" w:hRule="exact"/>
          <w:jc w:val="center"/>
        </w:trPr>
        <w:tc>
          <w:tcPr>
            <w:tcW w:w="306" w:type="pct"/>
            <w:vMerge w:val="continue"/>
            <w:noWrap w:val="0"/>
            <w:vAlign w:val="center"/>
          </w:tcPr>
          <w:p>
            <w:pPr>
              <w:jc w:val="left"/>
              <w:rPr>
                <w:rFonts w:hint="default" w:ascii="Times New Roman" w:hAnsi="Times New Roman" w:cs="Times New Roman"/>
                <w:color w:val="000000"/>
                <w:kern w:val="0"/>
                <w:sz w:val="18"/>
                <w:szCs w:val="18"/>
              </w:rPr>
            </w:pPr>
          </w:p>
        </w:tc>
        <w:tc>
          <w:tcPr>
            <w:tcW w:w="454" w:type="pct"/>
            <w:vMerge w:val="continue"/>
            <w:noWrap w:val="0"/>
            <w:vAlign w:val="center"/>
          </w:tcPr>
          <w:p>
            <w:pPr>
              <w:jc w:val="left"/>
              <w:rPr>
                <w:rFonts w:hint="default" w:ascii="Times New Roman" w:hAnsi="Times New Roman" w:cs="Times New Roman"/>
                <w:color w:val="000000"/>
                <w:kern w:val="0"/>
                <w:sz w:val="18"/>
                <w:szCs w:val="18"/>
              </w:rPr>
            </w:pPr>
          </w:p>
        </w:tc>
        <w:tc>
          <w:tcPr>
            <w:tcW w:w="529" w:type="pct"/>
            <w:vMerge w:val="restar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社会效益指标</w:t>
            </w: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eastAsia="zh-CN"/>
              </w:rPr>
              <w:t>着力打造学习型机关</w:t>
            </w:r>
          </w:p>
        </w:tc>
        <w:tc>
          <w:tcPr>
            <w:tcW w:w="929"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eastAsia="zh-CN"/>
              </w:rPr>
              <w:t>创新推出“读报半小时”活动</w:t>
            </w:r>
          </w:p>
        </w:tc>
        <w:tc>
          <w:tcPr>
            <w:tcW w:w="741"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Hans"/>
              </w:rPr>
              <w:t>通</w:t>
            </w:r>
            <w:r>
              <w:rPr>
                <w:rFonts w:hint="default" w:ascii="Times New Roman" w:hAnsi="Times New Roman" w:eastAsia="宋体" w:cs="Times New Roman"/>
                <w:color w:val="000000"/>
                <w:sz w:val="18"/>
                <w:szCs w:val="18"/>
                <w:lang w:val="en-US" w:eastAsia="zh-CN"/>
              </w:rPr>
              <w:t>过“读”和“论”加强对干部尤其是年轻干部的业务培训</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jc w:val="left"/>
              <w:rPr>
                <w:rFonts w:hint="default" w:ascii="Times New Roman" w:hAnsi="Times New Roman" w:cs="Times New Roman"/>
                <w:color w:val="000000"/>
                <w:kern w:val="0"/>
                <w:sz w:val="18"/>
                <w:szCs w:val="18"/>
              </w:rPr>
            </w:pPr>
          </w:p>
        </w:tc>
        <w:tc>
          <w:tcPr>
            <w:tcW w:w="454" w:type="pct"/>
            <w:vMerge w:val="continue"/>
            <w:noWrap w:val="0"/>
            <w:vAlign w:val="center"/>
          </w:tcPr>
          <w:p>
            <w:pPr>
              <w:jc w:val="left"/>
              <w:rPr>
                <w:rFonts w:hint="default" w:ascii="Times New Roman" w:hAnsi="Times New Roman" w:cs="Times New Roman"/>
                <w:color w:val="000000"/>
                <w:kern w:val="0"/>
                <w:sz w:val="18"/>
                <w:szCs w:val="18"/>
              </w:rPr>
            </w:pPr>
          </w:p>
        </w:tc>
        <w:tc>
          <w:tcPr>
            <w:tcW w:w="529" w:type="pct"/>
            <w:vMerge w:val="continue"/>
            <w:noWrap w:val="0"/>
            <w:vAlign w:val="center"/>
          </w:tcPr>
          <w:p>
            <w:pPr>
              <w:widowControl/>
              <w:jc w:val="center"/>
              <w:rPr>
                <w:rFonts w:hint="default" w:ascii="Times New Roman" w:hAnsi="Times New Roman" w:cs="Times New Roman"/>
                <w:color w:val="000000"/>
                <w:kern w:val="0"/>
                <w:sz w:val="18"/>
                <w:szCs w:val="18"/>
              </w:rPr>
            </w:pP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提升</w:t>
            </w:r>
            <w:r>
              <w:rPr>
                <w:rFonts w:hint="default" w:ascii="Times New Roman" w:hAnsi="Times New Roman" w:eastAsia="宋体" w:cs="Times New Roman"/>
                <w:color w:val="000000"/>
                <w:kern w:val="2"/>
                <w:sz w:val="18"/>
                <w:szCs w:val="18"/>
                <w:lang w:val="en-US" w:eastAsia="zh-CN" w:bidi="ar-SA"/>
              </w:rPr>
              <w:t>“精美北塔”“北塔发布”公众号粉丝</w:t>
            </w:r>
          </w:p>
        </w:tc>
        <w:tc>
          <w:tcPr>
            <w:tcW w:w="929"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明显提升</w:t>
            </w:r>
          </w:p>
        </w:tc>
        <w:tc>
          <w:tcPr>
            <w:tcW w:w="741"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明显提升</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4</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jc w:val="left"/>
              <w:rPr>
                <w:rFonts w:hint="default" w:ascii="Times New Roman" w:hAnsi="Times New Roman" w:cs="Times New Roman"/>
                <w:color w:val="000000"/>
                <w:kern w:val="0"/>
                <w:sz w:val="18"/>
                <w:szCs w:val="18"/>
              </w:rPr>
            </w:pPr>
          </w:p>
        </w:tc>
        <w:tc>
          <w:tcPr>
            <w:tcW w:w="454" w:type="pct"/>
            <w:vMerge w:val="continue"/>
            <w:noWrap w:val="0"/>
            <w:vAlign w:val="center"/>
          </w:tcPr>
          <w:p>
            <w:pPr>
              <w:jc w:val="left"/>
              <w:rPr>
                <w:rFonts w:hint="default" w:ascii="Times New Roman" w:hAnsi="Times New Roman" w:cs="Times New Roman"/>
                <w:color w:val="000000"/>
                <w:kern w:val="0"/>
                <w:sz w:val="18"/>
                <w:szCs w:val="18"/>
              </w:rPr>
            </w:pPr>
          </w:p>
        </w:tc>
        <w:tc>
          <w:tcPr>
            <w:tcW w:w="529" w:type="pct"/>
            <w:vMerge w:val="continue"/>
            <w:noWrap w:val="0"/>
            <w:vAlign w:val="center"/>
          </w:tcPr>
          <w:p>
            <w:pPr>
              <w:widowControl/>
              <w:jc w:val="center"/>
              <w:rPr>
                <w:rFonts w:hint="default" w:ascii="Times New Roman" w:hAnsi="Times New Roman" w:cs="Times New Roman"/>
                <w:color w:val="000000"/>
                <w:kern w:val="0"/>
                <w:sz w:val="18"/>
                <w:szCs w:val="18"/>
              </w:rPr>
            </w:pP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疫情彰显融媒担当</w:t>
            </w:r>
          </w:p>
        </w:tc>
        <w:tc>
          <w:tcPr>
            <w:tcW w:w="929"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eastAsia="zh-CN"/>
              </w:rPr>
              <w:t>担当明显</w:t>
            </w:r>
          </w:p>
        </w:tc>
        <w:tc>
          <w:tcPr>
            <w:tcW w:w="741"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eastAsia="zh-CN"/>
              </w:rPr>
              <w:t>担当明显</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4</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jc w:val="left"/>
              <w:rPr>
                <w:rFonts w:hint="default" w:ascii="Times New Roman" w:hAnsi="Times New Roman" w:cs="Times New Roman"/>
                <w:color w:val="000000"/>
                <w:kern w:val="0"/>
                <w:sz w:val="18"/>
                <w:szCs w:val="18"/>
              </w:rPr>
            </w:pPr>
          </w:p>
        </w:tc>
        <w:tc>
          <w:tcPr>
            <w:tcW w:w="454" w:type="pct"/>
            <w:vMerge w:val="continue"/>
            <w:noWrap w:val="0"/>
            <w:vAlign w:val="center"/>
          </w:tcPr>
          <w:p>
            <w:pPr>
              <w:jc w:val="left"/>
              <w:rPr>
                <w:rFonts w:hint="default" w:ascii="Times New Roman" w:hAnsi="Times New Roman" w:cs="Times New Roman"/>
                <w:color w:val="000000"/>
                <w:kern w:val="0"/>
                <w:sz w:val="18"/>
                <w:szCs w:val="18"/>
              </w:rPr>
            </w:pPr>
          </w:p>
        </w:tc>
        <w:tc>
          <w:tcPr>
            <w:tcW w:w="5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生态效益指标</w:t>
            </w:r>
          </w:p>
        </w:tc>
        <w:tc>
          <w:tcPr>
            <w:tcW w:w="1199" w:type="pct"/>
            <w:gridSpan w:val="2"/>
            <w:noWrap w:val="0"/>
            <w:vAlign w:val="center"/>
          </w:tcPr>
          <w:p>
            <w:pPr>
              <w:pStyle w:val="3"/>
              <w:ind w:left="0" w:leftChars="0" w:right="0" w:rightChars="0" w:firstLine="0" w:firstLineChars="0"/>
              <w:jc w:val="center"/>
              <w:rPr>
                <w:rFonts w:hint="default" w:ascii="Times New Roman" w:hAnsi="Times New Roman" w:eastAsia="微软雅黑" w:cs="Times New Roman"/>
                <w:b/>
                <w:kern w:val="44"/>
                <w:sz w:val="18"/>
                <w:szCs w:val="18"/>
                <w:lang w:val="en-US" w:eastAsia="zh-CN" w:bidi="ar"/>
              </w:rPr>
            </w:pPr>
            <w:bookmarkStart w:id="37" w:name="_Toc774"/>
            <w:bookmarkStart w:id="38" w:name="_Toc29996"/>
            <w:r>
              <w:rPr>
                <w:rFonts w:hint="default" w:ascii="Times New Roman" w:hAnsi="Times New Roman" w:eastAsia="宋体" w:cs="Times New Roman"/>
                <w:b w:val="0"/>
                <w:color w:val="000000"/>
                <w:kern w:val="2"/>
                <w:sz w:val="18"/>
                <w:szCs w:val="18"/>
                <w:lang w:val="en-US" w:eastAsia="zh-CN" w:bidi="ar-SA"/>
              </w:rPr>
              <w:t>生态文明</w:t>
            </w:r>
            <w:bookmarkEnd w:id="37"/>
            <w:bookmarkEnd w:id="38"/>
          </w:p>
        </w:tc>
        <w:tc>
          <w:tcPr>
            <w:tcW w:w="929"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eastAsia="zh-CN"/>
              </w:rPr>
              <w:t>加强生态文明建设</w:t>
            </w:r>
          </w:p>
        </w:tc>
        <w:tc>
          <w:tcPr>
            <w:tcW w:w="741"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有所提升</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4</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00"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529" w:type="pc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可持续影响指标</w:t>
            </w: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深入学习宣传党的二十大精神</w:t>
            </w:r>
          </w:p>
        </w:tc>
        <w:tc>
          <w:tcPr>
            <w:tcW w:w="929"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sz w:val="18"/>
                <w:szCs w:val="18"/>
              </w:rPr>
              <w:t>宣传贯彻党的二十大精神的内容</w:t>
            </w:r>
          </w:p>
        </w:tc>
        <w:tc>
          <w:tcPr>
            <w:tcW w:w="741"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宣传贯彻党的二十大精神</w:t>
            </w:r>
          </w:p>
        </w:tc>
        <w:tc>
          <w:tcPr>
            <w:tcW w:w="369" w:type="pct"/>
            <w:noWrap w:val="0"/>
            <w:vAlign w:val="center"/>
          </w:tcPr>
          <w:p>
            <w:pPr>
              <w:widowControl/>
              <w:spacing w:line="280" w:lineRule="exact"/>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w:t>
            </w:r>
          </w:p>
        </w:tc>
        <w:tc>
          <w:tcPr>
            <w:tcW w:w="470" w:type="pct"/>
            <w:noWrap w:val="0"/>
            <w:vAlign w:val="center"/>
          </w:tcPr>
          <w:p>
            <w:pPr>
              <w:widowControl/>
              <w:spacing w:line="280" w:lineRule="exact"/>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restar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满意度</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（10分）</w:t>
            </w:r>
          </w:p>
        </w:tc>
        <w:tc>
          <w:tcPr>
            <w:tcW w:w="529" w:type="pct"/>
            <w:vMerge w:val="restart"/>
            <w:noWrap w:val="0"/>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社会公众或服务对象满意度指标</w:t>
            </w: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干部职工满意度</w:t>
            </w:r>
          </w:p>
        </w:tc>
        <w:tc>
          <w:tcPr>
            <w:tcW w:w="929"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满意度≥95%</w:t>
            </w:r>
          </w:p>
        </w:tc>
        <w:tc>
          <w:tcPr>
            <w:tcW w:w="741"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9</w:t>
            </w:r>
            <w:r>
              <w:rPr>
                <w:rFonts w:hint="default" w:ascii="Times New Roman" w:hAnsi="Times New Roman" w:cs="Times New Roman"/>
                <w:color w:val="000000"/>
                <w:sz w:val="18"/>
                <w:szCs w:val="18"/>
                <w:lang w:val="en-US" w:eastAsia="zh-CN"/>
              </w:rPr>
              <w:t>5</w:t>
            </w:r>
            <w:r>
              <w:rPr>
                <w:rFonts w:hint="default" w:ascii="Times New Roman" w:hAnsi="Times New Roman" w:eastAsia="宋体" w:cs="Times New Roman"/>
                <w:color w:val="000000"/>
                <w:sz w:val="18"/>
                <w:szCs w:val="18"/>
                <w:lang w:val="en-US" w:eastAsia="zh-CN"/>
              </w:rPr>
              <w:t>%</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07" w:hRule="exact"/>
          <w:jc w:val="center"/>
        </w:trPr>
        <w:tc>
          <w:tcPr>
            <w:tcW w:w="306"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454"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529" w:type="pct"/>
            <w:vMerge w:val="continue"/>
            <w:noWrap w:val="0"/>
            <w:vAlign w:val="center"/>
          </w:tcPr>
          <w:p>
            <w:pPr>
              <w:widowControl/>
              <w:jc w:val="left"/>
              <w:rPr>
                <w:rFonts w:hint="default" w:ascii="Times New Roman" w:hAnsi="Times New Roman" w:cs="Times New Roman"/>
                <w:color w:val="000000"/>
                <w:kern w:val="0"/>
                <w:sz w:val="18"/>
                <w:szCs w:val="18"/>
              </w:rPr>
            </w:pPr>
          </w:p>
        </w:tc>
        <w:tc>
          <w:tcPr>
            <w:tcW w:w="1199" w:type="pct"/>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社会公众</w:t>
            </w:r>
            <w:r>
              <w:rPr>
                <w:rFonts w:hint="default" w:ascii="Times New Roman" w:hAnsi="Times New Roman" w:cs="Times New Roman"/>
                <w:color w:val="000000"/>
                <w:sz w:val="18"/>
                <w:szCs w:val="18"/>
                <w:lang w:val="en-US" w:eastAsia="zh-CN"/>
              </w:rPr>
              <w:t>或</w:t>
            </w:r>
            <w:r>
              <w:rPr>
                <w:rFonts w:hint="default" w:ascii="Times New Roman" w:hAnsi="Times New Roman" w:eastAsia="宋体" w:cs="Times New Roman"/>
                <w:color w:val="000000"/>
                <w:sz w:val="18"/>
                <w:szCs w:val="18"/>
              </w:rPr>
              <w:t>服务对象满意度</w:t>
            </w:r>
          </w:p>
        </w:tc>
        <w:tc>
          <w:tcPr>
            <w:tcW w:w="929"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社会公众或服务对象满意度≥95%</w:t>
            </w:r>
          </w:p>
        </w:tc>
        <w:tc>
          <w:tcPr>
            <w:tcW w:w="741" w:type="pct"/>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9</w:t>
            </w:r>
            <w:r>
              <w:rPr>
                <w:rFonts w:hint="default" w:ascii="Times New Roman" w:hAnsi="Times New Roman" w:cs="Times New Roman"/>
                <w:color w:val="000000"/>
                <w:sz w:val="18"/>
                <w:szCs w:val="18"/>
                <w:lang w:val="en-US" w:eastAsia="zh-CN"/>
              </w:rPr>
              <w:t>5</w:t>
            </w:r>
            <w:r>
              <w:rPr>
                <w:rFonts w:hint="default" w:ascii="Times New Roman" w:hAnsi="Times New Roman" w:eastAsia="宋体" w:cs="Times New Roman"/>
                <w:color w:val="000000"/>
                <w:sz w:val="18"/>
                <w:szCs w:val="18"/>
                <w:lang w:val="en-US" w:eastAsia="zh-CN"/>
              </w:rPr>
              <w:t>%</w:t>
            </w:r>
          </w:p>
        </w:tc>
        <w:tc>
          <w:tcPr>
            <w:tcW w:w="369"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w:t>
            </w:r>
          </w:p>
        </w:tc>
        <w:tc>
          <w:tcPr>
            <w:tcW w:w="470" w:type="pct"/>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val="en-US" w:eastAsia="zh-CN"/>
              </w:rPr>
              <w:t>5</w:t>
            </w:r>
          </w:p>
        </w:tc>
      </w:tr>
    </w:tbl>
    <w:p>
      <w:pPr>
        <w:rPr>
          <w:rFonts w:hint="default" w:ascii="Times New Roman Regular" w:hAnsi="Times New Roman Regular" w:eastAsia="仿宋" w:cs="Times New Roman Regular"/>
          <w:b w:val="0"/>
          <w:bCs w:val="0"/>
          <w:sz w:val="31"/>
          <w:szCs w:val="31"/>
          <w:lang w:val="en-US" w:eastAsia="zh-CN"/>
        </w:rPr>
      </w:pPr>
    </w:p>
    <w:sectPr>
      <w:headerReference r:id="rId9" w:type="default"/>
      <w:pgSz w:w="11906" w:h="16838"/>
      <w:pgMar w:top="986" w:right="1389" w:bottom="986" w:left="1389" w:header="227"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邵阳市北塔区融媒体中心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LargeGap" w:color="auto" w:sz="4" w:space="1"/>
      </w:pBdr>
      <w:tabs>
        <w:tab w:val="left" w:pos="420"/>
        <w:tab w:val="right" w:pos="9746"/>
      </w:tabs>
      <w:ind w:left="4006" w:hanging="4006" w:hangingChars="190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邵阳市北塔区融媒体中心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ckThinLargeGap" w:color="auto" w:sz="4" w:space="1"/>
      </w:pBdr>
      <w:tabs>
        <w:tab w:val="left" w:pos="420"/>
        <w:tab w:val="right" w:pos="9746"/>
      </w:tabs>
      <w:ind w:left="4006" w:hanging="4006" w:hangingChars="190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邵阳市北塔区融媒体中心</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7275F0"/>
    <w:rsid w:val="00A83AD0"/>
    <w:rsid w:val="00D42B17"/>
    <w:rsid w:val="00D64AE1"/>
    <w:rsid w:val="01031033"/>
    <w:rsid w:val="01070A50"/>
    <w:rsid w:val="01141165"/>
    <w:rsid w:val="015107AC"/>
    <w:rsid w:val="015D63FC"/>
    <w:rsid w:val="01722330"/>
    <w:rsid w:val="019138A1"/>
    <w:rsid w:val="0194120E"/>
    <w:rsid w:val="01941529"/>
    <w:rsid w:val="01B54127"/>
    <w:rsid w:val="01DD36AA"/>
    <w:rsid w:val="01DE3C65"/>
    <w:rsid w:val="01FD29C4"/>
    <w:rsid w:val="01FD7E4B"/>
    <w:rsid w:val="02092C94"/>
    <w:rsid w:val="021653B1"/>
    <w:rsid w:val="023A2E4D"/>
    <w:rsid w:val="024C0DD3"/>
    <w:rsid w:val="02533F0F"/>
    <w:rsid w:val="026A2612"/>
    <w:rsid w:val="02A767F1"/>
    <w:rsid w:val="02B4470B"/>
    <w:rsid w:val="02BD79F4"/>
    <w:rsid w:val="02D3485F"/>
    <w:rsid w:val="030A17AF"/>
    <w:rsid w:val="034C2738"/>
    <w:rsid w:val="035B53EC"/>
    <w:rsid w:val="037B7F18"/>
    <w:rsid w:val="039E5752"/>
    <w:rsid w:val="03A04F32"/>
    <w:rsid w:val="03CD3298"/>
    <w:rsid w:val="0486237A"/>
    <w:rsid w:val="049329AF"/>
    <w:rsid w:val="049F51EA"/>
    <w:rsid w:val="04A44EF6"/>
    <w:rsid w:val="04CB4231"/>
    <w:rsid w:val="04D46306"/>
    <w:rsid w:val="04EF3743"/>
    <w:rsid w:val="04F33A06"/>
    <w:rsid w:val="05310411"/>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667BB2"/>
    <w:rsid w:val="078828AD"/>
    <w:rsid w:val="07BE1E2B"/>
    <w:rsid w:val="082223BA"/>
    <w:rsid w:val="087A7807"/>
    <w:rsid w:val="08E41D65"/>
    <w:rsid w:val="09AF2373"/>
    <w:rsid w:val="0A41622F"/>
    <w:rsid w:val="0A4C309B"/>
    <w:rsid w:val="0A7964DD"/>
    <w:rsid w:val="0AB32F67"/>
    <w:rsid w:val="0AC2018B"/>
    <w:rsid w:val="0AD86622"/>
    <w:rsid w:val="0AEE445C"/>
    <w:rsid w:val="0AFA5870"/>
    <w:rsid w:val="0B440899"/>
    <w:rsid w:val="0B554854"/>
    <w:rsid w:val="0B7D3DAB"/>
    <w:rsid w:val="0B8F4572"/>
    <w:rsid w:val="0BC419DA"/>
    <w:rsid w:val="0C8373CF"/>
    <w:rsid w:val="0CB51A76"/>
    <w:rsid w:val="0D614217"/>
    <w:rsid w:val="0DA91778"/>
    <w:rsid w:val="0DB53CD0"/>
    <w:rsid w:val="0DF57489"/>
    <w:rsid w:val="0E625C06"/>
    <w:rsid w:val="0E871098"/>
    <w:rsid w:val="0EAE1417"/>
    <w:rsid w:val="0F3E4E43"/>
    <w:rsid w:val="0F503CB0"/>
    <w:rsid w:val="0FAF0E26"/>
    <w:rsid w:val="0FD038C7"/>
    <w:rsid w:val="0FDD4B1F"/>
    <w:rsid w:val="0FE8038D"/>
    <w:rsid w:val="10262C63"/>
    <w:rsid w:val="103435D2"/>
    <w:rsid w:val="105709C9"/>
    <w:rsid w:val="10B77D5F"/>
    <w:rsid w:val="10BA0895"/>
    <w:rsid w:val="10C84C25"/>
    <w:rsid w:val="10D64689"/>
    <w:rsid w:val="11075191"/>
    <w:rsid w:val="11145517"/>
    <w:rsid w:val="111D5D5A"/>
    <w:rsid w:val="111E1B8C"/>
    <w:rsid w:val="1162031D"/>
    <w:rsid w:val="11A036CE"/>
    <w:rsid w:val="123A47A4"/>
    <w:rsid w:val="125F76F2"/>
    <w:rsid w:val="12962DFA"/>
    <w:rsid w:val="12FB1166"/>
    <w:rsid w:val="12FE566B"/>
    <w:rsid w:val="13053004"/>
    <w:rsid w:val="134D016B"/>
    <w:rsid w:val="134F2A5F"/>
    <w:rsid w:val="13616C00"/>
    <w:rsid w:val="13A30C34"/>
    <w:rsid w:val="13AD711E"/>
    <w:rsid w:val="13E21B19"/>
    <w:rsid w:val="144831DD"/>
    <w:rsid w:val="14494352"/>
    <w:rsid w:val="14520243"/>
    <w:rsid w:val="14A867BA"/>
    <w:rsid w:val="14C83B63"/>
    <w:rsid w:val="14E56EB1"/>
    <w:rsid w:val="151A3A77"/>
    <w:rsid w:val="151D789C"/>
    <w:rsid w:val="156644E7"/>
    <w:rsid w:val="157601E9"/>
    <w:rsid w:val="158D5230"/>
    <w:rsid w:val="159927CF"/>
    <w:rsid w:val="15D95C1C"/>
    <w:rsid w:val="15DF178B"/>
    <w:rsid w:val="162D4C24"/>
    <w:rsid w:val="16445B83"/>
    <w:rsid w:val="165A5414"/>
    <w:rsid w:val="167D1103"/>
    <w:rsid w:val="16953DBD"/>
    <w:rsid w:val="16A3500D"/>
    <w:rsid w:val="16C17241"/>
    <w:rsid w:val="16DE7CDD"/>
    <w:rsid w:val="16FB6BF7"/>
    <w:rsid w:val="170F4451"/>
    <w:rsid w:val="174001E4"/>
    <w:rsid w:val="176B182A"/>
    <w:rsid w:val="17740758"/>
    <w:rsid w:val="179A45B6"/>
    <w:rsid w:val="17A75370"/>
    <w:rsid w:val="17B7378B"/>
    <w:rsid w:val="17BA172D"/>
    <w:rsid w:val="17DF2A99"/>
    <w:rsid w:val="17F17FFA"/>
    <w:rsid w:val="181F0F4A"/>
    <w:rsid w:val="18334F9A"/>
    <w:rsid w:val="183C062F"/>
    <w:rsid w:val="185C1EE0"/>
    <w:rsid w:val="185E6EB6"/>
    <w:rsid w:val="18AE6DE7"/>
    <w:rsid w:val="18CC15ED"/>
    <w:rsid w:val="18E84F59"/>
    <w:rsid w:val="190C4F45"/>
    <w:rsid w:val="1969191D"/>
    <w:rsid w:val="196B4518"/>
    <w:rsid w:val="198A392A"/>
    <w:rsid w:val="19A20B4F"/>
    <w:rsid w:val="19B72B7E"/>
    <w:rsid w:val="19C5236C"/>
    <w:rsid w:val="1A00180A"/>
    <w:rsid w:val="1AB1581F"/>
    <w:rsid w:val="1AC0098C"/>
    <w:rsid w:val="1AFD2812"/>
    <w:rsid w:val="1B0758FD"/>
    <w:rsid w:val="1B204EAB"/>
    <w:rsid w:val="1B423001"/>
    <w:rsid w:val="1B813443"/>
    <w:rsid w:val="1BE7774A"/>
    <w:rsid w:val="1C60574F"/>
    <w:rsid w:val="1C754516"/>
    <w:rsid w:val="1C96585A"/>
    <w:rsid w:val="1CAA0778"/>
    <w:rsid w:val="1CC64099"/>
    <w:rsid w:val="1CE9788F"/>
    <w:rsid w:val="1D496DC2"/>
    <w:rsid w:val="1E073968"/>
    <w:rsid w:val="1E2E729A"/>
    <w:rsid w:val="1E591960"/>
    <w:rsid w:val="1E5D6DE0"/>
    <w:rsid w:val="1E5E4D57"/>
    <w:rsid w:val="1E5F4105"/>
    <w:rsid w:val="1E601A36"/>
    <w:rsid w:val="1E69544E"/>
    <w:rsid w:val="1EC30786"/>
    <w:rsid w:val="1ED16490"/>
    <w:rsid w:val="1EF77EF6"/>
    <w:rsid w:val="1EFF4D1E"/>
    <w:rsid w:val="1F4D78E4"/>
    <w:rsid w:val="1F503DF8"/>
    <w:rsid w:val="1F5E41C7"/>
    <w:rsid w:val="1FA228EE"/>
    <w:rsid w:val="2034767B"/>
    <w:rsid w:val="20710D0B"/>
    <w:rsid w:val="20F72930"/>
    <w:rsid w:val="21352A19"/>
    <w:rsid w:val="21985D98"/>
    <w:rsid w:val="21A26717"/>
    <w:rsid w:val="21C32917"/>
    <w:rsid w:val="21FF14CD"/>
    <w:rsid w:val="22023380"/>
    <w:rsid w:val="223E5BEA"/>
    <w:rsid w:val="22433200"/>
    <w:rsid w:val="2267625F"/>
    <w:rsid w:val="22A85759"/>
    <w:rsid w:val="22E845A7"/>
    <w:rsid w:val="22F10B70"/>
    <w:rsid w:val="23027D5E"/>
    <w:rsid w:val="2303007B"/>
    <w:rsid w:val="239758BD"/>
    <w:rsid w:val="23AF6E65"/>
    <w:rsid w:val="23E50309"/>
    <w:rsid w:val="24197AF2"/>
    <w:rsid w:val="24233E34"/>
    <w:rsid w:val="243A0633"/>
    <w:rsid w:val="2496290D"/>
    <w:rsid w:val="24B12ABC"/>
    <w:rsid w:val="24B228BF"/>
    <w:rsid w:val="25441520"/>
    <w:rsid w:val="254D7F7A"/>
    <w:rsid w:val="259D531E"/>
    <w:rsid w:val="25D41548"/>
    <w:rsid w:val="25D66AB7"/>
    <w:rsid w:val="25E371D4"/>
    <w:rsid w:val="26095B77"/>
    <w:rsid w:val="26154EB4"/>
    <w:rsid w:val="264D28A0"/>
    <w:rsid w:val="26521602"/>
    <w:rsid w:val="26A338B2"/>
    <w:rsid w:val="271C503E"/>
    <w:rsid w:val="27201D62"/>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AA1DB7"/>
    <w:rsid w:val="29B641A3"/>
    <w:rsid w:val="29FA2D3E"/>
    <w:rsid w:val="29FD282F"/>
    <w:rsid w:val="2A0F07CB"/>
    <w:rsid w:val="2A42251A"/>
    <w:rsid w:val="2A672779"/>
    <w:rsid w:val="2ACF5971"/>
    <w:rsid w:val="2AF46052"/>
    <w:rsid w:val="2B87067D"/>
    <w:rsid w:val="2BB60EE7"/>
    <w:rsid w:val="2BC538CE"/>
    <w:rsid w:val="2BC64379"/>
    <w:rsid w:val="2BD903BF"/>
    <w:rsid w:val="2BF0285A"/>
    <w:rsid w:val="2C025EDA"/>
    <w:rsid w:val="2C153E60"/>
    <w:rsid w:val="2C2B7E03"/>
    <w:rsid w:val="2C817A09"/>
    <w:rsid w:val="2C877DC8"/>
    <w:rsid w:val="2CD60702"/>
    <w:rsid w:val="2CD8457F"/>
    <w:rsid w:val="2D293ED8"/>
    <w:rsid w:val="2D4B16D2"/>
    <w:rsid w:val="2E3D2CAF"/>
    <w:rsid w:val="2E9F3EB4"/>
    <w:rsid w:val="2EB3170E"/>
    <w:rsid w:val="2F0D5D93"/>
    <w:rsid w:val="2F406891"/>
    <w:rsid w:val="2F882683"/>
    <w:rsid w:val="2FB55D16"/>
    <w:rsid w:val="2FD91648"/>
    <w:rsid w:val="2FE21531"/>
    <w:rsid w:val="2FE91CEC"/>
    <w:rsid w:val="30634296"/>
    <w:rsid w:val="306E0B42"/>
    <w:rsid w:val="307B199E"/>
    <w:rsid w:val="30A36FF1"/>
    <w:rsid w:val="30BC4A8F"/>
    <w:rsid w:val="30C23098"/>
    <w:rsid w:val="30EB45DA"/>
    <w:rsid w:val="30FF1132"/>
    <w:rsid w:val="30FF63EF"/>
    <w:rsid w:val="310444A3"/>
    <w:rsid w:val="310D4304"/>
    <w:rsid w:val="312525F7"/>
    <w:rsid w:val="314D2F38"/>
    <w:rsid w:val="31783E74"/>
    <w:rsid w:val="317E24A7"/>
    <w:rsid w:val="318A2BFA"/>
    <w:rsid w:val="31AF08B2"/>
    <w:rsid w:val="31CC4FC0"/>
    <w:rsid w:val="31F7433A"/>
    <w:rsid w:val="3253409F"/>
    <w:rsid w:val="325E6415"/>
    <w:rsid w:val="32803FFD"/>
    <w:rsid w:val="328A4FE6"/>
    <w:rsid w:val="32953ED5"/>
    <w:rsid w:val="32C75788"/>
    <w:rsid w:val="33193D6E"/>
    <w:rsid w:val="3321758E"/>
    <w:rsid w:val="33916868"/>
    <w:rsid w:val="33CB74FA"/>
    <w:rsid w:val="342C7F98"/>
    <w:rsid w:val="344D7F0F"/>
    <w:rsid w:val="345E3ECA"/>
    <w:rsid w:val="346F60D7"/>
    <w:rsid w:val="34894BBA"/>
    <w:rsid w:val="34A02734"/>
    <w:rsid w:val="34B044FD"/>
    <w:rsid w:val="34F34F5A"/>
    <w:rsid w:val="34F82570"/>
    <w:rsid w:val="352300D8"/>
    <w:rsid w:val="3546372A"/>
    <w:rsid w:val="355E0625"/>
    <w:rsid w:val="35B71AE4"/>
    <w:rsid w:val="35BE2E72"/>
    <w:rsid w:val="35D8677A"/>
    <w:rsid w:val="360B0496"/>
    <w:rsid w:val="36211653"/>
    <w:rsid w:val="36780E50"/>
    <w:rsid w:val="36BF4B72"/>
    <w:rsid w:val="36C62378"/>
    <w:rsid w:val="36E91C82"/>
    <w:rsid w:val="36F92F47"/>
    <w:rsid w:val="37206986"/>
    <w:rsid w:val="376A752C"/>
    <w:rsid w:val="38031EDD"/>
    <w:rsid w:val="38033923"/>
    <w:rsid w:val="38051BB9"/>
    <w:rsid w:val="38080D1C"/>
    <w:rsid w:val="3819279E"/>
    <w:rsid w:val="38366EFB"/>
    <w:rsid w:val="383E029A"/>
    <w:rsid w:val="384B29B7"/>
    <w:rsid w:val="38BC1BDC"/>
    <w:rsid w:val="38E87BBB"/>
    <w:rsid w:val="390239BE"/>
    <w:rsid w:val="390E32F6"/>
    <w:rsid w:val="3914549F"/>
    <w:rsid w:val="392D1322"/>
    <w:rsid w:val="39AB434B"/>
    <w:rsid w:val="39B4157B"/>
    <w:rsid w:val="39BD44BE"/>
    <w:rsid w:val="39E41149"/>
    <w:rsid w:val="39EB26A4"/>
    <w:rsid w:val="39FC6ECE"/>
    <w:rsid w:val="3A3F654C"/>
    <w:rsid w:val="3A5A25A6"/>
    <w:rsid w:val="3A726921"/>
    <w:rsid w:val="3AD575DA"/>
    <w:rsid w:val="3AEE41FA"/>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E96EFA"/>
    <w:rsid w:val="3E1C107E"/>
    <w:rsid w:val="3EB9054F"/>
    <w:rsid w:val="3EC86B10"/>
    <w:rsid w:val="3ED41E38"/>
    <w:rsid w:val="3EEECE1A"/>
    <w:rsid w:val="3F9904AC"/>
    <w:rsid w:val="3FF35426"/>
    <w:rsid w:val="401C181E"/>
    <w:rsid w:val="403D2033"/>
    <w:rsid w:val="40560AE5"/>
    <w:rsid w:val="409E1999"/>
    <w:rsid w:val="40CD48B8"/>
    <w:rsid w:val="40E340D5"/>
    <w:rsid w:val="40F005A0"/>
    <w:rsid w:val="41063629"/>
    <w:rsid w:val="414C1C7A"/>
    <w:rsid w:val="41582048"/>
    <w:rsid w:val="41653AC2"/>
    <w:rsid w:val="41A25F3E"/>
    <w:rsid w:val="41AC70DE"/>
    <w:rsid w:val="41B0748D"/>
    <w:rsid w:val="41F2582A"/>
    <w:rsid w:val="42EF1C2D"/>
    <w:rsid w:val="432B3B11"/>
    <w:rsid w:val="43503F67"/>
    <w:rsid w:val="43807133"/>
    <w:rsid w:val="438644B5"/>
    <w:rsid w:val="44544A76"/>
    <w:rsid w:val="448E1010"/>
    <w:rsid w:val="44E4666D"/>
    <w:rsid w:val="45877724"/>
    <w:rsid w:val="45AC4E6E"/>
    <w:rsid w:val="45B20519"/>
    <w:rsid w:val="45F90867"/>
    <w:rsid w:val="460C7193"/>
    <w:rsid w:val="4642189D"/>
    <w:rsid w:val="46805F22"/>
    <w:rsid w:val="4683047E"/>
    <w:rsid w:val="46A44D77"/>
    <w:rsid w:val="47541888"/>
    <w:rsid w:val="479A2668"/>
    <w:rsid w:val="47AA2B40"/>
    <w:rsid w:val="47AC326C"/>
    <w:rsid w:val="47C415B1"/>
    <w:rsid w:val="48DF33D4"/>
    <w:rsid w:val="492F31C0"/>
    <w:rsid w:val="49301E81"/>
    <w:rsid w:val="494557C4"/>
    <w:rsid w:val="4981448B"/>
    <w:rsid w:val="49966F85"/>
    <w:rsid w:val="49C8593B"/>
    <w:rsid w:val="4A110D60"/>
    <w:rsid w:val="4A7D10F6"/>
    <w:rsid w:val="4AAC42E7"/>
    <w:rsid w:val="4AD221CC"/>
    <w:rsid w:val="4AD64F49"/>
    <w:rsid w:val="4B9934BC"/>
    <w:rsid w:val="4BA234C7"/>
    <w:rsid w:val="4BE62CCB"/>
    <w:rsid w:val="4BEF12BE"/>
    <w:rsid w:val="4C2C2DD4"/>
    <w:rsid w:val="4C34368B"/>
    <w:rsid w:val="4CB701C3"/>
    <w:rsid w:val="4CBE72DA"/>
    <w:rsid w:val="4CF542D3"/>
    <w:rsid w:val="4D021D86"/>
    <w:rsid w:val="4D066599"/>
    <w:rsid w:val="4D9218E1"/>
    <w:rsid w:val="4DC64B62"/>
    <w:rsid w:val="4DC95567"/>
    <w:rsid w:val="4DD42A2F"/>
    <w:rsid w:val="4E2078E8"/>
    <w:rsid w:val="4E3C6D60"/>
    <w:rsid w:val="4E4C6AC5"/>
    <w:rsid w:val="4E5E7C38"/>
    <w:rsid w:val="4E685B94"/>
    <w:rsid w:val="4E8005CA"/>
    <w:rsid w:val="4F226D6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A2AF2"/>
    <w:rsid w:val="518A2886"/>
    <w:rsid w:val="51EE6435"/>
    <w:rsid w:val="51F6353C"/>
    <w:rsid w:val="5273781C"/>
    <w:rsid w:val="528D62B1"/>
    <w:rsid w:val="52F925D0"/>
    <w:rsid w:val="532E399E"/>
    <w:rsid w:val="53364538"/>
    <w:rsid w:val="53782DBB"/>
    <w:rsid w:val="53AE40CE"/>
    <w:rsid w:val="540006A2"/>
    <w:rsid w:val="54024923"/>
    <w:rsid w:val="5474356A"/>
    <w:rsid w:val="54C54DE0"/>
    <w:rsid w:val="54F503EE"/>
    <w:rsid w:val="550B7056"/>
    <w:rsid w:val="55364B38"/>
    <w:rsid w:val="555D52FB"/>
    <w:rsid w:val="559534D4"/>
    <w:rsid w:val="55A84374"/>
    <w:rsid w:val="55AB1785"/>
    <w:rsid w:val="55E04545"/>
    <w:rsid w:val="55EA5046"/>
    <w:rsid w:val="561D19DF"/>
    <w:rsid w:val="56200FBF"/>
    <w:rsid w:val="562821FE"/>
    <w:rsid w:val="568832FC"/>
    <w:rsid w:val="56A44031"/>
    <w:rsid w:val="56A85AB0"/>
    <w:rsid w:val="56B714EC"/>
    <w:rsid w:val="56BA6E06"/>
    <w:rsid w:val="56DC53F6"/>
    <w:rsid w:val="56FC2A7A"/>
    <w:rsid w:val="57047689"/>
    <w:rsid w:val="572333E8"/>
    <w:rsid w:val="57533BD6"/>
    <w:rsid w:val="57713D91"/>
    <w:rsid w:val="579E28D1"/>
    <w:rsid w:val="57AC6B77"/>
    <w:rsid w:val="57F77651"/>
    <w:rsid w:val="583E7E63"/>
    <w:rsid w:val="584056FE"/>
    <w:rsid w:val="584766AC"/>
    <w:rsid w:val="58887411"/>
    <w:rsid w:val="58F632BA"/>
    <w:rsid w:val="594B0611"/>
    <w:rsid w:val="59653481"/>
    <w:rsid w:val="59C44A38"/>
    <w:rsid w:val="59D16D68"/>
    <w:rsid w:val="59FA694D"/>
    <w:rsid w:val="5A8C6946"/>
    <w:rsid w:val="5AEB5C08"/>
    <w:rsid w:val="5AFB5A70"/>
    <w:rsid w:val="5B043B8C"/>
    <w:rsid w:val="5B700A53"/>
    <w:rsid w:val="5B914A01"/>
    <w:rsid w:val="5B9F1014"/>
    <w:rsid w:val="5BF27270"/>
    <w:rsid w:val="5C0E0752"/>
    <w:rsid w:val="5C0F4C20"/>
    <w:rsid w:val="5C383A38"/>
    <w:rsid w:val="5CC02802"/>
    <w:rsid w:val="5D0E613A"/>
    <w:rsid w:val="5D4635C9"/>
    <w:rsid w:val="5D535CE6"/>
    <w:rsid w:val="5D791FAA"/>
    <w:rsid w:val="5DAE574E"/>
    <w:rsid w:val="5DEA2501"/>
    <w:rsid w:val="5E2C4A2C"/>
    <w:rsid w:val="5E331DA0"/>
    <w:rsid w:val="5E4D76A5"/>
    <w:rsid w:val="5E5166CA"/>
    <w:rsid w:val="5E780E5B"/>
    <w:rsid w:val="5EB50A07"/>
    <w:rsid w:val="5EC2182D"/>
    <w:rsid w:val="5EE412EC"/>
    <w:rsid w:val="5EE8193B"/>
    <w:rsid w:val="5EE94600"/>
    <w:rsid w:val="5F36141C"/>
    <w:rsid w:val="5F3C332A"/>
    <w:rsid w:val="5F447FDD"/>
    <w:rsid w:val="5F60062F"/>
    <w:rsid w:val="5F70492E"/>
    <w:rsid w:val="5F721217"/>
    <w:rsid w:val="5F8B1768"/>
    <w:rsid w:val="5F985888"/>
    <w:rsid w:val="5FC34395"/>
    <w:rsid w:val="5FDA624B"/>
    <w:rsid w:val="5FF94923"/>
    <w:rsid w:val="60063FB3"/>
    <w:rsid w:val="602337DF"/>
    <w:rsid w:val="60827C2A"/>
    <w:rsid w:val="609552EF"/>
    <w:rsid w:val="60CA45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2F74A30"/>
    <w:rsid w:val="630272DB"/>
    <w:rsid w:val="634702E2"/>
    <w:rsid w:val="63617B43"/>
    <w:rsid w:val="63857C95"/>
    <w:rsid w:val="63A17E4F"/>
    <w:rsid w:val="641E63C8"/>
    <w:rsid w:val="648D3797"/>
    <w:rsid w:val="649102B0"/>
    <w:rsid w:val="64AD2180"/>
    <w:rsid w:val="64AF5EF8"/>
    <w:rsid w:val="64BA66CA"/>
    <w:rsid w:val="64C34049"/>
    <w:rsid w:val="65513A47"/>
    <w:rsid w:val="658E038D"/>
    <w:rsid w:val="659C3ABC"/>
    <w:rsid w:val="659F2386"/>
    <w:rsid w:val="661F2C0A"/>
    <w:rsid w:val="661F4759"/>
    <w:rsid w:val="66402BC6"/>
    <w:rsid w:val="66835660"/>
    <w:rsid w:val="66AF21DF"/>
    <w:rsid w:val="66D86EEC"/>
    <w:rsid w:val="67034F8B"/>
    <w:rsid w:val="67691A21"/>
    <w:rsid w:val="6795184E"/>
    <w:rsid w:val="679F2254"/>
    <w:rsid w:val="67CA42A6"/>
    <w:rsid w:val="67D320AA"/>
    <w:rsid w:val="68150176"/>
    <w:rsid w:val="683913C9"/>
    <w:rsid w:val="683A27FC"/>
    <w:rsid w:val="68B27D65"/>
    <w:rsid w:val="69C2588F"/>
    <w:rsid w:val="69DF38CB"/>
    <w:rsid w:val="69FC6B39"/>
    <w:rsid w:val="6A190855"/>
    <w:rsid w:val="6A1D029D"/>
    <w:rsid w:val="6A2309CD"/>
    <w:rsid w:val="6A582B8E"/>
    <w:rsid w:val="6A615EE7"/>
    <w:rsid w:val="6A701C86"/>
    <w:rsid w:val="6AA933EA"/>
    <w:rsid w:val="6AFF6C91"/>
    <w:rsid w:val="6B5748D8"/>
    <w:rsid w:val="6B881251"/>
    <w:rsid w:val="6B916DF5"/>
    <w:rsid w:val="6BC02C46"/>
    <w:rsid w:val="6C103720"/>
    <w:rsid w:val="6C1C5489"/>
    <w:rsid w:val="6C2F7E97"/>
    <w:rsid w:val="6C3F5DB4"/>
    <w:rsid w:val="6CC0205D"/>
    <w:rsid w:val="6CC91D04"/>
    <w:rsid w:val="6CEC143C"/>
    <w:rsid w:val="6D09032B"/>
    <w:rsid w:val="6D0931DE"/>
    <w:rsid w:val="6D404752"/>
    <w:rsid w:val="6D6668C3"/>
    <w:rsid w:val="6D7B106D"/>
    <w:rsid w:val="6D9051A0"/>
    <w:rsid w:val="6D9914F3"/>
    <w:rsid w:val="6DB279DA"/>
    <w:rsid w:val="6E393953"/>
    <w:rsid w:val="6E513ECA"/>
    <w:rsid w:val="6E644211"/>
    <w:rsid w:val="6E7B0A0C"/>
    <w:rsid w:val="6E9B6482"/>
    <w:rsid w:val="6EA21699"/>
    <w:rsid w:val="6EEF24A9"/>
    <w:rsid w:val="6F027AF7"/>
    <w:rsid w:val="6F26325B"/>
    <w:rsid w:val="6F6F69B0"/>
    <w:rsid w:val="6F8F06D9"/>
    <w:rsid w:val="6F9C351D"/>
    <w:rsid w:val="6F9E2305"/>
    <w:rsid w:val="6FAA0C45"/>
    <w:rsid w:val="6FCC337B"/>
    <w:rsid w:val="6FE729EA"/>
    <w:rsid w:val="6FEF189F"/>
    <w:rsid w:val="700B6747"/>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D54ABB"/>
    <w:rsid w:val="72E421B6"/>
    <w:rsid w:val="72FF3958"/>
    <w:rsid w:val="73193F46"/>
    <w:rsid w:val="731D4975"/>
    <w:rsid w:val="734903DF"/>
    <w:rsid w:val="73BE7F06"/>
    <w:rsid w:val="73CD3228"/>
    <w:rsid w:val="73E3796C"/>
    <w:rsid w:val="74134DFB"/>
    <w:rsid w:val="7419513C"/>
    <w:rsid w:val="742D3D9C"/>
    <w:rsid w:val="74387CB8"/>
    <w:rsid w:val="745B25CA"/>
    <w:rsid w:val="74806F69"/>
    <w:rsid w:val="74A06616"/>
    <w:rsid w:val="74AE1D28"/>
    <w:rsid w:val="74C55995"/>
    <w:rsid w:val="74FD49B7"/>
    <w:rsid w:val="7586788F"/>
    <w:rsid w:val="75C86411"/>
    <w:rsid w:val="76237386"/>
    <w:rsid w:val="762B7F17"/>
    <w:rsid w:val="76317141"/>
    <w:rsid w:val="765B1A3C"/>
    <w:rsid w:val="76DB2A57"/>
    <w:rsid w:val="771147F0"/>
    <w:rsid w:val="778D36DC"/>
    <w:rsid w:val="783B1B25"/>
    <w:rsid w:val="784328C1"/>
    <w:rsid w:val="78DA1D7B"/>
    <w:rsid w:val="78F13662"/>
    <w:rsid w:val="793E7C5B"/>
    <w:rsid w:val="7955517B"/>
    <w:rsid w:val="79560DFC"/>
    <w:rsid w:val="79570BE0"/>
    <w:rsid w:val="79674B9C"/>
    <w:rsid w:val="798B6ADC"/>
    <w:rsid w:val="79A25BD4"/>
    <w:rsid w:val="79AC1FDF"/>
    <w:rsid w:val="79B32DCC"/>
    <w:rsid w:val="79BA4CCB"/>
    <w:rsid w:val="79BC1425"/>
    <w:rsid w:val="7A1C75A3"/>
    <w:rsid w:val="7A394769"/>
    <w:rsid w:val="7A6A4943"/>
    <w:rsid w:val="7AE71AF0"/>
    <w:rsid w:val="7B413F7E"/>
    <w:rsid w:val="7B885D10"/>
    <w:rsid w:val="7BE74CFC"/>
    <w:rsid w:val="7BEE6B88"/>
    <w:rsid w:val="7BF7570B"/>
    <w:rsid w:val="7C2E345F"/>
    <w:rsid w:val="7C5424A5"/>
    <w:rsid w:val="7C5A2796"/>
    <w:rsid w:val="7C605268"/>
    <w:rsid w:val="7C6A0C2B"/>
    <w:rsid w:val="7C9A64DF"/>
    <w:rsid w:val="7CF46746"/>
    <w:rsid w:val="7DB86548"/>
    <w:rsid w:val="7E5D00E7"/>
    <w:rsid w:val="7E9F7825"/>
    <w:rsid w:val="7F376DBE"/>
    <w:rsid w:val="7F7162F6"/>
    <w:rsid w:val="7F9A7019"/>
    <w:rsid w:val="7FB81CAD"/>
    <w:rsid w:val="7FC85D75"/>
    <w:rsid w:val="7FD5583B"/>
    <w:rsid w:val="7FDE196C"/>
    <w:rsid w:val="7FE138D8"/>
    <w:rsid w:val="7FE31449"/>
    <w:rsid w:val="7FE405C7"/>
    <w:rsid w:val="7FEA2C5C"/>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First Indent"/>
    <w:basedOn w:val="5"/>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spacing w:after="120"/>
    </w:pPr>
  </w:style>
  <w:style w:type="paragraph" w:styleId="6">
    <w:name w:val="Body Text Indent 2"/>
    <w:basedOn w:val="1"/>
    <w:next w:val="7"/>
    <w:autoRedefine/>
    <w:unhideWhenUsed/>
    <w:qFormat/>
    <w:uiPriority w:val="99"/>
    <w:pPr>
      <w:spacing w:after="120" w:line="480" w:lineRule="auto"/>
      <w:ind w:left="420" w:leftChars="200"/>
    </w:pPr>
  </w:style>
  <w:style w:type="paragraph" w:customStyle="1" w:styleId="7">
    <w:name w:val="p0"/>
    <w:next w:val="8"/>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8">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toc 1"/>
    <w:basedOn w:val="1"/>
    <w:next w:val="1"/>
    <w:autoRedefine/>
    <w:qFormat/>
    <w:uiPriority w:val="0"/>
  </w:style>
  <w:style w:type="paragraph" w:styleId="11">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2">
    <w:name w:val="toc 2"/>
    <w:basedOn w:val="1"/>
    <w:next w:val="1"/>
    <w:autoRedefine/>
    <w:qFormat/>
    <w:uiPriority w:val="0"/>
    <w:pPr>
      <w:ind w:left="420" w:leftChars="200"/>
    </w:p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WPSOffice手动目录 2"/>
    <w:autoRedefine/>
    <w:qFormat/>
    <w:uiPriority w:val="0"/>
    <w:pPr>
      <w:ind w:leftChars="200"/>
    </w:pPr>
    <w:rPr>
      <w:rFonts w:ascii="Times New Roman" w:hAnsi="Times New Roman" w:eastAsia="宋体" w:cs="Times New Roman"/>
      <w:sz w:val="20"/>
      <w:szCs w:val="20"/>
    </w:rPr>
  </w:style>
  <w:style w:type="paragraph" w:styleId="20">
    <w:name w:val="List Paragraph"/>
    <w:basedOn w:val="1"/>
    <w:autoRedefine/>
    <w:qFormat/>
    <w:uiPriority w:val="34"/>
    <w:pPr>
      <w:ind w:firstLine="420" w:firstLineChars="200"/>
    </w:pPr>
  </w:style>
  <w:style w:type="paragraph" w:customStyle="1" w:styleId="21">
    <w:name w:val="正文1"/>
    <w:basedOn w:val="1"/>
    <w:autoRedefine/>
    <w:qFormat/>
    <w:uiPriority w:val="0"/>
    <w:pPr>
      <w:spacing w:line="360" w:lineRule="auto"/>
      <w:ind w:firstLine="480" w:firstLineChars="200"/>
    </w:pPr>
    <w:rPr>
      <w:sz w:val="24"/>
    </w:rPr>
  </w:style>
  <w:style w:type="character" w:customStyle="1" w:styleId="22">
    <w:name w:val="font21"/>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8106</Words>
  <Characters>8686</Characters>
  <Lines>0</Lines>
  <Paragraphs>0</Paragraphs>
  <TotalTime>3</TotalTime>
  <ScaleCrop>false</ScaleCrop>
  <LinksUpToDate>false</LinksUpToDate>
  <CharactersWithSpaces>8967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D3ACDE9B14874B8EBEDC6ADA0B165448_13</vt:lpwstr>
  </property>
</Properties>
</file>