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361" w:firstLineChars="100"/>
        <w:jc w:val="left"/>
        <w:rPr>
          <w:rFonts w:hint="default" w:ascii="宋体" w:hAnsi="宋体" w:eastAsia="宋体" w:cs="宋体"/>
          <w:b/>
          <w:bCs/>
          <w:i w:val="0"/>
          <w:iCs w:val="0"/>
          <w:caps w:val="0"/>
          <w:color w:val="auto"/>
          <w:spacing w:val="0"/>
          <w:kern w:val="44"/>
          <w:sz w:val="36"/>
          <w:szCs w:val="36"/>
          <w:shd w:val="clear" w:fill="FFFFFF"/>
          <w:lang w:val="en-US" w:eastAsia="zh-CN" w:bidi="ar"/>
        </w:rPr>
      </w:pPr>
      <w:r>
        <w:rPr>
          <w:rFonts w:hint="eastAsia" w:ascii="宋体" w:hAnsi="宋体" w:eastAsia="宋体" w:cs="宋体"/>
          <w:b/>
          <w:bCs/>
          <w:i w:val="0"/>
          <w:iCs w:val="0"/>
          <w:caps w:val="0"/>
          <w:color w:val="auto"/>
          <w:spacing w:val="0"/>
          <w:kern w:val="44"/>
          <w:sz w:val="36"/>
          <w:szCs w:val="36"/>
          <w:shd w:val="clear" w:fill="FFFFFF"/>
          <w:lang w:val="en-US" w:eastAsia="zh-CN" w:bidi="ar"/>
        </w:rPr>
        <w:t>北塔区融媒体中心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i w:val="0"/>
          <w:iCs w:val="0"/>
          <w:caps w:val="0"/>
          <w:color w:val="auto"/>
          <w:spacing w:val="0"/>
          <w:sz w:val="36"/>
          <w:szCs w:val="36"/>
          <w:shd w:val="clear" w:fill="FFFFFF"/>
        </w:rPr>
        <w:t>202</w:t>
      </w:r>
      <w:r>
        <w:rPr>
          <w:rFonts w:hint="eastAsia"/>
          <w:i w:val="0"/>
          <w:iCs w:val="0"/>
          <w:caps w:val="0"/>
          <w:color w:val="auto"/>
          <w:spacing w:val="0"/>
          <w:sz w:val="36"/>
          <w:szCs w:val="36"/>
          <w:shd w:val="clear" w:fill="FFFFFF"/>
          <w:lang w:val="en-US" w:eastAsia="zh-CN"/>
        </w:rPr>
        <w:t>2</w:t>
      </w:r>
      <w:r>
        <w:rPr>
          <w:i w:val="0"/>
          <w:iCs w:val="0"/>
          <w:caps w:val="0"/>
          <w:color w:val="auto"/>
          <w:spacing w:val="0"/>
          <w:sz w:val="36"/>
          <w:szCs w:val="36"/>
          <w:shd w:val="clear" w:fill="FFFFFF"/>
        </w:rPr>
        <w:t>年度部门整体支出绩效评价报</w:t>
      </w:r>
      <w:r>
        <w:rPr>
          <w:rFonts w:hint="eastAsia"/>
          <w:i w:val="0"/>
          <w:iCs w:val="0"/>
          <w:caps w:val="0"/>
          <w:color w:val="auto"/>
          <w:spacing w:val="0"/>
          <w:sz w:val="36"/>
          <w:szCs w:val="36"/>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（一）机构设置及人员情况</w:t>
      </w:r>
    </w:p>
    <w:p>
      <w:pPr>
        <w:keepNext w:val="0"/>
        <w:keepLines w:val="0"/>
        <w:widowControl w:val="0"/>
        <w:suppressLineNumbers w:val="0"/>
        <w:spacing w:before="0" w:beforeAutospacing="1" w:after="0" w:afterAutospacing="1" w:line="480" w:lineRule="exact"/>
        <w:ind w:left="0" w:right="0" w:firstLine="482" w:firstLineChars="200"/>
        <w:jc w:val="left"/>
        <w:rPr>
          <w:sz w:val="24"/>
          <w:szCs w:val="24"/>
        </w:rPr>
      </w:pPr>
      <w:r>
        <w:rPr>
          <w:rFonts w:hint="eastAsia" w:ascii="宋体" w:hAnsi="宋体" w:eastAsia="宋体" w:cs="宋体"/>
          <w:b/>
          <w:bCs/>
          <w:i w:val="0"/>
          <w:iCs w:val="0"/>
          <w:caps w:val="0"/>
          <w:color w:val="000000"/>
          <w:spacing w:val="0"/>
          <w:sz w:val="24"/>
          <w:szCs w:val="24"/>
        </w:rPr>
        <w:t>机构</w:t>
      </w:r>
      <w:r>
        <w:rPr>
          <w:rFonts w:hint="eastAsia" w:ascii="宋体" w:hAnsi="宋体" w:eastAsia="宋体" w:cs="宋体"/>
          <w:b/>
          <w:bCs/>
          <w:i w:val="0"/>
          <w:iCs w:val="0"/>
          <w:caps w:val="0"/>
          <w:color w:val="000000"/>
          <w:spacing w:val="0"/>
          <w:sz w:val="24"/>
          <w:szCs w:val="24"/>
          <w:lang w:eastAsia="zh-CN"/>
        </w:rPr>
        <w:t>设置情况</w:t>
      </w:r>
      <w:r>
        <w:rPr>
          <w:rFonts w:hint="eastAsia" w:ascii="宋体" w:hAnsi="宋体" w:eastAsia="宋体" w:cs="宋体"/>
          <w:b/>
          <w:bCs/>
          <w:i w:val="0"/>
          <w:iCs w:val="0"/>
          <w:caps w:val="0"/>
          <w:color w:val="000000"/>
          <w:spacing w:val="0"/>
          <w:sz w:val="28"/>
          <w:szCs w:val="28"/>
        </w:rPr>
        <w:t>：</w:t>
      </w:r>
      <w:r>
        <w:rPr>
          <w:rFonts w:hint="eastAsia" w:ascii="宋体" w:hAnsi="宋体" w:eastAsia="宋体" w:cs="宋体"/>
          <w:color w:val="auto"/>
          <w:kern w:val="2"/>
          <w:sz w:val="24"/>
          <w:szCs w:val="24"/>
          <w:lang w:val="en-US" w:eastAsia="zh-CN" w:bidi="ar"/>
        </w:rPr>
        <w:t>内设综合运行部、新闻采访部、《北塔》报刊部。</w:t>
      </w:r>
    </w:p>
    <w:p>
      <w:pPr>
        <w:pStyle w:val="5"/>
        <w:keepNext w:val="0"/>
        <w:keepLines w:val="0"/>
        <w:widowControl/>
        <w:suppressLineNumbers w:val="0"/>
        <w:spacing w:before="0" w:beforeAutospacing="0" w:after="2" w:afterAutospacing="0"/>
        <w:ind w:left="0" w:right="0" w:firstLine="641"/>
        <w:rPr>
          <w:sz w:val="24"/>
          <w:szCs w:val="24"/>
        </w:rPr>
      </w:pPr>
      <w:r>
        <w:rPr>
          <w:rFonts w:hint="eastAsia" w:ascii="宋体" w:hAnsi="宋体" w:eastAsia="宋体" w:cs="宋体"/>
          <w:b/>
          <w:bCs/>
          <w:i w:val="0"/>
          <w:iCs w:val="0"/>
          <w:caps w:val="0"/>
          <w:color w:val="000000"/>
          <w:spacing w:val="0"/>
          <w:sz w:val="24"/>
          <w:szCs w:val="24"/>
          <w:lang w:eastAsia="zh-CN"/>
        </w:rPr>
        <w:t>人员情况</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color w:val="auto"/>
          <w:kern w:val="2"/>
          <w:sz w:val="24"/>
          <w:szCs w:val="24"/>
          <w:lang w:val="en-US" w:eastAsia="zh-CN" w:bidi="ar"/>
        </w:rPr>
        <w:t>本部门</w:t>
      </w:r>
      <w:r>
        <w:rPr>
          <w:rFonts w:hint="eastAsia" w:ascii="宋体" w:hAnsi="宋体" w:eastAsia="宋体" w:cs="宋体"/>
          <w:color w:val="000000"/>
          <w:kern w:val="2"/>
          <w:sz w:val="24"/>
          <w:szCs w:val="24"/>
        </w:rPr>
        <w:t>共有编制人数</w:t>
      </w:r>
      <w:r>
        <w:rPr>
          <w:rFonts w:hint="eastAsia" w:ascii="宋体" w:hAnsi="宋体" w:eastAsia="宋体" w:cs="宋体"/>
          <w:color w:val="000000"/>
          <w:kern w:val="2"/>
          <w:sz w:val="24"/>
          <w:szCs w:val="24"/>
          <w:lang w:val="en-US" w:eastAsia="zh-CN"/>
        </w:rPr>
        <w:t>7</w:t>
      </w:r>
      <w:r>
        <w:rPr>
          <w:rFonts w:hint="eastAsia" w:ascii="宋体" w:hAnsi="宋体" w:eastAsia="宋体" w:cs="宋体"/>
          <w:color w:val="000000"/>
          <w:kern w:val="2"/>
          <w:sz w:val="24"/>
          <w:szCs w:val="24"/>
        </w:rPr>
        <w:t>人，实有人数</w:t>
      </w:r>
      <w:r>
        <w:rPr>
          <w:rFonts w:hint="eastAsia" w:ascii="宋体" w:hAnsi="宋体" w:eastAsia="宋体" w:cs="宋体"/>
          <w:color w:val="000000"/>
          <w:kern w:val="2"/>
          <w:sz w:val="24"/>
          <w:szCs w:val="24"/>
          <w:lang w:val="en-US" w:eastAsia="zh-CN"/>
        </w:rPr>
        <w:t>7</w:t>
      </w:r>
      <w:r>
        <w:rPr>
          <w:rFonts w:hint="eastAsia" w:ascii="宋体" w:hAnsi="宋体" w:eastAsia="宋体" w:cs="宋体"/>
          <w:color w:val="000000"/>
          <w:kern w:val="2"/>
          <w:sz w:val="24"/>
          <w:szCs w:val="24"/>
        </w:rPr>
        <w:t>人</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p>
    <w:p>
      <w:pPr>
        <w:spacing w:line="480" w:lineRule="auto"/>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（二）主要工作职责</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1、坚决贯彻党管媒体原则,严格执行党中央和省、市、区委关于新闻宣传、媒体融合发展等工作的方针政策和决策部署,落实中央和省委、市委、区委的工作要求。坚持和加强党对新闻舆论工作的集中统一领导,坚持移动优先,建成主流舆论阵地、综合服务平台和社区信息枢纽。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2、负责利用移动传播技术,形成渠道丰富、覆盖广泛传播有效、可管可控的移动传播矩阵;树立“媒体+”的理念从单纯的新闻宣传向公共服务领域拓展,增强互动性,从单向传播向多元互动传播延伸,将媒体与政务、服务等业务相结合,构建具有北塔特色的“主流舆论阵地+综合服务平台+社区信息枢纽”平台,提供多样化综合服务,满足用户多样化的需求,开展“媒体+政务”“媒体+服务”等业务,面向用户提供政务服务、生活服务、社交传播、教育培训等服务平台。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3、负责归并一报(北塔报)、二网(北塔政务网、北塔新闻网)、多微(北塔发布和各乡街道、区直机关部门短讯快讯、微信微博,以及H5、快手、抖音等新媒体),提供对外宣传平台,充分发挥媒体融合优势。集中力量打造“新湖南北塔区频道”,建立“精品北塔”客户端。着力提高客户端下载量、日活率，提高在全区的覆盖面。综合运用报纸、广播、电视、新闻网站、微博微信、手机报、客户端频道等多个终端,形成分众传播分类覆盖的格局。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4、负责充分发挥信息服务平台的作用,积极参与“精品北塔”客户端建设,整合全区党政部门信息资源,对接全区党政部门技术平台,为各部门对外宣传、便民服务提供技术支撑。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5、协助开展各类群众性文化、体育、科普、公益活动,开展各类商务、会展节庆等活动,打通线上线下、提升造血机能,丰富群众文化生活、强化为民服务功能。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6、负责加强媒体在机构、内容、渠道、平台、人员、经营、管理等方面深度融合,提高传播力、引导力、影响力。建成主流舆论阵地、讲好“北塔话”。宣传党中央决策部署,宣传党的创新理论和社会主义核心价值观,宣传各级党委政府工作安排,传播政经资讯,对中央和省、市级媒体形成有益补充;建成综合服务平台、连通“北塔城”。向基层干部群众提供政务需求、生活服务、社交传播、教育培训等综合服务,增强党委政府和人民群众之间的互动沟通;建成社区信息枢纽、引导“北塔人”。面向人口聚集的部门机关、乡街道、村社区、企事业单位,提供精准化的生活资讯,打通线上线下,建设培育社会动员功能。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7、完成区委交办的其他事项。 </w:t>
      </w:r>
    </w:p>
    <w:p>
      <w:pPr>
        <w:numPr>
          <w:ilvl w:val="0"/>
          <w:numId w:val="0"/>
        </w:numPr>
        <w:spacing w:line="480" w:lineRule="auto"/>
        <w:jc w:val="left"/>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8"/>
          <w:szCs w:val="28"/>
          <w:shd w:val="clear" w:fill="FFFFFF"/>
        </w:rPr>
        <w:t>二、</w:t>
      </w:r>
      <w:r>
        <w:rPr>
          <w:rFonts w:hint="eastAsia" w:ascii="宋体" w:hAnsi="宋体" w:eastAsia="宋体" w:cs="宋体"/>
          <w:b/>
          <w:bCs/>
          <w:i w:val="0"/>
          <w:iCs w:val="0"/>
          <w:caps w:val="0"/>
          <w:color w:val="auto"/>
          <w:spacing w:val="0"/>
          <w:sz w:val="24"/>
          <w:szCs w:val="24"/>
          <w:shd w:val="clear" w:fill="FFFFFF"/>
        </w:rPr>
        <w:t>部门整体支出管理及使用情况</w:t>
      </w:r>
    </w:p>
    <w:p>
      <w:pPr>
        <w:spacing w:line="480" w:lineRule="auto"/>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（一）预算执行情况</w:t>
      </w:r>
    </w:p>
    <w:p>
      <w:pPr>
        <w:spacing w:line="480" w:lineRule="auto"/>
        <w:ind w:firstLine="480" w:firstLineChars="200"/>
        <w:jc w:val="left"/>
        <w:rPr>
          <w:rFonts w:hint="eastAsia" w:ascii="宋体" w:hAnsi="宋体" w:eastAsia="宋体" w:cs="宋体"/>
          <w:i w:val="0"/>
          <w:iCs w:val="0"/>
          <w:caps w:val="0"/>
          <w:color w:val="000000"/>
          <w:spacing w:val="0"/>
          <w:sz w:val="24"/>
          <w:szCs w:val="24"/>
          <w:lang w:val="en-US" w:eastAsia="zh-CN"/>
        </w:rPr>
      </w:pPr>
      <w:r>
        <w:rPr>
          <w:rFonts w:hint="eastAsia" w:ascii="宋体" w:hAnsi="宋体" w:eastAsia="宋体" w:cs="宋体"/>
          <w:kern w:val="2"/>
          <w:sz w:val="24"/>
          <w:szCs w:val="24"/>
          <w:lang w:val="en-US" w:eastAsia="zh-CN" w:bidi="ar"/>
        </w:rPr>
        <w:t>2022年本部门年初预算安排162.85万元，本年实际支出</w:t>
      </w:r>
      <w:r>
        <w:rPr>
          <w:rFonts w:hint="eastAsia" w:ascii="宋体" w:hAnsi="宋体" w:eastAsia="宋体" w:cs="宋体"/>
          <w:i w:val="0"/>
          <w:iCs w:val="0"/>
          <w:caps w:val="0"/>
          <w:color w:val="000000"/>
          <w:spacing w:val="0"/>
          <w:sz w:val="24"/>
          <w:szCs w:val="24"/>
          <w:lang w:val="en-US" w:eastAsia="zh-CN"/>
        </w:rPr>
        <w:t>129.7</w:t>
      </w:r>
      <w:r>
        <w:rPr>
          <w:rFonts w:hint="eastAsia" w:ascii="宋体" w:hAnsi="宋体" w:eastAsia="宋体" w:cs="宋体"/>
          <w:i w:val="0"/>
          <w:iCs w:val="0"/>
          <w:caps w:val="0"/>
          <w:color w:val="000000"/>
          <w:spacing w:val="0"/>
          <w:sz w:val="24"/>
          <w:szCs w:val="24"/>
        </w:rPr>
        <w:t>万元</w:t>
      </w:r>
      <w:r>
        <w:rPr>
          <w:rFonts w:hint="eastAsia" w:ascii="宋体" w:hAnsi="宋体" w:eastAsia="宋体" w:cs="宋体"/>
          <w:i w:val="0"/>
          <w:iCs w:val="0"/>
          <w:caps w:val="0"/>
          <w:color w:val="000000"/>
          <w:spacing w:val="0"/>
          <w:sz w:val="24"/>
          <w:szCs w:val="24"/>
          <w:lang w:eastAsia="zh-CN"/>
        </w:rPr>
        <w:t>，完成全年预算的</w:t>
      </w:r>
      <w:r>
        <w:rPr>
          <w:rFonts w:hint="eastAsia" w:ascii="宋体" w:hAnsi="宋体" w:eastAsia="宋体" w:cs="宋体"/>
          <w:i w:val="0"/>
          <w:iCs w:val="0"/>
          <w:caps w:val="0"/>
          <w:color w:val="000000"/>
          <w:spacing w:val="0"/>
          <w:sz w:val="24"/>
          <w:szCs w:val="24"/>
          <w:lang w:val="en-US" w:eastAsia="zh-CN"/>
        </w:rPr>
        <w:t>79.64%</w:t>
      </w:r>
      <w:r>
        <w:rPr>
          <w:rFonts w:hint="eastAsia" w:ascii="宋体" w:hAnsi="宋体" w:eastAsia="宋体" w:cs="宋体"/>
          <w:i w:val="0"/>
          <w:iCs w:val="0"/>
          <w:caps w:val="0"/>
          <w:color w:val="000000"/>
          <w:spacing w:val="0"/>
          <w:sz w:val="24"/>
          <w:szCs w:val="24"/>
        </w:rPr>
        <w:t>。与上一年度相比，</w:t>
      </w:r>
      <w:r>
        <w:rPr>
          <w:rFonts w:hint="eastAsia" w:ascii="宋体" w:hAnsi="宋体" w:eastAsia="宋体" w:cs="宋体"/>
          <w:i w:val="0"/>
          <w:iCs w:val="0"/>
          <w:caps w:val="0"/>
          <w:color w:val="000000"/>
          <w:spacing w:val="0"/>
          <w:sz w:val="24"/>
          <w:szCs w:val="24"/>
          <w:lang w:eastAsia="zh-CN"/>
        </w:rPr>
        <w:t>实际支出</w:t>
      </w:r>
      <w:r>
        <w:rPr>
          <w:rFonts w:hint="eastAsia" w:ascii="宋体" w:hAnsi="宋体" w:eastAsia="宋体" w:cs="宋体"/>
          <w:i w:val="0"/>
          <w:iCs w:val="0"/>
          <w:caps w:val="0"/>
          <w:color w:val="000000"/>
          <w:spacing w:val="0"/>
          <w:sz w:val="24"/>
          <w:szCs w:val="24"/>
          <w:lang w:val="en-US" w:eastAsia="zh-CN"/>
        </w:rPr>
        <w:t>减少45.06</w:t>
      </w:r>
      <w:r>
        <w:rPr>
          <w:rFonts w:hint="eastAsia" w:ascii="宋体" w:hAnsi="宋体" w:eastAsia="宋体" w:cs="宋体"/>
          <w:i w:val="0"/>
          <w:iCs w:val="0"/>
          <w:caps w:val="0"/>
          <w:color w:val="000000"/>
          <w:spacing w:val="0"/>
          <w:sz w:val="24"/>
          <w:szCs w:val="24"/>
        </w:rPr>
        <w:t>万元，</w:t>
      </w:r>
      <w:r>
        <w:rPr>
          <w:rFonts w:hint="eastAsia" w:ascii="宋体" w:hAnsi="宋体" w:eastAsia="宋体" w:cs="宋体"/>
          <w:i w:val="0"/>
          <w:iCs w:val="0"/>
          <w:caps w:val="0"/>
          <w:color w:val="000000"/>
          <w:spacing w:val="0"/>
          <w:sz w:val="24"/>
          <w:szCs w:val="24"/>
          <w:lang w:val="en-US" w:eastAsia="zh-CN"/>
        </w:rPr>
        <w:t>下降25.78</w:t>
      </w:r>
      <w:r>
        <w:rPr>
          <w:rFonts w:hint="eastAsia" w:ascii="宋体" w:hAnsi="宋体" w:eastAsia="宋体" w:cs="宋体"/>
          <w:i w:val="0"/>
          <w:iCs w:val="0"/>
          <w:caps w:val="0"/>
          <w:color w:val="000000"/>
          <w:spacing w:val="0"/>
          <w:sz w:val="24"/>
          <w:szCs w:val="24"/>
        </w:rPr>
        <w:t>%。主要原因</w:t>
      </w:r>
      <w:r>
        <w:rPr>
          <w:rFonts w:hint="eastAsia" w:ascii="宋体" w:hAnsi="宋体" w:eastAsia="宋体" w:cs="宋体"/>
          <w:i w:val="0"/>
          <w:iCs w:val="0"/>
          <w:caps w:val="0"/>
          <w:color w:val="000000"/>
          <w:spacing w:val="0"/>
          <w:sz w:val="24"/>
          <w:szCs w:val="24"/>
          <w:lang w:val="en-US" w:eastAsia="zh-CN"/>
        </w:rPr>
        <w:t>是财政拨款收入减少的同时，大力压缩了非必要的开支。</w:t>
      </w:r>
    </w:p>
    <w:p>
      <w:pPr>
        <w:spacing w:line="480" w:lineRule="auto"/>
        <w:ind w:firstLine="480" w:firstLineChars="20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2022年度收入合计</w:t>
      </w:r>
      <w:r>
        <w:rPr>
          <w:rFonts w:hint="eastAsia" w:ascii="宋体" w:hAnsi="宋体" w:eastAsia="宋体" w:cs="宋体"/>
          <w:i w:val="0"/>
          <w:iCs w:val="0"/>
          <w:caps w:val="0"/>
          <w:color w:val="000000"/>
          <w:spacing w:val="0"/>
          <w:sz w:val="24"/>
          <w:szCs w:val="24"/>
          <w:lang w:val="en-US" w:eastAsia="zh-CN"/>
        </w:rPr>
        <w:t>129.7</w:t>
      </w:r>
      <w:r>
        <w:rPr>
          <w:rFonts w:hint="eastAsia" w:ascii="宋体" w:hAnsi="宋体" w:eastAsia="宋体" w:cs="宋体"/>
          <w:i w:val="0"/>
          <w:iCs w:val="0"/>
          <w:caps w:val="0"/>
          <w:color w:val="000000"/>
          <w:spacing w:val="0"/>
          <w:sz w:val="24"/>
          <w:szCs w:val="24"/>
        </w:rPr>
        <w:t>万元，其中：财政拨款收入</w:t>
      </w:r>
      <w:r>
        <w:rPr>
          <w:rFonts w:hint="eastAsia" w:ascii="宋体" w:hAnsi="宋体" w:eastAsia="宋体" w:cs="宋体"/>
          <w:i w:val="0"/>
          <w:iCs w:val="0"/>
          <w:caps w:val="0"/>
          <w:color w:val="000000"/>
          <w:spacing w:val="0"/>
          <w:sz w:val="24"/>
          <w:szCs w:val="24"/>
          <w:lang w:val="en-US" w:eastAsia="zh-CN"/>
        </w:rPr>
        <w:t>129.7</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eastAsia="zh-CN"/>
        </w:rPr>
        <w:t>100</w:t>
      </w:r>
      <w:r>
        <w:rPr>
          <w:rFonts w:hint="eastAsia" w:ascii="宋体" w:hAnsi="宋体" w:eastAsia="宋体" w:cs="宋体"/>
          <w:i w:val="0"/>
          <w:iCs w:val="0"/>
          <w:caps w:val="0"/>
          <w:color w:val="000000"/>
          <w:spacing w:val="0"/>
          <w:sz w:val="24"/>
          <w:szCs w:val="24"/>
        </w:rPr>
        <w:t>%；上级补助收入0万元，占0%；事业收入0万元，占0%；经营收入0万元，占0%；附属单位上缴收入0万元，占0%；其他收入</w:t>
      </w:r>
      <w:r>
        <w:rPr>
          <w:rFonts w:hint="eastAsia" w:ascii="宋体" w:hAnsi="宋体" w:eastAsia="宋体" w:cs="宋体"/>
          <w:i w:val="0"/>
          <w:iCs w:val="0"/>
          <w:caps w:val="0"/>
          <w:color w:val="000000"/>
          <w:spacing w:val="0"/>
          <w:sz w:val="24"/>
          <w:szCs w:val="24"/>
          <w:lang w:val="en-US" w:eastAsia="zh-CN"/>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eastAsia="zh-CN"/>
        </w:rPr>
        <w:t>0</w:t>
      </w:r>
      <w:r>
        <w:rPr>
          <w:rFonts w:hint="eastAsia" w:ascii="宋体" w:hAnsi="宋体" w:eastAsia="宋体" w:cs="宋体"/>
          <w:i w:val="0"/>
          <w:iCs w:val="0"/>
          <w:caps w:val="0"/>
          <w:color w:val="000000"/>
          <w:spacing w:val="0"/>
          <w:sz w:val="24"/>
          <w:szCs w:val="24"/>
        </w:rPr>
        <w:t>%</w:t>
      </w:r>
    </w:p>
    <w:p>
      <w:pPr>
        <w:spacing w:line="480" w:lineRule="auto"/>
        <w:ind w:firstLine="480" w:firstLineChars="200"/>
        <w:jc w:val="left"/>
        <w:rPr>
          <w:rFonts w:hint="eastAsia"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rPr>
        <w:t>2022年度支出合计</w:t>
      </w:r>
      <w:r>
        <w:rPr>
          <w:rFonts w:hint="eastAsia" w:ascii="宋体" w:hAnsi="宋体" w:eastAsia="宋体" w:cs="宋体"/>
          <w:i w:val="0"/>
          <w:iCs w:val="0"/>
          <w:caps w:val="0"/>
          <w:color w:val="000000"/>
          <w:spacing w:val="0"/>
          <w:sz w:val="24"/>
          <w:szCs w:val="24"/>
          <w:lang w:val="en-US" w:eastAsia="zh-CN"/>
        </w:rPr>
        <w:t>129.7</w:t>
      </w:r>
      <w:r>
        <w:rPr>
          <w:rFonts w:hint="eastAsia" w:ascii="宋体" w:hAnsi="宋体" w:eastAsia="宋体" w:cs="宋体"/>
          <w:i w:val="0"/>
          <w:iCs w:val="0"/>
          <w:caps w:val="0"/>
          <w:color w:val="000000"/>
          <w:spacing w:val="0"/>
          <w:sz w:val="24"/>
          <w:szCs w:val="24"/>
        </w:rPr>
        <w:t>万元，其中：基本支出</w:t>
      </w:r>
      <w:r>
        <w:rPr>
          <w:rFonts w:hint="eastAsia" w:ascii="宋体" w:hAnsi="宋体" w:eastAsia="宋体" w:cs="宋体"/>
          <w:i w:val="0"/>
          <w:iCs w:val="0"/>
          <w:caps w:val="0"/>
          <w:color w:val="000000"/>
          <w:spacing w:val="0"/>
          <w:sz w:val="24"/>
          <w:szCs w:val="24"/>
          <w:lang w:val="en-US" w:eastAsia="zh-CN"/>
        </w:rPr>
        <w:t>129.7</w:t>
      </w:r>
      <w:r>
        <w:rPr>
          <w:rFonts w:hint="eastAsia" w:ascii="宋体" w:hAnsi="宋体" w:eastAsia="宋体" w:cs="宋体"/>
          <w:i w:val="0"/>
          <w:iCs w:val="0"/>
          <w:caps w:val="0"/>
          <w:color w:val="000000"/>
          <w:spacing w:val="0"/>
          <w:sz w:val="24"/>
          <w:szCs w:val="24"/>
        </w:rPr>
        <w:t>万元，占100%；项目支出0万元，占0%；上缴上级支出0万元，占0%；经营支出0万元，占0%；对附属单位补助支出0万元，占0%。</w:t>
      </w:r>
    </w:p>
    <w:p>
      <w:pPr>
        <w:spacing w:line="480" w:lineRule="auto"/>
        <w:ind w:firstLine="482" w:firstLineChars="200"/>
        <w:jc w:val="left"/>
        <w:rPr>
          <w:rFonts w:hint="eastAsia" w:ascii="宋体" w:hAnsi="宋体" w:eastAsia="宋体" w:cs="宋体"/>
          <w:b/>
          <w:bCs/>
          <w:i w:val="0"/>
          <w:iCs w:val="0"/>
          <w:caps w:val="0"/>
          <w:color w:val="auto"/>
          <w:spacing w:val="0"/>
          <w:sz w:val="24"/>
          <w:szCs w:val="24"/>
          <w:highlight w:val="none"/>
          <w:shd w:val="clear" w:fill="FFFFFF"/>
          <w:lang w:val="en-US" w:eastAsia="zh-CN"/>
        </w:rPr>
      </w:pPr>
      <w:r>
        <w:rPr>
          <w:rFonts w:hint="eastAsia" w:ascii="宋体" w:hAnsi="宋体" w:eastAsia="宋体" w:cs="宋体"/>
          <w:b/>
          <w:bCs/>
          <w:i w:val="0"/>
          <w:iCs w:val="0"/>
          <w:caps w:val="0"/>
          <w:color w:val="auto"/>
          <w:spacing w:val="0"/>
          <w:sz w:val="24"/>
          <w:szCs w:val="24"/>
          <w:highlight w:val="none"/>
          <w:shd w:val="clear" w:fill="FFFFFF"/>
          <w:lang w:val="en-US" w:eastAsia="zh-CN"/>
        </w:rPr>
        <w:t>（二）基本支出情况</w:t>
      </w:r>
    </w:p>
    <w:p>
      <w:pPr>
        <w:spacing w:line="480" w:lineRule="auto"/>
        <w:ind w:firstLine="480" w:firstLineChars="200"/>
        <w:jc w:val="left"/>
        <w:rPr>
          <w:rFonts w:hint="eastAsia" w:ascii="宋体" w:hAnsi="宋体" w:eastAsia="宋体" w:cs="宋体"/>
          <w:i w:val="0"/>
          <w:iCs w:val="0"/>
          <w:caps w:val="0"/>
          <w:color w:val="auto"/>
          <w:spacing w:val="0"/>
          <w:kern w:val="2"/>
          <w:sz w:val="24"/>
          <w:szCs w:val="24"/>
          <w:highlight w:val="none"/>
          <w:shd w:val="clear" w:fill="FFFFFF"/>
          <w:lang w:val="en-US" w:eastAsia="zh-CN" w:bidi="ar-SA"/>
        </w:rPr>
      </w:pPr>
      <w:r>
        <w:rPr>
          <w:rFonts w:hint="eastAsia" w:ascii="宋体" w:hAnsi="宋体" w:eastAsia="宋体" w:cs="宋体"/>
          <w:i w:val="0"/>
          <w:iCs w:val="0"/>
          <w:caps w:val="0"/>
          <w:color w:val="auto"/>
          <w:spacing w:val="0"/>
          <w:kern w:val="2"/>
          <w:sz w:val="24"/>
          <w:szCs w:val="24"/>
          <w:highlight w:val="none"/>
          <w:shd w:val="clear" w:fill="FFFFFF"/>
          <w:lang w:val="en-US" w:eastAsia="zh-CN" w:bidi="ar-SA"/>
        </w:rPr>
        <w:t>2022年度北塔区融媒体中心基本支出年初预算安排</w:t>
      </w:r>
      <w:r>
        <w:rPr>
          <w:rFonts w:hint="eastAsia" w:ascii="宋体" w:hAnsi="宋体" w:eastAsia="宋体" w:cs="宋体"/>
          <w:i w:val="0"/>
          <w:iCs w:val="0"/>
          <w:caps w:val="0"/>
          <w:color w:val="000000"/>
          <w:spacing w:val="0"/>
          <w:sz w:val="24"/>
          <w:szCs w:val="24"/>
          <w:lang w:val="en-US" w:eastAsia="zh-CN"/>
        </w:rPr>
        <w:t>162.85</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万元，本年实际支出为</w:t>
      </w:r>
      <w:r>
        <w:rPr>
          <w:rFonts w:hint="eastAsia" w:ascii="宋体" w:hAnsi="宋体" w:eastAsia="宋体" w:cs="宋体"/>
          <w:i w:val="0"/>
          <w:iCs w:val="0"/>
          <w:caps w:val="0"/>
          <w:color w:val="000000"/>
          <w:spacing w:val="0"/>
          <w:sz w:val="24"/>
          <w:szCs w:val="24"/>
          <w:lang w:val="en-US" w:eastAsia="zh-CN"/>
        </w:rPr>
        <w:t>129.7</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万元，主要为人员经费支出和公用经费支出，其中人员经费支出65.25万元、公用经费支出64.45万元。</w:t>
      </w:r>
    </w:p>
    <w:p>
      <w:pPr>
        <w:numPr>
          <w:ilvl w:val="0"/>
          <w:numId w:val="1"/>
        </w:numPr>
        <w:spacing w:line="480" w:lineRule="auto"/>
        <w:ind w:left="0" w:leftChars="0" w:firstLine="482" w:firstLineChars="200"/>
        <w:jc w:val="left"/>
        <w:rPr>
          <w:rFonts w:hint="eastAsia" w:ascii="宋体" w:hAnsi="宋体" w:eastAsia="宋体" w:cs="宋体"/>
          <w:b/>
          <w:bCs/>
          <w:i w:val="0"/>
          <w:iCs w:val="0"/>
          <w:caps w:val="0"/>
          <w:color w:val="auto"/>
          <w:spacing w:val="0"/>
          <w:sz w:val="24"/>
          <w:szCs w:val="24"/>
          <w:highlight w:val="none"/>
          <w:shd w:val="clear" w:fill="FFFFFF"/>
          <w:lang w:val="en-US" w:eastAsia="zh-CN"/>
        </w:rPr>
      </w:pPr>
      <w:r>
        <w:rPr>
          <w:rFonts w:hint="eastAsia" w:ascii="宋体" w:hAnsi="宋体" w:eastAsia="宋体" w:cs="宋体"/>
          <w:b/>
          <w:bCs/>
          <w:i w:val="0"/>
          <w:iCs w:val="0"/>
          <w:caps w:val="0"/>
          <w:color w:val="auto"/>
          <w:spacing w:val="0"/>
          <w:sz w:val="24"/>
          <w:szCs w:val="24"/>
          <w:highlight w:val="none"/>
          <w:shd w:val="clear" w:fill="FFFFFF"/>
          <w:lang w:val="en-US" w:eastAsia="zh-CN"/>
        </w:rPr>
        <w:t>项目支出情况</w:t>
      </w:r>
    </w:p>
    <w:p>
      <w:pPr>
        <w:numPr>
          <w:ilvl w:val="0"/>
          <w:numId w:val="0"/>
        </w:numPr>
        <w:spacing w:line="480" w:lineRule="auto"/>
        <w:ind w:firstLine="480" w:firstLineChars="200"/>
        <w:jc w:val="left"/>
        <w:rPr>
          <w:rFonts w:hint="eastAsia" w:ascii="宋体" w:hAnsi="宋体" w:eastAsia="宋体" w:cs="宋体"/>
          <w:i w:val="0"/>
          <w:iCs w:val="0"/>
          <w:caps w:val="0"/>
          <w:color w:val="auto"/>
          <w:spacing w:val="0"/>
          <w:kern w:val="2"/>
          <w:sz w:val="24"/>
          <w:szCs w:val="24"/>
          <w:highlight w:val="none"/>
          <w:shd w:val="clear" w:fill="FFFFFF"/>
          <w:lang w:val="en-US" w:eastAsia="zh-CN" w:bidi="ar-SA"/>
        </w:rPr>
      </w:pPr>
      <w:r>
        <w:rPr>
          <w:rFonts w:hint="eastAsia" w:ascii="宋体" w:hAnsi="宋体" w:eastAsia="宋体" w:cs="宋体"/>
          <w:i w:val="0"/>
          <w:iCs w:val="0"/>
          <w:caps w:val="0"/>
          <w:color w:val="auto"/>
          <w:spacing w:val="0"/>
          <w:kern w:val="2"/>
          <w:sz w:val="24"/>
          <w:szCs w:val="24"/>
          <w:highlight w:val="none"/>
          <w:shd w:val="clear" w:fill="FFFFFF"/>
          <w:lang w:val="en-US" w:eastAsia="zh-CN" w:bidi="ar-SA"/>
        </w:rPr>
        <w:t>本年项目支出年初预算安排为110万元，本年实际支出为0万元，本部门2022年度无项目支出。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482" w:firstLineChars="200"/>
        <w:jc w:val="both"/>
        <w:rPr>
          <w:rFonts w:hint="eastAsia" w:ascii="宋体" w:hAnsi="宋体" w:eastAsia="宋体" w:cs="宋体"/>
          <w:b/>
          <w:bCs/>
          <w:i w:val="0"/>
          <w:iCs w:val="0"/>
          <w:caps w:val="0"/>
          <w:color w:val="auto"/>
          <w:spacing w:val="0"/>
          <w:sz w:val="24"/>
          <w:szCs w:val="24"/>
          <w:highlight w:val="none"/>
          <w:shd w:val="clear" w:fill="FFFFFF"/>
        </w:rPr>
      </w:pPr>
      <w:r>
        <w:rPr>
          <w:rFonts w:hint="eastAsia" w:ascii="宋体" w:hAnsi="宋体" w:eastAsia="宋体" w:cs="宋体"/>
          <w:b/>
          <w:bCs/>
          <w:i w:val="0"/>
          <w:iCs w:val="0"/>
          <w:caps w:val="0"/>
          <w:color w:val="auto"/>
          <w:spacing w:val="0"/>
          <w:sz w:val="24"/>
          <w:szCs w:val="24"/>
          <w:highlight w:val="none"/>
          <w:shd w:val="clear" w:fill="FFFFFF"/>
          <w:lang w:val="en-US" w:eastAsia="zh-CN"/>
        </w:rPr>
        <w:t>三</w:t>
      </w:r>
      <w:r>
        <w:rPr>
          <w:rFonts w:hint="eastAsia" w:ascii="宋体" w:hAnsi="宋体" w:eastAsia="宋体" w:cs="宋体"/>
          <w:b/>
          <w:bCs/>
          <w:i w:val="0"/>
          <w:iCs w:val="0"/>
          <w:caps w:val="0"/>
          <w:color w:val="auto"/>
          <w:spacing w:val="0"/>
          <w:sz w:val="24"/>
          <w:szCs w:val="24"/>
          <w:highlight w:val="none"/>
          <w:shd w:val="clear" w:fill="FFFFFF"/>
        </w:rPr>
        <w:t>、部门整体支出绩效情况</w:t>
      </w:r>
    </w:p>
    <w:p>
      <w:pPr>
        <w:spacing w:line="480" w:lineRule="auto"/>
        <w:ind w:firstLine="482" w:firstLineChars="200"/>
        <w:jc w:val="left"/>
        <w:rPr>
          <w:rFonts w:hint="eastAsia" w:ascii="宋体" w:hAnsi="宋体" w:eastAsia="宋体" w:cs="宋体"/>
          <w:b/>
          <w:bCs/>
          <w:i w:val="0"/>
          <w:iCs w:val="0"/>
          <w:caps w:val="0"/>
          <w:color w:val="auto"/>
          <w:spacing w:val="0"/>
          <w:sz w:val="24"/>
          <w:szCs w:val="24"/>
          <w:highlight w:val="none"/>
          <w:shd w:val="clear" w:fill="FFFFFF"/>
          <w:lang w:val="en-US" w:eastAsia="zh-CN"/>
        </w:rPr>
      </w:pPr>
      <w:r>
        <w:rPr>
          <w:rFonts w:hint="eastAsia" w:ascii="宋体" w:hAnsi="宋体" w:eastAsia="宋体" w:cs="宋体"/>
          <w:b/>
          <w:bCs/>
          <w:i w:val="0"/>
          <w:iCs w:val="0"/>
          <w:caps w:val="0"/>
          <w:color w:val="auto"/>
          <w:spacing w:val="0"/>
          <w:sz w:val="24"/>
          <w:szCs w:val="24"/>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4"/>
          <w:szCs w:val="24"/>
          <w:highlight w:val="none"/>
          <w:shd w:val="clear" w:fill="FFFFFF"/>
        </w:rPr>
      </w:pPr>
      <w:r>
        <w:rPr>
          <w:rFonts w:hint="eastAsia" w:ascii="宋体" w:hAnsi="宋体" w:eastAsia="宋体" w:cs="宋体"/>
          <w:b/>
          <w:bCs/>
          <w:i w:val="0"/>
          <w:iCs w:val="0"/>
          <w:caps w:val="0"/>
          <w:color w:val="auto"/>
          <w:spacing w:val="0"/>
          <w:sz w:val="24"/>
          <w:szCs w:val="24"/>
          <w:highlight w:val="none"/>
          <w:shd w:val="clear" w:fill="FFFFFF"/>
        </w:rPr>
        <w:t>1、预算执行情况。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default" w:ascii="宋体" w:hAnsi="宋体" w:eastAsia="宋体" w:cs="宋体"/>
          <w:i w:val="0"/>
          <w:iCs w:val="0"/>
          <w:caps w:val="0"/>
          <w:color w:val="auto"/>
          <w:spacing w:val="0"/>
          <w:kern w:val="2"/>
          <w:sz w:val="24"/>
          <w:szCs w:val="24"/>
          <w:highlight w:val="none"/>
          <w:shd w:val="clear" w:fill="FFFFFF"/>
          <w:lang w:val="en-US" w:eastAsia="zh-CN" w:bidi="ar-SA"/>
        </w:rPr>
      </w:pPr>
      <w:r>
        <w:rPr>
          <w:rFonts w:hint="eastAsia" w:ascii="宋体" w:hAnsi="宋体" w:eastAsia="宋体" w:cs="宋体"/>
          <w:i w:val="0"/>
          <w:iCs w:val="0"/>
          <w:caps w:val="0"/>
          <w:color w:val="auto"/>
          <w:spacing w:val="0"/>
          <w:kern w:val="2"/>
          <w:sz w:val="24"/>
          <w:szCs w:val="24"/>
          <w:highlight w:val="none"/>
          <w:shd w:val="clear" w:fill="FFFFFF"/>
          <w:lang w:val="en-US" w:eastAsia="zh-CN" w:bidi="ar-SA"/>
        </w:rPr>
        <w:t>⑴2022年财政拨款预算执行数129.7万元，预算安排数162.85万元，预算执行率为79.64%；当年预算有节约33.15万元。⑵公用经费预算116.76万元，实际支出64.45万元，公用经费控制率为55.20%；（3）“三公经费”年初预算安排0万元，实际支出0万元（4）政府采购年初预算96.01万元，实际政府采购金额52.01万元。政府采购执行率54.17%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highlight w:val="none"/>
          <w:shd w:val="clear" w:fill="FFFFFF"/>
          <w:lang w:val="en-US" w:eastAsia="zh-CN" w:bidi="ar-SA"/>
        </w:rPr>
        <w:t>（2）、</w:t>
      </w:r>
      <w:r>
        <w:rPr>
          <w:rFonts w:hint="eastAsia" w:ascii="宋体" w:hAnsi="宋体" w:eastAsia="宋体" w:cs="宋体"/>
          <w:b/>
          <w:bCs/>
          <w:i w:val="0"/>
          <w:iCs w:val="0"/>
          <w:caps w:val="0"/>
          <w:color w:val="auto"/>
          <w:spacing w:val="0"/>
          <w:sz w:val="24"/>
          <w:szCs w:val="24"/>
          <w:highlight w:val="none"/>
          <w:shd w:val="clear" w:fill="FFFFFF"/>
        </w:rPr>
        <w:t>预决算信息公开情况。</w:t>
      </w:r>
      <w:r>
        <w:rPr>
          <w:rFonts w:hint="eastAsia" w:ascii="宋体" w:hAnsi="宋体" w:eastAsia="宋体" w:cs="宋体"/>
          <w:b w:val="0"/>
          <w:bCs w:val="0"/>
          <w:i w:val="0"/>
          <w:iCs w:val="0"/>
          <w:caps w:val="0"/>
          <w:color w:val="auto"/>
          <w:spacing w:val="0"/>
          <w:sz w:val="24"/>
          <w:szCs w:val="24"/>
          <w:highlight w:val="none"/>
          <w:shd w:val="clear" w:fill="FFFFFF"/>
          <w:lang w:eastAsia="zh-CN"/>
        </w:rPr>
        <w:t>北塔区</w:t>
      </w:r>
      <w:r>
        <w:rPr>
          <w:rFonts w:hint="eastAsia" w:ascii="宋体" w:hAnsi="宋体" w:eastAsia="宋体" w:cs="宋体"/>
          <w:b w:val="0"/>
          <w:bCs w:val="0"/>
          <w:i w:val="0"/>
          <w:iCs w:val="0"/>
          <w:caps w:val="0"/>
          <w:color w:val="auto"/>
          <w:spacing w:val="0"/>
          <w:sz w:val="24"/>
          <w:szCs w:val="24"/>
          <w:highlight w:val="none"/>
          <w:shd w:val="clear" w:fill="FFFFFF"/>
          <w:lang w:val="en-US" w:eastAsia="zh-CN"/>
        </w:rPr>
        <w:t>融媒体中心</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24"/>
          <w:szCs w:val="24"/>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b/>
          <w:bCs/>
          <w:i w:val="0"/>
          <w:iCs w:val="0"/>
          <w:caps w:val="0"/>
          <w:color w:val="auto"/>
          <w:spacing w:val="0"/>
          <w:sz w:val="24"/>
          <w:szCs w:val="24"/>
          <w:shd w:val="clear" w:fill="FFFFFF"/>
          <w:lang w:val="en-US" w:eastAsia="zh-CN"/>
        </w:rPr>
        <w:t>（3）</w:t>
      </w:r>
      <w:r>
        <w:rPr>
          <w:rFonts w:hint="eastAsia" w:ascii="宋体" w:hAnsi="宋体" w:eastAsia="宋体" w:cs="宋体"/>
          <w:b/>
          <w:bCs/>
          <w:i w:val="0"/>
          <w:iCs w:val="0"/>
          <w:caps w:val="0"/>
          <w:color w:val="auto"/>
          <w:spacing w:val="0"/>
          <w:sz w:val="24"/>
          <w:szCs w:val="24"/>
          <w:shd w:val="clear" w:fill="FFFFFF"/>
        </w:rPr>
        <w:t>、资产管理情况。</w:t>
      </w:r>
      <w:r>
        <w:rPr>
          <w:rFonts w:hint="eastAsia" w:ascii="宋体" w:hAnsi="宋体" w:eastAsia="宋体" w:cs="宋体"/>
          <w:i w:val="0"/>
          <w:iCs w:val="0"/>
          <w:caps w:val="0"/>
          <w:color w:val="auto"/>
          <w:spacing w:val="0"/>
          <w:kern w:val="2"/>
          <w:sz w:val="24"/>
          <w:szCs w:val="24"/>
          <w:shd w:val="clear" w:fill="FFFFFF"/>
          <w:lang w:val="en-US" w:eastAsia="zh-CN" w:bidi="ar-SA"/>
        </w:rPr>
        <w:t>截止2022年12月31日，</w:t>
      </w:r>
      <w:r>
        <w:rPr>
          <w:rFonts w:hint="eastAsia" w:ascii="宋体" w:hAnsi="宋体" w:eastAsia="宋体" w:cs="宋体"/>
          <w:color w:val="auto"/>
          <w:sz w:val="24"/>
          <w:szCs w:val="24"/>
          <w:lang w:eastAsia="zh-CN"/>
        </w:rPr>
        <w:t>北塔区</w:t>
      </w:r>
      <w:r>
        <w:rPr>
          <w:rFonts w:hint="eastAsia" w:ascii="宋体" w:hAnsi="宋体" w:eastAsia="宋体" w:cs="宋体"/>
          <w:b w:val="0"/>
          <w:bCs w:val="0"/>
          <w:i w:val="0"/>
          <w:iCs w:val="0"/>
          <w:caps w:val="0"/>
          <w:color w:val="auto"/>
          <w:spacing w:val="0"/>
          <w:sz w:val="24"/>
          <w:szCs w:val="24"/>
          <w:highlight w:val="none"/>
          <w:shd w:val="clear" w:fill="FFFFFF"/>
          <w:lang w:val="en-US" w:eastAsia="zh-CN"/>
        </w:rPr>
        <w:t>融媒体中心</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拥有各类资产总额49.92万元，其中流动资产4.04万元，固定资产净值45.88万元。单位为加强资产管理，内部制定了资产管理制度，</w:t>
      </w:r>
      <w:r>
        <w:rPr>
          <w:rFonts w:hint="eastAsia" w:ascii="宋体" w:hAnsi="宋体" w:eastAsia="宋体" w:cs="宋体"/>
          <w:i w:val="0"/>
          <w:iCs w:val="0"/>
          <w:caps w:val="0"/>
          <w:color w:val="auto"/>
          <w:spacing w:val="0"/>
          <w:kern w:val="2"/>
          <w:sz w:val="24"/>
          <w:szCs w:val="24"/>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预算执行</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预算管理</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为规范机关财务管理，建立健全财务管理制度，我</w:t>
      </w:r>
      <w:r>
        <w:rPr>
          <w:rFonts w:hint="eastAsia" w:ascii="宋体" w:hAnsi="宋体" w:eastAsia="宋体" w:cs="宋体"/>
          <w:b w:val="0"/>
          <w:bCs w:val="0"/>
          <w:sz w:val="24"/>
          <w:szCs w:val="24"/>
          <w:lang w:val="en-US" w:eastAsia="zh-CN"/>
        </w:rPr>
        <w:t>办</w:t>
      </w:r>
      <w:r>
        <w:rPr>
          <w:rFonts w:hint="eastAsia" w:ascii="宋体" w:hAnsi="宋体" w:eastAsia="宋体" w:cs="宋体"/>
          <w:b w:val="0"/>
          <w:bCs w:val="0"/>
          <w:sz w:val="24"/>
          <w:szCs w:val="24"/>
        </w:rPr>
        <w:t>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提升支出绩效</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202</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年，我</w:t>
      </w:r>
      <w:r>
        <w:rPr>
          <w:rFonts w:hint="eastAsia" w:ascii="宋体" w:hAnsi="宋体" w:eastAsia="宋体" w:cs="宋体"/>
          <w:b w:val="0"/>
          <w:bCs w:val="0"/>
          <w:sz w:val="24"/>
          <w:szCs w:val="24"/>
          <w:lang w:val="en-US" w:eastAsia="zh-CN"/>
        </w:rPr>
        <w:t>办</w:t>
      </w:r>
      <w:r>
        <w:rPr>
          <w:rFonts w:hint="eastAsia" w:ascii="宋体" w:hAnsi="宋体" w:eastAsia="宋体" w:cs="宋体"/>
          <w:b w:val="0"/>
          <w:bCs w:val="0"/>
          <w:sz w:val="24"/>
          <w:szCs w:val="24"/>
        </w:rPr>
        <w:t>全面落实区委、区政府的各项工作部署，牢固树立发展意识，大力弘扬实干精神，扎实推进各项工作，各项工作任务全面完成，财务管理规范，单位行政运行稳定有序。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i w:val="0"/>
          <w:iCs w:val="0"/>
          <w:caps w:val="0"/>
          <w:color w:val="auto"/>
          <w:spacing w:val="0"/>
          <w:kern w:val="2"/>
          <w:sz w:val="24"/>
          <w:szCs w:val="24"/>
          <w:shd w:val="clear" w:fill="FFFFFF"/>
          <w:lang w:val="en-US" w:eastAsia="zh-CN" w:bidi="ar-SA"/>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评价结论</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我</w:t>
      </w:r>
      <w:r>
        <w:rPr>
          <w:rFonts w:hint="eastAsia" w:ascii="宋体" w:hAnsi="宋体" w:eastAsia="宋体" w:cs="宋体"/>
          <w:b w:val="0"/>
          <w:bCs w:val="0"/>
          <w:sz w:val="24"/>
          <w:szCs w:val="24"/>
          <w:lang w:val="en-US" w:eastAsia="zh-CN"/>
        </w:rPr>
        <w:t>办</w:t>
      </w:r>
      <w:r>
        <w:rPr>
          <w:rFonts w:hint="eastAsia" w:ascii="宋体" w:hAnsi="宋体" w:eastAsia="宋体" w:cs="宋体"/>
          <w:b w:val="0"/>
          <w:bCs w:val="0"/>
          <w:sz w:val="24"/>
          <w:szCs w:val="24"/>
        </w:rPr>
        <w:t>认真组织开展整体支出绩效自评，自评等级“良好”。</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存在的问题及原因分析</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预算编制不够明确和细化，预算编制的合理性需要提高，预算执行力还要进一步加强。资金使用效益有待进一步提高，绩效目标设立不够明确、细化和量化。</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人员素质有待提高。由于人员变动，单位对相关绩效管理业务的熟练，加上缺乏系统的培训，业务操作水平有限。</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leftChars="0" w:right="0" w:firstLine="420" w:firstLineChars="0"/>
        <w:jc w:val="both"/>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改进措施及有关建议</w:t>
      </w:r>
    </w:p>
    <w:p>
      <w:pPr>
        <w:widowControl/>
        <w:spacing w:line="600" w:lineRule="exact"/>
        <w:ind w:firstLine="645"/>
        <w:jc w:val="left"/>
        <w:rPr>
          <w:rFonts w:hint="eastAsia" w:ascii="宋体" w:hAnsi="宋体" w:eastAsia="宋体" w:cs="宋体"/>
          <w:kern w:val="0"/>
          <w:sz w:val="24"/>
          <w:szCs w:val="24"/>
          <w:lang w:val="en-US" w:eastAsia="zh-CN" w:bidi="ar"/>
        </w:rPr>
      </w:pPr>
      <w:r>
        <w:rPr>
          <w:rFonts w:hint="eastAsia" w:ascii="宋体" w:hAnsi="宋体" w:eastAsia="宋体" w:cs="宋体"/>
          <w:sz w:val="24"/>
          <w:szCs w:val="24"/>
        </w:rPr>
        <w:t>（一）</w:t>
      </w:r>
      <w:r>
        <w:rPr>
          <w:rFonts w:hint="eastAsia" w:ascii="宋体" w:hAnsi="宋体" w:eastAsia="宋体" w:cs="宋体"/>
          <w:kern w:val="0"/>
          <w:sz w:val="24"/>
          <w:szCs w:val="24"/>
          <w:lang w:val="en-US" w:eastAsia="zh-CN" w:bidi="ar"/>
        </w:rPr>
        <w:t>细化预算编制工作，认真做好预算的编制。进一步加强内设机构的预算管理意识，严格按照预算编制的相关制度和要求进行预算编制。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（二）加强政策学习，提高思想认识。组织相关人员认真学习《会计法》、《预算法》等相关法规、制度，提高业务人员的业务水平及思想认识，为绩效评价工作夯实基础。</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90</w:t>
            </w:r>
          </w:p>
        </w:tc>
      </w:tr>
    </w:tbl>
    <w:p>
      <w:pPr>
        <w:spacing w:line="600" w:lineRule="exact"/>
        <w:rPr>
          <w:rFonts w:ascii="宋体" w:hAnsi="宋体" w:cs="宋体"/>
          <w:kern w:val="0"/>
          <w:sz w:val="32"/>
          <w:szCs w:val="32"/>
        </w:rPr>
      </w:pPr>
    </w:p>
    <w:p/>
    <w:p>
      <w:pPr>
        <w:pStyle w:val="3"/>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E7161"/>
    <w:multiLevelType w:val="singleLevel"/>
    <w:tmpl w:val="A71E7161"/>
    <w:lvl w:ilvl="0" w:tentative="0">
      <w:start w:val="2"/>
      <w:numFmt w:val="chineseCounting"/>
      <w:suff w:val="nothing"/>
      <w:lvlText w:val="（%1）"/>
      <w:lvlJc w:val="left"/>
      <w:rPr>
        <w:rFonts w:hint="eastAsia"/>
      </w:rPr>
    </w:lvl>
  </w:abstractNum>
  <w:abstractNum w:abstractNumId="1">
    <w:nsid w:val="AA82F546"/>
    <w:multiLevelType w:val="singleLevel"/>
    <w:tmpl w:val="AA82F546"/>
    <w:lvl w:ilvl="0" w:tentative="0">
      <w:start w:val="1"/>
      <w:numFmt w:val="decimal"/>
      <w:suff w:val="nothing"/>
      <w:lvlText w:val="%1、"/>
      <w:lvlJc w:val="left"/>
    </w:lvl>
  </w:abstractNum>
  <w:abstractNum w:abstractNumId="2">
    <w:nsid w:val="47A77A8D"/>
    <w:multiLevelType w:val="singleLevel"/>
    <w:tmpl w:val="47A77A8D"/>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6D6F3B"/>
    <w:rsid w:val="00D51644"/>
    <w:rsid w:val="025D08EA"/>
    <w:rsid w:val="02A74CAA"/>
    <w:rsid w:val="02AE7D30"/>
    <w:rsid w:val="038872BA"/>
    <w:rsid w:val="0401638F"/>
    <w:rsid w:val="05213482"/>
    <w:rsid w:val="06FD0684"/>
    <w:rsid w:val="09E17252"/>
    <w:rsid w:val="0C9F6413"/>
    <w:rsid w:val="0D5E3707"/>
    <w:rsid w:val="10B70E37"/>
    <w:rsid w:val="11E84674"/>
    <w:rsid w:val="11FD2BEE"/>
    <w:rsid w:val="126C42B4"/>
    <w:rsid w:val="17042185"/>
    <w:rsid w:val="17546308"/>
    <w:rsid w:val="17B648CC"/>
    <w:rsid w:val="17DD6E2C"/>
    <w:rsid w:val="18FB06F6"/>
    <w:rsid w:val="191A5DFC"/>
    <w:rsid w:val="1AED7481"/>
    <w:rsid w:val="1D9A1B96"/>
    <w:rsid w:val="1F010C8F"/>
    <w:rsid w:val="20F63895"/>
    <w:rsid w:val="21A92AB0"/>
    <w:rsid w:val="22030E7C"/>
    <w:rsid w:val="22502017"/>
    <w:rsid w:val="2268661C"/>
    <w:rsid w:val="23BE3486"/>
    <w:rsid w:val="25F11D34"/>
    <w:rsid w:val="26166273"/>
    <w:rsid w:val="276A25B5"/>
    <w:rsid w:val="282D2052"/>
    <w:rsid w:val="283A2AB0"/>
    <w:rsid w:val="28565BEC"/>
    <w:rsid w:val="2ADF1D1C"/>
    <w:rsid w:val="2B032004"/>
    <w:rsid w:val="2C3A1B18"/>
    <w:rsid w:val="2C7529D1"/>
    <w:rsid w:val="2D6C05C8"/>
    <w:rsid w:val="2DB256DE"/>
    <w:rsid w:val="2F064022"/>
    <w:rsid w:val="3619015E"/>
    <w:rsid w:val="36334246"/>
    <w:rsid w:val="36E22B02"/>
    <w:rsid w:val="375C4F25"/>
    <w:rsid w:val="37A26170"/>
    <w:rsid w:val="37AC5E54"/>
    <w:rsid w:val="38AF35DE"/>
    <w:rsid w:val="38F247D2"/>
    <w:rsid w:val="3A365ACD"/>
    <w:rsid w:val="3A4B20C9"/>
    <w:rsid w:val="3B9303B2"/>
    <w:rsid w:val="3C5D6B3D"/>
    <w:rsid w:val="3C8416D7"/>
    <w:rsid w:val="3D1D5E40"/>
    <w:rsid w:val="3FAB09ED"/>
    <w:rsid w:val="424722F5"/>
    <w:rsid w:val="44AF5D78"/>
    <w:rsid w:val="45833892"/>
    <w:rsid w:val="45CB4E15"/>
    <w:rsid w:val="462F1B6A"/>
    <w:rsid w:val="47D12ED9"/>
    <w:rsid w:val="492E7EB7"/>
    <w:rsid w:val="49F7299F"/>
    <w:rsid w:val="4A4754D4"/>
    <w:rsid w:val="4ACA7AAB"/>
    <w:rsid w:val="4B991F60"/>
    <w:rsid w:val="4BDD74EA"/>
    <w:rsid w:val="4C455C43"/>
    <w:rsid w:val="4C76548C"/>
    <w:rsid w:val="4D113C42"/>
    <w:rsid w:val="4E58558A"/>
    <w:rsid w:val="4F3501F1"/>
    <w:rsid w:val="4FB97D79"/>
    <w:rsid w:val="514A0D2E"/>
    <w:rsid w:val="52C04276"/>
    <w:rsid w:val="53202F66"/>
    <w:rsid w:val="54517DF8"/>
    <w:rsid w:val="55C776C9"/>
    <w:rsid w:val="575435C3"/>
    <w:rsid w:val="58CA4CA4"/>
    <w:rsid w:val="59A70B1E"/>
    <w:rsid w:val="59E60318"/>
    <w:rsid w:val="59E6787C"/>
    <w:rsid w:val="5C8E7193"/>
    <w:rsid w:val="5CBC5F90"/>
    <w:rsid w:val="5E6D1153"/>
    <w:rsid w:val="5F83500A"/>
    <w:rsid w:val="60745B56"/>
    <w:rsid w:val="611076B5"/>
    <w:rsid w:val="61371BA7"/>
    <w:rsid w:val="641F097E"/>
    <w:rsid w:val="65236940"/>
    <w:rsid w:val="65C43C25"/>
    <w:rsid w:val="664A41B0"/>
    <w:rsid w:val="66D16D4F"/>
    <w:rsid w:val="66FE6113"/>
    <w:rsid w:val="6768407F"/>
    <w:rsid w:val="69416152"/>
    <w:rsid w:val="6B874FA2"/>
    <w:rsid w:val="6C3C4515"/>
    <w:rsid w:val="6C6B54E9"/>
    <w:rsid w:val="6CB322FE"/>
    <w:rsid w:val="6FD52562"/>
    <w:rsid w:val="70246EC1"/>
    <w:rsid w:val="70514092"/>
    <w:rsid w:val="70852420"/>
    <w:rsid w:val="71881FAB"/>
    <w:rsid w:val="722B120E"/>
    <w:rsid w:val="72BF541A"/>
    <w:rsid w:val="72DA6836"/>
    <w:rsid w:val="73125FD0"/>
    <w:rsid w:val="734F209E"/>
    <w:rsid w:val="76DC35F5"/>
    <w:rsid w:val="7832658D"/>
    <w:rsid w:val="79074D5F"/>
    <w:rsid w:val="7A21330E"/>
    <w:rsid w:val="7AF745AA"/>
    <w:rsid w:val="7B7D06A6"/>
    <w:rsid w:val="7BA62A3A"/>
    <w:rsid w:val="7CF23984"/>
    <w:rsid w:val="7D3D1E9B"/>
    <w:rsid w:val="7D5055C7"/>
    <w:rsid w:val="7DA26C81"/>
    <w:rsid w:val="7EEE7268"/>
    <w:rsid w:val="7F066102"/>
    <w:rsid w:val="7FF0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semiHidden/>
    <w:qFormat/>
    <w:uiPriority w:val="99"/>
    <w:pPr>
      <w:ind w:firstLine="420" w:firstLineChars="200"/>
    </w:p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E5E4E8AA4B8D49FC88B6B1302C888163_13</vt:lpwstr>
  </property>
</Properties>
</file>