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361" w:firstLineChars="100"/>
        <w:jc w:val="left"/>
        <w:rPr>
          <w:rFonts w:hint="default" w:ascii="宋体" w:hAnsi="宋体" w:eastAsia="宋体" w:cs="宋体"/>
          <w:b/>
          <w:bCs/>
          <w:i w:val="0"/>
          <w:iCs w:val="0"/>
          <w:caps w:val="0"/>
          <w:color w:val="auto"/>
          <w:spacing w:val="0"/>
          <w:kern w:val="44"/>
          <w:sz w:val="36"/>
          <w:szCs w:val="36"/>
          <w:shd w:val="clear" w:fill="FFFFFF"/>
          <w:lang w:val="en-US" w:eastAsia="zh-CN" w:bidi="ar"/>
        </w:rPr>
      </w:pPr>
      <w:r>
        <w:rPr>
          <w:rFonts w:hint="eastAsia" w:ascii="宋体" w:hAnsi="宋体" w:eastAsia="宋体" w:cs="宋体"/>
          <w:b/>
          <w:bCs/>
          <w:i w:val="0"/>
          <w:iCs w:val="0"/>
          <w:caps w:val="0"/>
          <w:color w:val="auto"/>
          <w:spacing w:val="0"/>
          <w:kern w:val="44"/>
          <w:sz w:val="36"/>
          <w:szCs w:val="36"/>
          <w:shd w:val="clear" w:fill="FFFFFF"/>
          <w:lang w:val="en-US" w:eastAsia="zh-CN" w:bidi="ar"/>
        </w:rPr>
        <w:t>北塔区融媒体中心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i w:val="0"/>
          <w:iCs w:val="0"/>
          <w:caps w:val="0"/>
          <w:color w:val="auto"/>
          <w:spacing w:val="0"/>
          <w:sz w:val="36"/>
          <w:szCs w:val="36"/>
          <w:shd w:val="clear" w:fill="FFFFFF"/>
        </w:rPr>
        <w:t>202</w:t>
      </w:r>
      <w:r>
        <w:rPr>
          <w:rFonts w:hint="eastAsia"/>
          <w:i w:val="0"/>
          <w:iCs w:val="0"/>
          <w:caps w:val="0"/>
          <w:color w:val="auto"/>
          <w:spacing w:val="0"/>
          <w:sz w:val="36"/>
          <w:szCs w:val="36"/>
          <w:shd w:val="clear" w:fill="FFFFFF"/>
          <w:lang w:val="en-US" w:eastAsia="zh-CN"/>
        </w:rPr>
        <w:t>2</w:t>
      </w:r>
      <w:r>
        <w:rPr>
          <w:i w:val="0"/>
          <w:iCs w:val="0"/>
          <w:caps w:val="0"/>
          <w:color w:val="auto"/>
          <w:spacing w:val="0"/>
          <w:sz w:val="36"/>
          <w:szCs w:val="36"/>
          <w:shd w:val="clear" w:fill="FFFFFF"/>
        </w:rPr>
        <w:t>年度部门整体支出绩效评价报</w:t>
      </w:r>
      <w:r>
        <w:rPr>
          <w:rFonts w:hint="eastAsia"/>
          <w:i w:val="0"/>
          <w:iCs w:val="0"/>
          <w:caps w:val="0"/>
          <w:color w:val="auto"/>
          <w:spacing w:val="0"/>
          <w:sz w:val="36"/>
          <w:szCs w:val="36"/>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（一）机构设置及人员情况</w:t>
      </w:r>
    </w:p>
    <w:p>
      <w:pPr>
        <w:keepNext w:val="0"/>
        <w:keepLines w:val="0"/>
        <w:widowControl w:val="0"/>
        <w:suppressLineNumbers w:val="0"/>
        <w:spacing w:before="0" w:beforeAutospacing="1" w:after="0" w:afterAutospacing="1" w:line="480" w:lineRule="exact"/>
        <w:ind w:left="0" w:right="0" w:firstLine="482" w:firstLineChars="200"/>
        <w:jc w:val="left"/>
        <w:rPr>
          <w:sz w:val="24"/>
          <w:szCs w:val="24"/>
        </w:rPr>
      </w:pPr>
      <w:r>
        <w:rPr>
          <w:rFonts w:hint="eastAsia" w:ascii="宋体" w:hAnsi="宋体" w:eastAsia="宋体" w:cs="宋体"/>
          <w:b/>
          <w:bCs/>
          <w:i w:val="0"/>
          <w:iCs w:val="0"/>
          <w:caps w:val="0"/>
          <w:color w:val="000000"/>
          <w:spacing w:val="0"/>
          <w:sz w:val="24"/>
          <w:szCs w:val="24"/>
        </w:rPr>
        <w:t>机构</w:t>
      </w:r>
      <w:r>
        <w:rPr>
          <w:rFonts w:hint="eastAsia" w:ascii="宋体" w:hAnsi="宋体" w:eastAsia="宋体" w:cs="宋体"/>
          <w:b/>
          <w:bCs/>
          <w:i w:val="0"/>
          <w:iCs w:val="0"/>
          <w:caps w:val="0"/>
          <w:color w:val="000000"/>
          <w:spacing w:val="0"/>
          <w:sz w:val="24"/>
          <w:szCs w:val="24"/>
          <w:lang w:eastAsia="zh-CN"/>
        </w:rPr>
        <w:t>设置情况</w:t>
      </w:r>
      <w:r>
        <w:rPr>
          <w:rFonts w:hint="eastAsia" w:ascii="宋体" w:hAnsi="宋体" w:eastAsia="宋体" w:cs="宋体"/>
          <w:b/>
          <w:bCs/>
          <w:i w:val="0"/>
          <w:iCs w:val="0"/>
          <w:caps w:val="0"/>
          <w:color w:val="000000"/>
          <w:spacing w:val="0"/>
          <w:sz w:val="28"/>
          <w:szCs w:val="28"/>
        </w:rPr>
        <w:t>：</w:t>
      </w:r>
      <w:r>
        <w:rPr>
          <w:rFonts w:hint="eastAsia" w:ascii="宋体" w:hAnsi="宋体" w:eastAsia="宋体" w:cs="宋体"/>
          <w:color w:val="auto"/>
          <w:kern w:val="2"/>
          <w:sz w:val="24"/>
          <w:szCs w:val="24"/>
          <w:lang w:val="en-US" w:eastAsia="zh-CN" w:bidi="ar"/>
        </w:rPr>
        <w:t>内设综合运行部、新闻采访部、《北塔》报刊部。</w:t>
      </w:r>
    </w:p>
    <w:p>
      <w:pPr>
        <w:pStyle w:val="5"/>
        <w:keepNext w:val="0"/>
        <w:keepLines w:val="0"/>
        <w:widowControl/>
        <w:suppressLineNumbers w:val="0"/>
        <w:spacing w:before="0" w:beforeAutospacing="0" w:after="2" w:afterAutospacing="0"/>
        <w:ind w:left="0" w:right="0" w:firstLine="641"/>
        <w:rPr>
          <w:sz w:val="24"/>
          <w:szCs w:val="24"/>
        </w:rPr>
      </w:pPr>
      <w:r>
        <w:rPr>
          <w:rFonts w:hint="eastAsia" w:ascii="宋体" w:hAnsi="宋体" w:eastAsia="宋体" w:cs="宋体"/>
          <w:b/>
          <w:bCs/>
          <w:i w:val="0"/>
          <w:iCs w:val="0"/>
          <w:caps w:val="0"/>
          <w:color w:val="000000"/>
          <w:spacing w:val="0"/>
          <w:sz w:val="24"/>
          <w:szCs w:val="24"/>
          <w:lang w:eastAsia="zh-CN"/>
        </w:rPr>
        <w:t>人员情况</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color w:val="auto"/>
          <w:kern w:val="2"/>
          <w:sz w:val="24"/>
          <w:szCs w:val="24"/>
          <w:lang w:val="en-US" w:eastAsia="zh-CN" w:bidi="ar"/>
        </w:rPr>
        <w:t>本部门</w:t>
      </w:r>
      <w:r>
        <w:rPr>
          <w:rFonts w:hint="eastAsia" w:ascii="宋体" w:hAnsi="宋体" w:eastAsia="宋体" w:cs="宋体"/>
          <w:color w:val="000000"/>
          <w:kern w:val="2"/>
          <w:sz w:val="24"/>
          <w:szCs w:val="24"/>
        </w:rPr>
        <w:t>共有编制人数</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人，实有人数</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人</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（二）主要工作职责</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1、坚决贯彻党管媒体原则,严格执行党中央和省、市、区委关于新闻宣传、媒体融合发展等工作的方针政策和决策部署,落实中央和省委、市委、区委的工作要求。坚持和加强党对新闻舆论工作的集中统一领导,坚持移动优先,建成主流舆论阵地、综合服务平台和社区信息枢纽。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2、负责利用移动传播技术,形成渠道丰富、覆盖广泛传播有效、可管可控的移动传播矩阵;树立“媒体+”的理念从单纯的新闻宣传向公共服务领域拓展,增强互动性,从单向传播向多元互动传播延伸,将媒体与政务、服务等业务相结合,构建具有北塔特色的“主流舆论阵地+综合服务平台+社区信息枢纽”平台,提供多样化综合服务,满足用户多样化的需求,开展“媒体+政务”“媒体+服务”等业务,面向用户提供政务服务、生活服务、社交传播、教育培训等服务平台。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3、负责归并一报(北塔报)、二网(北塔政务网、北塔新闻网)、多微(北塔发布和各乡街道、区直机关部门短讯快讯、微信微博,以及H5、快手、抖音等新媒体),提供对外宣传平台,充分发挥媒体融合优势。集中力量打造“新湖南北塔区频道”,建立“精品北塔”客户端。着力提高客户端下载量、日活率，提高在全区的覆盖面。综合运用报纸、广播、电视、新闻网站、微博微信、手机报、客户端频道等多个终端,形成分众传播分类覆盖的格局。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4、负责充分发挥信息服务平台的作用,积极参与“精品北塔”客户端建设,整合全区党政部门信息资源,对接全区党政部门技术平台,为各部门对外宣传、便民服务提供技术支撑。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5、协助开展各类群众性文化、体育、科普、公益活动,开展各类商务、会展节庆等活动,打通线上线下、提升造血机能,丰富群众文化生活、强化为民服务功能。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6、负责加强媒体在机构、内容、渠道、平台、人员、经营、管理等方面深度融合,提高传播力、引导力、影响力。建成主流舆论阵地、讲好“北塔话”。宣传党中央决策部署,宣传党的创新理论和社会主义核心价值观,宣传各级党委政府工作安排,传播政经资讯,对中央和省、市级媒体形成有益补充;建成综合服务平台、连通“北塔城”。向基层干部群众提供政务需求、生活服务、社交传播、教育培训等综合服务,增强党委政府和人民群众之间的互动沟通;建成社区信息枢纽、引导“北塔人”。面向人口聚集的部门机关、乡街道、村社区、企事业单位,提供精准化的生活资讯,打通线上线下,建设培育社会动员功能。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7、完成区委交办的其他事项。 </w:t>
      </w:r>
    </w:p>
    <w:p>
      <w:pPr>
        <w:numPr>
          <w:ilvl w:val="0"/>
          <w:numId w:val="0"/>
        </w:numPr>
        <w:spacing w:line="480" w:lineRule="auto"/>
        <w:jc w:val="left"/>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8"/>
          <w:szCs w:val="28"/>
          <w:shd w:val="clear" w:fill="FFFFFF"/>
        </w:rPr>
        <w:t>二、</w:t>
      </w:r>
      <w:r>
        <w:rPr>
          <w:rFonts w:hint="eastAsia" w:ascii="宋体" w:hAnsi="宋体" w:eastAsia="宋体" w:cs="宋体"/>
          <w:b/>
          <w:bCs/>
          <w:i w:val="0"/>
          <w:iCs w:val="0"/>
          <w:caps w:val="0"/>
          <w:color w:val="auto"/>
          <w:spacing w:val="0"/>
          <w:sz w:val="24"/>
          <w:szCs w:val="24"/>
          <w:shd w:val="clear" w:fill="FFFFFF"/>
        </w:rPr>
        <w:t>部门整体支出管理及使用情况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（一）预算执行情况</w:t>
      </w:r>
    </w:p>
    <w:p>
      <w:pPr>
        <w:spacing w:line="480" w:lineRule="auto"/>
        <w:ind w:firstLine="480" w:firstLineChars="20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kern w:val="2"/>
          <w:sz w:val="24"/>
          <w:szCs w:val="24"/>
          <w:lang w:val="en-US" w:eastAsia="zh-CN" w:bidi="ar"/>
        </w:rPr>
        <w:t>2022年本部门年初预算安排162.85万元，本年实际支出</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000000"/>
          <w:spacing w:val="0"/>
          <w:sz w:val="24"/>
          <w:szCs w:val="24"/>
        </w:rPr>
        <w:t>万元</w:t>
      </w:r>
      <w:r>
        <w:rPr>
          <w:rFonts w:hint="eastAsia" w:ascii="宋体" w:hAnsi="宋体" w:eastAsia="宋体" w:cs="宋体"/>
          <w:i w:val="0"/>
          <w:iCs w:val="0"/>
          <w:caps w:val="0"/>
          <w:color w:val="000000"/>
          <w:spacing w:val="0"/>
          <w:sz w:val="24"/>
          <w:szCs w:val="24"/>
          <w:lang w:eastAsia="zh-CN"/>
        </w:rPr>
        <w:t>，完成全年预算的</w:t>
      </w:r>
      <w:r>
        <w:rPr>
          <w:rFonts w:hint="eastAsia" w:ascii="宋体" w:hAnsi="宋体" w:eastAsia="宋体" w:cs="宋体"/>
          <w:i w:val="0"/>
          <w:iCs w:val="0"/>
          <w:caps w:val="0"/>
          <w:color w:val="000000"/>
          <w:spacing w:val="0"/>
          <w:sz w:val="24"/>
          <w:szCs w:val="24"/>
          <w:lang w:val="en-US" w:eastAsia="zh-CN"/>
        </w:rPr>
        <w:t>79.64%</w:t>
      </w:r>
      <w:r>
        <w:rPr>
          <w:rFonts w:hint="eastAsia" w:ascii="宋体" w:hAnsi="宋体" w:eastAsia="宋体" w:cs="宋体"/>
          <w:i w:val="0"/>
          <w:iCs w:val="0"/>
          <w:caps w:val="0"/>
          <w:color w:val="000000"/>
          <w:spacing w:val="0"/>
          <w:sz w:val="24"/>
          <w:szCs w:val="24"/>
        </w:rPr>
        <w:t>。与上一年度相比，</w:t>
      </w:r>
      <w:r>
        <w:rPr>
          <w:rFonts w:hint="eastAsia" w:ascii="宋体" w:hAnsi="宋体" w:eastAsia="宋体" w:cs="宋体"/>
          <w:i w:val="0"/>
          <w:iCs w:val="0"/>
          <w:caps w:val="0"/>
          <w:color w:val="000000"/>
          <w:spacing w:val="0"/>
          <w:sz w:val="24"/>
          <w:szCs w:val="24"/>
          <w:lang w:eastAsia="zh-CN"/>
        </w:rPr>
        <w:t>实际支出</w:t>
      </w:r>
      <w:r>
        <w:rPr>
          <w:rFonts w:hint="eastAsia" w:ascii="宋体" w:hAnsi="宋体" w:eastAsia="宋体" w:cs="宋体"/>
          <w:i w:val="0"/>
          <w:iCs w:val="0"/>
          <w:caps w:val="0"/>
          <w:color w:val="000000"/>
          <w:spacing w:val="0"/>
          <w:sz w:val="24"/>
          <w:szCs w:val="24"/>
          <w:lang w:val="en-US" w:eastAsia="zh-CN"/>
        </w:rPr>
        <w:t>减少45.06</w:t>
      </w:r>
      <w:r>
        <w:rPr>
          <w:rFonts w:hint="eastAsia" w:ascii="宋体" w:hAnsi="宋体" w:eastAsia="宋体" w:cs="宋体"/>
          <w:i w:val="0"/>
          <w:iCs w:val="0"/>
          <w:caps w:val="0"/>
          <w:color w:val="000000"/>
          <w:spacing w:val="0"/>
          <w:sz w:val="24"/>
          <w:szCs w:val="24"/>
        </w:rPr>
        <w:t>万元，</w:t>
      </w:r>
      <w:r>
        <w:rPr>
          <w:rFonts w:hint="eastAsia" w:ascii="宋体" w:hAnsi="宋体" w:eastAsia="宋体" w:cs="宋体"/>
          <w:i w:val="0"/>
          <w:iCs w:val="0"/>
          <w:caps w:val="0"/>
          <w:color w:val="000000"/>
          <w:spacing w:val="0"/>
          <w:sz w:val="24"/>
          <w:szCs w:val="24"/>
          <w:lang w:val="en-US" w:eastAsia="zh-CN"/>
        </w:rPr>
        <w:t>下降25.78</w:t>
      </w:r>
      <w:r>
        <w:rPr>
          <w:rFonts w:hint="eastAsia" w:ascii="宋体" w:hAnsi="宋体" w:eastAsia="宋体" w:cs="宋体"/>
          <w:i w:val="0"/>
          <w:iCs w:val="0"/>
          <w:caps w:val="0"/>
          <w:color w:val="000000"/>
          <w:spacing w:val="0"/>
          <w:sz w:val="24"/>
          <w:szCs w:val="24"/>
        </w:rPr>
        <w:t>%。主要原因</w:t>
      </w:r>
      <w:r>
        <w:rPr>
          <w:rFonts w:hint="eastAsia" w:ascii="宋体" w:hAnsi="宋体" w:eastAsia="宋体" w:cs="宋体"/>
          <w:i w:val="0"/>
          <w:iCs w:val="0"/>
          <w:caps w:val="0"/>
          <w:color w:val="000000"/>
          <w:spacing w:val="0"/>
          <w:sz w:val="24"/>
          <w:szCs w:val="24"/>
          <w:lang w:val="en-US" w:eastAsia="zh-CN"/>
        </w:rPr>
        <w:t>是财政拨款收入减少的同时，大力压缩了非必要的开支。</w:t>
      </w:r>
    </w:p>
    <w:p>
      <w:pPr>
        <w:spacing w:line="480" w:lineRule="auto"/>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2022年度收入合计</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000000"/>
          <w:spacing w:val="0"/>
          <w:sz w:val="24"/>
          <w:szCs w:val="24"/>
        </w:rPr>
        <w:t>万元，其中：财政拨款收入</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i w:val="0"/>
          <w:iCs w:val="0"/>
          <w:caps w:val="0"/>
          <w:color w:val="000000"/>
          <w:spacing w:val="0"/>
          <w:sz w:val="24"/>
          <w:szCs w:val="24"/>
          <w:lang w:val="en-US" w:eastAsia="zh-CN"/>
        </w:rPr>
        <w:t>100</w:t>
      </w:r>
      <w:r>
        <w:rPr>
          <w:rFonts w:hint="eastAsia" w:ascii="宋体" w:hAnsi="宋体" w:eastAsia="宋体" w:cs="宋体"/>
          <w:i w:val="0"/>
          <w:iCs w:val="0"/>
          <w:caps w:val="0"/>
          <w:color w:val="000000"/>
          <w:spacing w:val="0"/>
          <w:sz w:val="24"/>
          <w:szCs w:val="24"/>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w:t>
      </w:r>
    </w:p>
    <w:p>
      <w:pPr>
        <w:spacing w:line="480" w:lineRule="auto"/>
        <w:ind w:firstLine="480" w:firstLineChars="20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2022年度支出合计</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000000"/>
          <w:spacing w:val="0"/>
          <w:sz w:val="24"/>
          <w:szCs w:val="24"/>
        </w:rPr>
        <w:t>万元，其中：基本支出</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000000"/>
          <w:spacing w:val="0"/>
          <w:sz w:val="24"/>
          <w:szCs w:val="24"/>
        </w:rPr>
        <w:t>万元，占100%；项目支出0万元，占0%；上缴上级支出0万元，占0%；经营支出0万元，占0%；对附属单位补助支出0万元，占0%。</w:t>
      </w:r>
    </w:p>
    <w:p>
      <w:pPr>
        <w:spacing w:line="480" w:lineRule="auto"/>
        <w:ind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（二）基本支出情况</w:t>
      </w:r>
    </w:p>
    <w:p>
      <w:pPr>
        <w:spacing w:line="480" w:lineRule="auto"/>
        <w:ind w:firstLine="480" w:firstLineChars="200"/>
        <w:jc w:val="left"/>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2022年度北塔区融媒体中心基本支出年初预算安排</w:t>
      </w:r>
      <w:r>
        <w:rPr>
          <w:rFonts w:hint="eastAsia" w:ascii="宋体" w:hAnsi="宋体" w:eastAsia="宋体" w:cs="宋体"/>
          <w:i w:val="0"/>
          <w:iCs w:val="0"/>
          <w:caps w:val="0"/>
          <w:color w:val="000000"/>
          <w:spacing w:val="0"/>
          <w:sz w:val="24"/>
          <w:szCs w:val="24"/>
          <w:lang w:val="en-US" w:eastAsia="zh-CN"/>
        </w:rPr>
        <w:t>162.85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万元，本年实际支出为</w:t>
      </w:r>
      <w:r>
        <w:rPr>
          <w:rFonts w:hint="eastAsia" w:ascii="宋体" w:hAnsi="宋体" w:eastAsia="宋体" w:cs="宋体"/>
          <w:i w:val="0"/>
          <w:iCs w:val="0"/>
          <w:caps w:val="0"/>
          <w:color w:val="000000"/>
          <w:spacing w:val="0"/>
          <w:sz w:val="24"/>
          <w:szCs w:val="24"/>
          <w:lang w:val="en-US" w:eastAsia="zh-CN"/>
        </w:rPr>
        <w:t>129.7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万元，主要为人员经费支出和公用经费支出，其中人员经费支出65.25万元、公用经费支出64.45万元。</w:t>
      </w:r>
    </w:p>
    <w:p>
      <w:pPr>
        <w:numPr>
          <w:ilvl w:val="0"/>
          <w:numId w:val="1"/>
        </w:numPr>
        <w:spacing w:line="480" w:lineRule="auto"/>
        <w:ind w:left="0" w:leftChars="0"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项目支出情况</w:t>
      </w:r>
    </w:p>
    <w:p>
      <w:pPr>
        <w:numPr>
          <w:ilvl w:val="0"/>
          <w:numId w:val="0"/>
        </w:numPr>
        <w:spacing w:line="480" w:lineRule="auto"/>
        <w:ind w:firstLine="480" w:firstLineChars="200"/>
        <w:jc w:val="left"/>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本年项目支出年初预算安排为110万元，本年实际支出为0万元，本部门2022年度无项目支出。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482" w:firstLineChars="200"/>
        <w:jc w:val="both"/>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lang w:val="en-US" w:eastAsia="zh-CN"/>
        </w:rPr>
        <w:t>三</w:t>
      </w:r>
      <w:r>
        <w:rPr>
          <w:rFonts w:hint="eastAsia" w:ascii="宋体" w:hAnsi="宋体" w:eastAsia="宋体" w:cs="宋体"/>
          <w:b/>
          <w:bCs/>
          <w:i w:val="0"/>
          <w:iCs w:val="0"/>
          <w:caps w:val="0"/>
          <w:color w:val="auto"/>
          <w:spacing w:val="0"/>
          <w:sz w:val="24"/>
          <w:szCs w:val="24"/>
          <w:highlight w:val="none"/>
          <w:shd w:val="clear" w:fill="FFFFFF"/>
        </w:rPr>
        <w:t>、部门整体支出绩效情况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default"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⑴2022年财政拨款预算执行数129.7万元，预算安排数162.85万元，预算执行率为79.64%；当年预算有节约33.15万元。⑵公用经费预算116.76万元，实际支出64.45万元，公用经费控制率为55.20%；（3）“三公经费”年初预算安排0万元，实际支出0万元（4）政府采购年初预算96.01万元，实际政府采购金额52.01万元。政府采购执行率54.17%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（2）、</w:t>
      </w:r>
      <w:r>
        <w:rPr>
          <w:rFonts w:hint="eastAsia" w:ascii="宋体" w:hAnsi="宋体" w:eastAsia="宋体" w:cs="宋体"/>
          <w:b/>
          <w:bCs/>
          <w:i w:val="0"/>
          <w:iCs w:val="0"/>
          <w:caps w:val="0"/>
          <w:color w:val="auto"/>
          <w:spacing w:val="0"/>
          <w:sz w:val="24"/>
          <w:szCs w:val="24"/>
          <w:highlight w:val="none"/>
          <w:shd w:val="clear" w:fill="FFFFFF"/>
        </w:rPr>
        <w:t>预决算信息公开情况。</w:t>
      </w:r>
      <w:r>
        <w:rPr>
          <w:rFonts w:hint="eastAsia" w:ascii="宋体" w:hAnsi="宋体" w:eastAsia="宋体" w:cs="宋体"/>
          <w:b w:val="0"/>
          <w:bCs w:val="0"/>
          <w:i w:val="0"/>
          <w:iCs w:val="0"/>
          <w:caps w:val="0"/>
          <w:color w:val="auto"/>
          <w:spacing w:val="0"/>
          <w:sz w:val="24"/>
          <w:szCs w:val="24"/>
          <w:highlight w:val="none"/>
          <w:shd w:val="clear" w:fill="FFFFFF"/>
          <w:lang w:eastAsia="zh-CN"/>
        </w:rPr>
        <w:t>北塔区</w:t>
      </w:r>
      <w:r>
        <w:rPr>
          <w:rFonts w:hint="eastAsia" w:ascii="宋体" w:hAnsi="宋体" w:eastAsia="宋体" w:cs="宋体"/>
          <w:b w:val="0"/>
          <w:bCs w:val="0"/>
          <w:i w:val="0"/>
          <w:iCs w:val="0"/>
          <w:caps w:val="0"/>
          <w:color w:val="auto"/>
          <w:spacing w:val="0"/>
          <w:sz w:val="24"/>
          <w:szCs w:val="24"/>
          <w:highlight w:val="none"/>
          <w:shd w:val="clear" w:fill="FFFFFF"/>
          <w:lang w:val="en-US" w:eastAsia="zh-CN"/>
        </w:rPr>
        <w:t>融媒体中心</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24"/>
          <w:szCs w:val="24"/>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b/>
          <w:bCs/>
          <w:i w:val="0"/>
          <w:iCs w:val="0"/>
          <w:caps w:val="0"/>
          <w:color w:val="auto"/>
          <w:spacing w:val="0"/>
          <w:sz w:val="24"/>
          <w:szCs w:val="24"/>
          <w:shd w:val="clear" w:fill="FFFFFF"/>
          <w:lang w:val="en-US" w:eastAsia="zh-CN"/>
        </w:rPr>
        <w:t>（3）</w:t>
      </w:r>
      <w:r>
        <w:rPr>
          <w:rFonts w:hint="eastAsia" w:ascii="宋体" w:hAnsi="宋体" w:eastAsia="宋体" w:cs="宋体"/>
          <w:b/>
          <w:bCs/>
          <w:i w:val="0"/>
          <w:iCs w:val="0"/>
          <w:caps w:val="0"/>
          <w:color w:val="auto"/>
          <w:spacing w:val="0"/>
          <w:sz w:val="24"/>
          <w:szCs w:val="24"/>
          <w:shd w:val="clear" w:fill="FFFFFF"/>
        </w:rPr>
        <w:t>、资产管理情况。</w:t>
      </w:r>
      <w:r>
        <w:rPr>
          <w:rFonts w:hint="eastAsia" w:ascii="宋体" w:hAnsi="宋体" w:eastAsia="宋体" w:cs="宋体"/>
          <w:i w:val="0"/>
          <w:iCs w:val="0"/>
          <w:caps w:val="0"/>
          <w:color w:val="auto"/>
          <w:spacing w:val="0"/>
          <w:kern w:val="2"/>
          <w:sz w:val="24"/>
          <w:szCs w:val="24"/>
          <w:shd w:val="clear" w:fill="FFFFFF"/>
          <w:lang w:val="en-US" w:eastAsia="zh-CN" w:bidi="ar-SA"/>
        </w:rPr>
        <w:t>截止2022年12月31日，</w:t>
      </w:r>
      <w:r>
        <w:rPr>
          <w:rFonts w:hint="eastAsia" w:ascii="宋体" w:hAnsi="宋体" w:eastAsia="宋体" w:cs="宋体"/>
          <w:color w:val="auto"/>
          <w:sz w:val="24"/>
          <w:szCs w:val="24"/>
          <w:lang w:eastAsia="zh-CN"/>
        </w:rPr>
        <w:t>北塔区</w:t>
      </w:r>
      <w:r>
        <w:rPr>
          <w:rFonts w:hint="eastAsia" w:ascii="宋体" w:hAnsi="宋体" w:eastAsia="宋体" w:cs="宋体"/>
          <w:b w:val="0"/>
          <w:bCs w:val="0"/>
          <w:i w:val="0"/>
          <w:iCs w:val="0"/>
          <w:caps w:val="0"/>
          <w:color w:val="auto"/>
          <w:spacing w:val="0"/>
          <w:sz w:val="24"/>
          <w:szCs w:val="24"/>
          <w:highlight w:val="none"/>
          <w:shd w:val="clear" w:fill="FFFFFF"/>
          <w:lang w:val="en-US" w:eastAsia="zh-CN"/>
        </w:rPr>
        <w:t>融媒体中心</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拥有各类资产总额49.92万元，其中流动资产4.04万元，固定资产净值45.88万元。单位为加强资产管理，内部制定了资产管理制度，</w:t>
      </w:r>
      <w:r>
        <w:rPr>
          <w:rFonts w:hint="eastAsia" w:ascii="宋体" w:hAnsi="宋体" w:eastAsia="宋体" w:cs="宋体"/>
          <w:i w:val="0"/>
          <w:iCs w:val="0"/>
          <w:caps w:val="0"/>
          <w:color w:val="auto"/>
          <w:spacing w:val="0"/>
          <w:kern w:val="2"/>
          <w:sz w:val="24"/>
          <w:szCs w:val="24"/>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预算执行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预算管理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为规范机关财务管理，建立健全财务管理制度，我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提升支出绩效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评价结论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认真组织开展整体支出绩效自评，自评等级“良好”。</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存在的问题及原因分析</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预算编制不够明确和细化，预算编制的合理性需要提高，预算执行力还要进一步加强。资金使用效益有待进一步提高，绩效目标设立不够明确、细化和量化。</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人员素质有待提高。由于人员变动，单位对相关绩效管理业务的熟练，加上缺乏系统的培训，业务操作水平有限。</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改进措施及有关建议</w:t>
      </w:r>
    </w:p>
    <w:p>
      <w:pPr>
        <w:widowControl/>
        <w:spacing w:line="600" w:lineRule="exact"/>
        <w:ind w:firstLine="645"/>
        <w:jc w:val="left"/>
        <w:rPr>
          <w:rFonts w:hint="eastAsia" w:ascii="宋体" w:hAnsi="宋体" w:eastAsia="宋体" w:cs="宋体"/>
          <w:kern w:val="0"/>
          <w:sz w:val="24"/>
          <w:szCs w:val="24"/>
          <w:lang w:val="en-US" w:eastAsia="zh-CN" w:bidi="ar"/>
        </w:rPr>
      </w:pPr>
      <w:r>
        <w:rPr>
          <w:rFonts w:hint="eastAsia" w:ascii="宋体" w:hAnsi="宋体" w:eastAsia="宋体" w:cs="宋体"/>
          <w:sz w:val="24"/>
          <w:szCs w:val="24"/>
        </w:rPr>
        <w:t>（一）</w:t>
      </w:r>
      <w:r>
        <w:rPr>
          <w:rFonts w:hint="eastAsia" w:ascii="宋体" w:hAnsi="宋体" w:eastAsia="宋体" w:cs="宋体"/>
          <w:kern w:val="0"/>
          <w:sz w:val="24"/>
          <w:szCs w:val="24"/>
          <w:lang w:val="en-US" w:eastAsia="zh-CN" w:bidi="ar"/>
        </w:rPr>
        <w:t>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spacing w:line="600" w:lineRule="exact"/>
        <w:rPr>
          <w:rFonts w:ascii="宋体" w:hAnsi="宋体" w:cs="宋体"/>
          <w:kern w:val="0"/>
          <w:sz w:val="32"/>
          <w:szCs w:val="32"/>
        </w:rPr>
      </w:pPr>
    </w:p>
    <w:p/>
    <w:p>
      <w:pPr>
        <w:pStyle w:val="3"/>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AA82F546"/>
    <w:multiLevelType w:val="singleLevel"/>
    <w:tmpl w:val="AA82F546"/>
    <w:lvl w:ilvl="0" w:tentative="0">
      <w:start w:val="1"/>
      <w:numFmt w:val="decimal"/>
      <w:suff w:val="nothing"/>
      <w:lvlText w:val="%1、"/>
      <w:lvlJc w:val="left"/>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25D08EA"/>
    <w:rsid w:val="02A74CAA"/>
    <w:rsid w:val="02AE7D30"/>
    <w:rsid w:val="038872BA"/>
    <w:rsid w:val="0401638F"/>
    <w:rsid w:val="05213482"/>
    <w:rsid w:val="06FD0684"/>
    <w:rsid w:val="09E17252"/>
    <w:rsid w:val="0C9F6413"/>
    <w:rsid w:val="0D5E3707"/>
    <w:rsid w:val="10B70E37"/>
    <w:rsid w:val="11E84674"/>
    <w:rsid w:val="11FD2BEE"/>
    <w:rsid w:val="126C42B4"/>
    <w:rsid w:val="17042185"/>
    <w:rsid w:val="17546308"/>
    <w:rsid w:val="17B648CC"/>
    <w:rsid w:val="17DD6E2C"/>
    <w:rsid w:val="18FB06F6"/>
    <w:rsid w:val="191A5DFC"/>
    <w:rsid w:val="1AED7481"/>
    <w:rsid w:val="1D9A1B96"/>
    <w:rsid w:val="1F010C8F"/>
    <w:rsid w:val="20F63895"/>
    <w:rsid w:val="21A92AB0"/>
    <w:rsid w:val="22030E7C"/>
    <w:rsid w:val="22502017"/>
    <w:rsid w:val="2268661C"/>
    <w:rsid w:val="23BE3486"/>
    <w:rsid w:val="25F11D34"/>
    <w:rsid w:val="26166273"/>
    <w:rsid w:val="276A25B5"/>
    <w:rsid w:val="282D2052"/>
    <w:rsid w:val="283A2AB0"/>
    <w:rsid w:val="28565BEC"/>
    <w:rsid w:val="2ADF1D1C"/>
    <w:rsid w:val="2B032004"/>
    <w:rsid w:val="2C3A1B18"/>
    <w:rsid w:val="2C7529D1"/>
    <w:rsid w:val="2D6C05C8"/>
    <w:rsid w:val="2DB256DE"/>
    <w:rsid w:val="2F064022"/>
    <w:rsid w:val="3619015E"/>
    <w:rsid w:val="36334246"/>
    <w:rsid w:val="36E22B02"/>
    <w:rsid w:val="375C4F25"/>
    <w:rsid w:val="37A26170"/>
    <w:rsid w:val="37AC5E54"/>
    <w:rsid w:val="38AF35DE"/>
    <w:rsid w:val="38F247D2"/>
    <w:rsid w:val="3A365ACD"/>
    <w:rsid w:val="3A4B20C9"/>
    <w:rsid w:val="3B9303B2"/>
    <w:rsid w:val="3C5D6B3D"/>
    <w:rsid w:val="3C8416D7"/>
    <w:rsid w:val="3D1D5E40"/>
    <w:rsid w:val="3FAB09ED"/>
    <w:rsid w:val="424722F5"/>
    <w:rsid w:val="44AF5D78"/>
    <w:rsid w:val="45833892"/>
    <w:rsid w:val="45CB4E15"/>
    <w:rsid w:val="462F1B6A"/>
    <w:rsid w:val="47D12ED9"/>
    <w:rsid w:val="492E7EB7"/>
    <w:rsid w:val="49F7299F"/>
    <w:rsid w:val="4A4754D4"/>
    <w:rsid w:val="4ACA7AAB"/>
    <w:rsid w:val="4B991F60"/>
    <w:rsid w:val="4BDD74EA"/>
    <w:rsid w:val="4C455C43"/>
    <w:rsid w:val="4C76548C"/>
    <w:rsid w:val="4D113C42"/>
    <w:rsid w:val="4E58558A"/>
    <w:rsid w:val="4F3501F1"/>
    <w:rsid w:val="4FB97D79"/>
    <w:rsid w:val="514A0D2E"/>
    <w:rsid w:val="52C04276"/>
    <w:rsid w:val="53202F66"/>
    <w:rsid w:val="54517DF8"/>
    <w:rsid w:val="55C776C9"/>
    <w:rsid w:val="575435C3"/>
    <w:rsid w:val="58CA4CA4"/>
    <w:rsid w:val="59A70B1E"/>
    <w:rsid w:val="59E60318"/>
    <w:rsid w:val="59E6787C"/>
    <w:rsid w:val="5C8E7193"/>
    <w:rsid w:val="5CBC5F90"/>
    <w:rsid w:val="5E6D1153"/>
    <w:rsid w:val="5F83500A"/>
    <w:rsid w:val="60745B56"/>
    <w:rsid w:val="611076B5"/>
    <w:rsid w:val="61371BA7"/>
    <w:rsid w:val="641F097E"/>
    <w:rsid w:val="65236940"/>
    <w:rsid w:val="65C43C25"/>
    <w:rsid w:val="664A41B0"/>
    <w:rsid w:val="66D16D4F"/>
    <w:rsid w:val="66FE6113"/>
    <w:rsid w:val="6768407F"/>
    <w:rsid w:val="69416152"/>
    <w:rsid w:val="6B874FA2"/>
    <w:rsid w:val="6C3C4515"/>
    <w:rsid w:val="6C6B54E9"/>
    <w:rsid w:val="6CB322FE"/>
    <w:rsid w:val="6FD52562"/>
    <w:rsid w:val="70246EC1"/>
    <w:rsid w:val="70514092"/>
    <w:rsid w:val="70852420"/>
    <w:rsid w:val="71881FAB"/>
    <w:rsid w:val="722B120E"/>
    <w:rsid w:val="72BF541A"/>
    <w:rsid w:val="72DA6836"/>
    <w:rsid w:val="73125FD0"/>
    <w:rsid w:val="734F209E"/>
    <w:rsid w:val="76DC35F5"/>
    <w:rsid w:val="7832658D"/>
    <w:rsid w:val="79074D5F"/>
    <w:rsid w:val="7A21330E"/>
    <w:rsid w:val="7AF745AA"/>
    <w:rsid w:val="7B7D06A6"/>
    <w:rsid w:val="7BA62A3A"/>
    <w:rsid w:val="7CF23984"/>
    <w:rsid w:val="7D3D1E9B"/>
    <w:rsid w:val="7D5055C7"/>
    <w:rsid w:val="7DA26C81"/>
    <w:rsid w:val="7EEE7268"/>
    <w:rsid w:val="7F066102"/>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semiHidden/>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E5E4E8AA4B8D49FC88B6B1302C888163_13</vt:lpwstr>
  </property>
</Properties>
</file>