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442" w:firstLineChars="100"/>
        <w:jc w:val="left"/>
        <w:rPr>
          <w:rFonts w:hint="eastAsia" w:ascii="宋体" w:hAnsi="宋体" w:eastAsia="宋体" w:cs="宋体"/>
          <w:b/>
          <w:bCs/>
          <w:i w:val="0"/>
          <w:iCs w:val="0"/>
          <w:caps w:val="0"/>
          <w:color w:val="auto"/>
          <w:spacing w:val="0"/>
          <w:kern w:val="44"/>
          <w:sz w:val="44"/>
          <w:szCs w:val="44"/>
          <w:shd w:val="clear" w:fill="FFFFFF"/>
          <w:lang w:val="en-US" w:eastAsia="zh-CN" w:bidi="ar"/>
        </w:rPr>
      </w:pPr>
      <w:r>
        <w:rPr>
          <w:rFonts w:hint="eastAsia" w:ascii="宋体" w:hAnsi="宋体" w:eastAsia="宋体" w:cs="宋体"/>
          <w:b/>
          <w:bCs/>
          <w:i w:val="0"/>
          <w:iCs w:val="0"/>
          <w:caps w:val="0"/>
          <w:color w:val="auto"/>
          <w:spacing w:val="0"/>
          <w:kern w:val="44"/>
          <w:sz w:val="44"/>
          <w:szCs w:val="44"/>
          <w:shd w:val="clear" w:fill="FFFFFF"/>
          <w:lang w:val="en-US" w:eastAsia="zh-CN" w:bidi="ar"/>
        </w:rPr>
        <w:t>北塔区委巡察工作领导小组办公室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auto"/>
          <w:spacing w:val="0"/>
          <w:sz w:val="44"/>
          <w:szCs w:val="44"/>
          <w:lang w:val="en-US" w:eastAsia="zh-CN"/>
        </w:rPr>
      </w:pPr>
      <w:r>
        <w:rPr>
          <w:i w:val="0"/>
          <w:iCs w:val="0"/>
          <w:caps w:val="0"/>
          <w:color w:val="auto"/>
          <w:spacing w:val="0"/>
          <w:sz w:val="44"/>
          <w:szCs w:val="44"/>
          <w:shd w:val="clear" w:fill="FFFFFF"/>
        </w:rPr>
        <w:t>202</w:t>
      </w:r>
      <w:r>
        <w:rPr>
          <w:rFonts w:hint="eastAsia"/>
          <w:i w:val="0"/>
          <w:iCs w:val="0"/>
          <w:caps w:val="0"/>
          <w:color w:val="auto"/>
          <w:spacing w:val="0"/>
          <w:sz w:val="44"/>
          <w:szCs w:val="44"/>
          <w:shd w:val="clear" w:fill="FFFFFF"/>
          <w:lang w:val="en-US" w:eastAsia="zh-CN"/>
        </w:rPr>
        <w:t>2</w:t>
      </w:r>
      <w:r>
        <w:rPr>
          <w:i w:val="0"/>
          <w:iCs w:val="0"/>
          <w:caps w:val="0"/>
          <w:color w:val="auto"/>
          <w:spacing w:val="0"/>
          <w:sz w:val="44"/>
          <w:szCs w:val="44"/>
          <w:shd w:val="clear" w:fill="FFFFFF"/>
        </w:rPr>
        <w:t>年度部门整体支出绩效评价报</w:t>
      </w:r>
      <w:r>
        <w:rPr>
          <w:rFonts w:hint="eastAsia"/>
          <w:i w:val="0"/>
          <w:iCs w:val="0"/>
          <w:caps w:val="0"/>
          <w:color w:val="auto"/>
          <w:spacing w:val="0"/>
          <w:sz w:val="44"/>
          <w:szCs w:val="44"/>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color w:val="auto"/>
          <w:sz w:val="32"/>
          <w:szCs w:val="32"/>
        </w:rPr>
      </w:pPr>
      <w:r>
        <w:rPr>
          <w:rFonts w:hint="eastAsia" w:ascii="宋体" w:hAnsi="宋体" w:eastAsia="宋体" w:cs="宋体"/>
          <w:b/>
          <w:bCs/>
          <w:i w:val="0"/>
          <w:iCs w:val="0"/>
          <w:caps w:val="0"/>
          <w:color w:val="auto"/>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（一）机构设置及人员情况</w:t>
      </w:r>
    </w:p>
    <w:p>
      <w:pPr>
        <w:pStyle w:val="5"/>
        <w:keepNext w:val="0"/>
        <w:keepLines w:val="0"/>
        <w:widowControl/>
        <w:suppressLineNumbers w:val="0"/>
        <w:spacing w:before="0" w:beforeAutospacing="0" w:after="2" w:afterAutospacing="0"/>
        <w:ind w:left="0" w:right="0" w:firstLine="641"/>
        <w:rPr>
          <w:rFonts w:hint="default" w:eastAsia="宋体"/>
          <w:lang w:val="en-US" w:eastAsia="zh-CN"/>
        </w:rPr>
      </w:pPr>
      <w:r>
        <w:rPr>
          <w:rFonts w:hint="eastAsia" w:ascii="宋体" w:hAnsi="宋体" w:eastAsia="宋体" w:cs="宋体"/>
          <w:i w:val="0"/>
          <w:iCs w:val="0"/>
          <w:caps w:val="0"/>
          <w:color w:val="000000"/>
          <w:spacing w:val="0"/>
          <w:sz w:val="32"/>
          <w:szCs w:val="32"/>
        </w:rPr>
        <w:t>机构</w:t>
      </w:r>
      <w:r>
        <w:rPr>
          <w:rFonts w:hint="eastAsia" w:ascii="宋体" w:hAnsi="宋体" w:eastAsia="宋体" w:cs="宋体"/>
          <w:i w:val="0"/>
          <w:iCs w:val="0"/>
          <w:caps w:val="0"/>
          <w:color w:val="000000"/>
          <w:spacing w:val="0"/>
          <w:sz w:val="32"/>
          <w:szCs w:val="32"/>
          <w:lang w:eastAsia="zh-CN"/>
        </w:rPr>
        <w:t>设置情况</w:t>
      </w:r>
      <w:r>
        <w:rPr>
          <w:rFonts w:hint="eastAsia" w:ascii="宋体" w:hAnsi="宋体" w:eastAsia="宋体" w:cs="宋体"/>
          <w:i w:val="0"/>
          <w:iCs w:val="0"/>
          <w:caps w:val="0"/>
          <w:color w:val="000000"/>
          <w:spacing w:val="0"/>
          <w:sz w:val="32"/>
          <w:szCs w:val="32"/>
        </w:rPr>
        <w:t>：</w:t>
      </w:r>
      <w:r>
        <w:rPr>
          <w:rFonts w:hint="eastAsia" w:ascii="宋体" w:hAnsi="宋体" w:eastAsia="宋体" w:cs="宋体"/>
          <w:color w:val="000000"/>
          <w:kern w:val="2"/>
          <w:sz w:val="32"/>
          <w:szCs w:val="32"/>
        </w:rPr>
        <w:t>内设综合室和业务室</w:t>
      </w:r>
      <w:r>
        <w:rPr>
          <w:rFonts w:hint="eastAsia" w:ascii="宋体" w:hAnsi="宋体" w:eastAsia="宋体" w:cs="宋体"/>
          <w:color w:val="000000"/>
          <w:kern w:val="2"/>
          <w:sz w:val="32"/>
          <w:szCs w:val="32"/>
          <w:lang w:val="en-US" w:eastAsia="zh-CN"/>
        </w:rPr>
        <w:t>两个股室。</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i w:val="0"/>
          <w:iCs w:val="0"/>
          <w:caps w:val="0"/>
          <w:color w:val="000000"/>
          <w:spacing w:val="0"/>
          <w:sz w:val="32"/>
          <w:szCs w:val="32"/>
          <w:lang w:eastAsia="zh-CN"/>
        </w:rPr>
        <w:t>人员情况：</w:t>
      </w:r>
      <w:r>
        <w:rPr>
          <w:rFonts w:hint="eastAsia" w:ascii="宋体" w:hAnsi="宋体" w:eastAsia="宋体" w:cs="宋体"/>
          <w:color w:val="auto"/>
          <w:kern w:val="2"/>
          <w:sz w:val="32"/>
          <w:szCs w:val="32"/>
          <w:lang w:val="en-US" w:eastAsia="zh-CN" w:bidi="ar"/>
        </w:rPr>
        <w:t>本部门</w:t>
      </w:r>
      <w:r>
        <w:rPr>
          <w:rFonts w:hint="eastAsia" w:ascii="宋体" w:hAnsi="宋体" w:eastAsia="宋体" w:cs="宋体"/>
          <w:color w:val="000000"/>
          <w:kern w:val="2"/>
          <w:sz w:val="32"/>
          <w:szCs w:val="32"/>
        </w:rPr>
        <w:t>共有编制人数13人，实有人数9人</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p>
    <w:p>
      <w:pPr>
        <w:numPr>
          <w:ilvl w:val="0"/>
          <w:numId w:val="0"/>
        </w:numPr>
        <w:spacing w:line="480" w:lineRule="auto"/>
        <w:ind w:firstLine="643" w:firstLineChars="200"/>
        <w:jc w:val="left"/>
        <w:rPr>
          <w:color w:val="auto"/>
        </w:rPr>
      </w:pPr>
      <w:r>
        <w:rPr>
          <w:rFonts w:hint="eastAsia" w:ascii="宋体" w:hAnsi="宋体" w:eastAsia="宋体" w:cs="宋体"/>
          <w:b/>
          <w:bCs/>
          <w:i w:val="0"/>
          <w:iCs w:val="0"/>
          <w:caps w:val="0"/>
          <w:color w:val="auto"/>
          <w:spacing w:val="0"/>
          <w:sz w:val="32"/>
          <w:szCs w:val="32"/>
          <w:shd w:val="clear" w:fill="FFFFFF"/>
          <w:lang w:val="en-US" w:eastAsia="zh-CN"/>
        </w:rPr>
        <w:t>（二）主要工作职责</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1、</w:t>
      </w:r>
      <w:r>
        <w:rPr>
          <w:rFonts w:hint="eastAsia" w:ascii="宋体" w:hAnsi="宋体" w:eastAsia="宋体" w:cs="宋体"/>
          <w:color w:val="000000"/>
          <w:kern w:val="2"/>
          <w:sz w:val="32"/>
          <w:szCs w:val="32"/>
        </w:rPr>
        <w:t>向区委巡察工作领导小组报告工作情况，传达贯彻中央、省委、市委巡视巡察工作的决策和部署。</w:t>
      </w:r>
      <w:r>
        <w:rPr>
          <w:rFonts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2、</w:t>
      </w:r>
      <w:r>
        <w:rPr>
          <w:rFonts w:hint="eastAsia" w:ascii="宋体" w:hAnsi="宋体" w:eastAsia="宋体" w:cs="宋体"/>
          <w:color w:val="000000"/>
          <w:kern w:val="2"/>
          <w:sz w:val="32"/>
          <w:szCs w:val="32"/>
        </w:rPr>
        <w:t>承担上级巡视组、巡察组对我区开展巡视、巡察工作的协调配合和联络服务等工作。</w:t>
      </w:r>
      <w:r>
        <w:rPr>
          <w:rFonts w:hint="eastAsia"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3、</w:t>
      </w:r>
      <w:r>
        <w:rPr>
          <w:rFonts w:hint="eastAsia" w:ascii="宋体" w:hAnsi="宋体" w:eastAsia="宋体" w:cs="宋体"/>
          <w:color w:val="000000"/>
          <w:kern w:val="2"/>
          <w:sz w:val="32"/>
          <w:szCs w:val="32"/>
        </w:rPr>
        <w:t>统筹、协调、指导区委巡察组开展工作。组建、充实、调整巡察人才库，培训库中人员，受理干部群众对巡察工作人员的举报和反映，提出处理意见。</w:t>
      </w:r>
      <w:r>
        <w:rPr>
          <w:rFonts w:hint="eastAsia"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4、</w:t>
      </w:r>
      <w:r>
        <w:rPr>
          <w:rFonts w:hint="eastAsia" w:ascii="宋体" w:hAnsi="宋体" w:eastAsia="宋体" w:cs="宋体"/>
          <w:color w:val="000000"/>
          <w:kern w:val="2"/>
          <w:sz w:val="32"/>
          <w:szCs w:val="32"/>
        </w:rPr>
        <w:t>拟写巡察规划、年度和阶段性计划，负责巡察制度建设、问题线索分流督办、巡察档案管理、综合协调、巡察信息处理和宣传公开等工作。</w:t>
      </w:r>
      <w:r>
        <w:rPr>
          <w:rFonts w:hint="eastAsia"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5、</w:t>
      </w:r>
      <w:r>
        <w:rPr>
          <w:rFonts w:hint="eastAsia" w:ascii="宋体" w:hAnsi="宋体" w:eastAsia="宋体" w:cs="宋体"/>
          <w:color w:val="000000"/>
          <w:kern w:val="2"/>
          <w:sz w:val="32"/>
          <w:szCs w:val="32"/>
        </w:rPr>
        <w:t>督促检查被巡察单位整改落实反馈的问题。</w:t>
      </w:r>
      <w:r>
        <w:rPr>
          <w:rFonts w:hint="eastAsia"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6、</w:t>
      </w:r>
      <w:r>
        <w:rPr>
          <w:rFonts w:hint="eastAsia" w:ascii="宋体" w:hAnsi="宋体" w:eastAsia="宋体" w:cs="宋体"/>
          <w:color w:val="000000"/>
          <w:kern w:val="2"/>
          <w:sz w:val="32"/>
          <w:szCs w:val="32"/>
        </w:rPr>
        <w:t>对区委、区委巡察工作领导小组决定的事项及上级巡视、巡察移交事项进行督查督办和情况反馈。</w:t>
      </w:r>
      <w:r>
        <w:rPr>
          <w:rFonts w:hint="eastAsia" w:ascii="等线" w:hAnsi="等线" w:eastAsia="等线" w:cs="Times New Roman"/>
          <w:color w:val="000000"/>
          <w:kern w:val="2"/>
          <w:sz w:val="32"/>
          <w:szCs w:val="32"/>
        </w:rPr>
        <w:t> </w:t>
      </w:r>
    </w:p>
    <w:p>
      <w:pPr>
        <w:pStyle w:val="5"/>
        <w:keepNext w:val="0"/>
        <w:keepLines w:val="0"/>
        <w:widowControl/>
        <w:suppressLineNumbers w:val="0"/>
        <w:spacing w:before="0" w:beforeAutospacing="0" w:after="2" w:afterAutospacing="0"/>
        <w:ind w:left="0" w:right="0" w:firstLine="641"/>
      </w:pPr>
      <w:r>
        <w:rPr>
          <w:rFonts w:hint="eastAsia" w:ascii="宋体" w:hAnsi="宋体" w:eastAsia="宋体" w:cs="宋体"/>
          <w:color w:val="000000"/>
          <w:kern w:val="2"/>
          <w:sz w:val="32"/>
          <w:szCs w:val="32"/>
          <w:lang w:val="en-US" w:eastAsia="zh-CN"/>
        </w:rPr>
        <w:t>7、</w:t>
      </w:r>
      <w:r>
        <w:rPr>
          <w:rFonts w:hint="eastAsia" w:ascii="宋体" w:hAnsi="宋体" w:eastAsia="宋体" w:cs="宋体"/>
          <w:color w:val="000000"/>
          <w:kern w:val="2"/>
          <w:sz w:val="32"/>
          <w:szCs w:val="32"/>
        </w:rPr>
        <w:t>办理区委及领导小组交办的其他事项。</w:t>
      </w:r>
      <w:r>
        <w:rPr>
          <w:rFonts w:hint="eastAsia" w:ascii="等线" w:hAnsi="等线" w:eastAsia="等线" w:cs="Times New Roman"/>
          <w:color w:val="000000"/>
          <w:kern w:val="2"/>
          <w:sz w:val="32"/>
          <w:szCs w:val="32"/>
        </w:rPr>
        <w:t> </w:t>
      </w:r>
    </w:p>
    <w:p>
      <w:pPr>
        <w:numPr>
          <w:ilvl w:val="0"/>
          <w:numId w:val="0"/>
        </w:numPr>
        <w:spacing w:line="480" w:lineRule="auto"/>
        <w:jc w:val="left"/>
        <w:rPr>
          <w:rFonts w:hint="eastAsia" w:ascii="宋体" w:hAnsi="宋体" w:eastAsia="宋体" w:cs="宋体"/>
          <w:b/>
          <w:bCs/>
          <w:i w:val="0"/>
          <w:iCs w:val="0"/>
          <w:caps w:val="0"/>
          <w:color w:val="auto"/>
          <w:spacing w:val="0"/>
          <w:sz w:val="32"/>
          <w:szCs w:val="32"/>
          <w:shd w:val="clear" w:fill="FFFFFF"/>
        </w:rPr>
      </w:pPr>
      <w:r>
        <w:rPr>
          <w:rFonts w:hint="eastAsia" w:ascii="宋体" w:hAnsi="宋体" w:eastAsia="宋体" w:cs="宋体"/>
          <w:b/>
          <w:bCs/>
          <w:i w:val="0"/>
          <w:iCs w:val="0"/>
          <w:caps w:val="0"/>
          <w:color w:val="auto"/>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（一）预算执行情况</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kern w:val="2"/>
          <w:sz w:val="32"/>
          <w:szCs w:val="32"/>
          <w:lang w:val="en-US" w:eastAsia="zh-CN" w:bidi="ar"/>
        </w:rPr>
        <w:t>2022年本部门全年预算数166.79万元，本年实际支出</w:t>
      </w:r>
      <w:r>
        <w:rPr>
          <w:rFonts w:hint="eastAsia" w:ascii="宋体" w:hAnsi="宋体" w:eastAsia="宋体" w:cs="宋体"/>
          <w:i w:val="0"/>
          <w:iCs w:val="0"/>
          <w:caps w:val="0"/>
          <w:color w:val="000000"/>
          <w:spacing w:val="0"/>
          <w:sz w:val="32"/>
          <w:szCs w:val="32"/>
          <w:lang w:val="en-US" w:eastAsia="zh-CN"/>
        </w:rPr>
        <w:t>183.53</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000000"/>
          <w:spacing w:val="0"/>
          <w:sz w:val="32"/>
          <w:szCs w:val="32"/>
          <w:lang w:eastAsia="zh-CN"/>
        </w:rPr>
        <w:t>，完成全年预算的</w:t>
      </w:r>
      <w:r>
        <w:rPr>
          <w:rFonts w:hint="eastAsia" w:ascii="宋体" w:hAnsi="宋体" w:eastAsia="宋体" w:cs="宋体"/>
          <w:i w:val="0"/>
          <w:iCs w:val="0"/>
          <w:caps w:val="0"/>
          <w:color w:val="000000"/>
          <w:spacing w:val="0"/>
          <w:sz w:val="32"/>
          <w:szCs w:val="32"/>
          <w:lang w:val="en-US" w:eastAsia="zh-CN"/>
        </w:rPr>
        <w:t>110.04%</w:t>
      </w:r>
      <w:r>
        <w:rPr>
          <w:rFonts w:hint="eastAsia" w:ascii="宋体" w:hAnsi="宋体" w:eastAsia="宋体" w:cs="宋体"/>
          <w:i w:val="0"/>
          <w:iCs w:val="0"/>
          <w:caps w:val="0"/>
          <w:color w:val="000000"/>
          <w:spacing w:val="0"/>
          <w:sz w:val="32"/>
          <w:szCs w:val="32"/>
        </w:rPr>
        <w:t>。与上一年度相比，</w:t>
      </w:r>
      <w:r>
        <w:rPr>
          <w:rFonts w:hint="eastAsia" w:ascii="宋体" w:hAnsi="宋体" w:eastAsia="宋体" w:cs="宋体"/>
          <w:i w:val="0"/>
          <w:iCs w:val="0"/>
          <w:caps w:val="0"/>
          <w:color w:val="000000"/>
          <w:spacing w:val="0"/>
          <w:sz w:val="32"/>
          <w:szCs w:val="32"/>
          <w:lang w:eastAsia="zh-CN"/>
        </w:rPr>
        <w:t>实际支出</w:t>
      </w:r>
      <w:r>
        <w:rPr>
          <w:rFonts w:hint="eastAsia" w:ascii="宋体" w:hAnsi="宋体" w:eastAsia="宋体" w:cs="宋体"/>
          <w:i w:val="0"/>
          <w:iCs w:val="0"/>
          <w:caps w:val="0"/>
          <w:color w:val="000000"/>
          <w:spacing w:val="0"/>
          <w:sz w:val="32"/>
          <w:szCs w:val="32"/>
          <w:lang w:val="en-US" w:eastAsia="zh-CN"/>
        </w:rPr>
        <w:t>增加18.35</w:t>
      </w:r>
      <w:r>
        <w:rPr>
          <w:rFonts w:hint="eastAsia" w:ascii="宋体" w:hAnsi="宋体" w:eastAsia="宋体" w:cs="宋体"/>
          <w:i w:val="0"/>
          <w:iCs w:val="0"/>
          <w:caps w:val="0"/>
          <w:color w:val="000000"/>
          <w:spacing w:val="0"/>
          <w:sz w:val="32"/>
          <w:szCs w:val="32"/>
        </w:rPr>
        <w:t>万元，</w:t>
      </w:r>
      <w:r>
        <w:rPr>
          <w:rFonts w:hint="eastAsia" w:ascii="宋体" w:hAnsi="宋体" w:eastAsia="宋体" w:cs="宋体"/>
          <w:i w:val="0"/>
          <w:iCs w:val="0"/>
          <w:caps w:val="0"/>
          <w:color w:val="000000"/>
          <w:spacing w:val="0"/>
          <w:sz w:val="32"/>
          <w:szCs w:val="32"/>
          <w:lang w:val="en-US" w:eastAsia="zh-CN"/>
        </w:rPr>
        <w:t>上升11.11</w:t>
      </w:r>
      <w:r>
        <w:rPr>
          <w:rFonts w:hint="eastAsia" w:ascii="宋体" w:hAnsi="宋体" w:eastAsia="宋体" w:cs="宋体"/>
          <w:i w:val="0"/>
          <w:iCs w:val="0"/>
          <w:caps w:val="0"/>
          <w:color w:val="000000"/>
          <w:spacing w:val="0"/>
          <w:sz w:val="32"/>
          <w:szCs w:val="32"/>
        </w:rPr>
        <w:t>%。主要原因是</w:t>
      </w:r>
      <w:r>
        <w:rPr>
          <w:rFonts w:hint="eastAsia" w:ascii="宋体" w:hAnsi="宋体" w:eastAsia="宋体" w:cs="宋体"/>
          <w:i w:val="0"/>
          <w:iCs w:val="0"/>
          <w:caps w:val="0"/>
          <w:color w:val="000000"/>
          <w:spacing w:val="0"/>
          <w:sz w:val="32"/>
          <w:szCs w:val="32"/>
          <w:lang w:val="en-US" w:eastAsia="zh-CN"/>
        </w:rPr>
        <w:t>人员经费和公用经费的增加。</w:t>
      </w:r>
    </w:p>
    <w:p>
      <w:pPr>
        <w:spacing w:line="480" w:lineRule="auto"/>
        <w:ind w:firstLine="640" w:firstLineChars="200"/>
        <w:jc w:val="left"/>
        <w:rPr>
          <w:rFonts w:hint="eastAsia" w:ascii="宋体" w:hAnsi="宋体" w:eastAsia="宋体" w:cs="宋体"/>
          <w:i w:val="0"/>
          <w:iCs w:val="0"/>
          <w:caps w:val="0"/>
          <w:color w:val="000000"/>
          <w:spacing w:val="0"/>
          <w:sz w:val="32"/>
          <w:szCs w:val="32"/>
        </w:rPr>
      </w:pPr>
      <w:r>
        <w:rPr>
          <w:rFonts w:hint="eastAsia" w:ascii="宋体" w:hAnsi="宋体" w:eastAsia="宋体" w:cs="宋体"/>
          <w:i w:val="0"/>
          <w:iCs w:val="0"/>
          <w:caps w:val="0"/>
          <w:color w:val="000000"/>
          <w:spacing w:val="0"/>
          <w:sz w:val="32"/>
          <w:szCs w:val="32"/>
        </w:rPr>
        <w:t>2022年度收入合计</w:t>
      </w:r>
      <w:r>
        <w:rPr>
          <w:rFonts w:hint="eastAsia" w:ascii="宋体" w:hAnsi="宋体" w:eastAsia="宋体" w:cs="宋体"/>
          <w:i w:val="0"/>
          <w:iCs w:val="0"/>
          <w:caps w:val="0"/>
          <w:color w:val="000000"/>
          <w:spacing w:val="0"/>
          <w:sz w:val="32"/>
          <w:szCs w:val="32"/>
          <w:lang w:val="en-US" w:eastAsia="zh-CN"/>
        </w:rPr>
        <w:t>183.53</w:t>
      </w:r>
      <w:r>
        <w:rPr>
          <w:rFonts w:hint="eastAsia" w:ascii="宋体" w:hAnsi="宋体" w:eastAsia="宋体" w:cs="宋体"/>
          <w:i w:val="0"/>
          <w:iCs w:val="0"/>
          <w:caps w:val="0"/>
          <w:color w:val="000000"/>
          <w:spacing w:val="0"/>
          <w:sz w:val="32"/>
          <w:szCs w:val="32"/>
        </w:rPr>
        <w:t>万元，其中：财政拨款收入</w:t>
      </w:r>
      <w:r>
        <w:rPr>
          <w:rFonts w:hint="eastAsia" w:ascii="宋体" w:hAnsi="宋体" w:eastAsia="宋体" w:cs="宋体"/>
          <w:i w:val="0"/>
          <w:iCs w:val="0"/>
          <w:caps w:val="0"/>
          <w:color w:val="000000"/>
          <w:spacing w:val="0"/>
          <w:sz w:val="32"/>
          <w:szCs w:val="32"/>
          <w:lang w:val="en-US" w:eastAsia="zh-CN"/>
        </w:rPr>
        <w:t>175.13</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95.42</w:t>
      </w:r>
      <w:r>
        <w:rPr>
          <w:rFonts w:hint="eastAsia" w:ascii="宋体" w:hAnsi="宋体" w:eastAsia="宋体" w:cs="宋体"/>
          <w:i w:val="0"/>
          <w:iCs w:val="0"/>
          <w:caps w:val="0"/>
          <w:color w:val="000000"/>
          <w:spacing w:val="0"/>
          <w:sz w:val="32"/>
          <w:szCs w:val="32"/>
        </w:rPr>
        <w:t>%；上级补助收入0万元，占0%；事业收入0万元，占0%；经营收入0万元，占0%；附属单位上缴收入0万元，占0%；其他收入</w:t>
      </w:r>
      <w:r>
        <w:rPr>
          <w:rFonts w:hint="eastAsia" w:ascii="宋体" w:hAnsi="宋体" w:eastAsia="宋体" w:cs="宋体"/>
          <w:i w:val="0"/>
          <w:iCs w:val="0"/>
          <w:caps w:val="0"/>
          <w:color w:val="000000"/>
          <w:spacing w:val="0"/>
          <w:sz w:val="32"/>
          <w:szCs w:val="32"/>
          <w:lang w:val="en-US" w:eastAsia="zh-CN"/>
        </w:rPr>
        <w:t>8.40</w:t>
      </w:r>
      <w:r>
        <w:rPr>
          <w:rFonts w:hint="eastAsia" w:ascii="宋体" w:hAnsi="宋体" w:eastAsia="宋体" w:cs="宋体"/>
          <w:i w:val="0"/>
          <w:iCs w:val="0"/>
          <w:caps w:val="0"/>
          <w:color w:val="000000"/>
          <w:spacing w:val="0"/>
          <w:sz w:val="32"/>
          <w:szCs w:val="32"/>
        </w:rPr>
        <w:t>万元，占</w:t>
      </w:r>
      <w:r>
        <w:rPr>
          <w:rFonts w:hint="eastAsia" w:ascii="宋体" w:hAnsi="宋体" w:eastAsia="宋体" w:cs="宋体"/>
          <w:i w:val="0"/>
          <w:iCs w:val="0"/>
          <w:caps w:val="0"/>
          <w:color w:val="000000"/>
          <w:spacing w:val="0"/>
          <w:sz w:val="32"/>
          <w:szCs w:val="32"/>
          <w:lang w:val="en-US" w:eastAsia="zh-CN"/>
        </w:rPr>
        <w:t>4.58</w:t>
      </w:r>
      <w:r>
        <w:rPr>
          <w:rFonts w:hint="eastAsia" w:ascii="宋体" w:hAnsi="宋体" w:eastAsia="宋体" w:cs="宋体"/>
          <w:i w:val="0"/>
          <w:iCs w:val="0"/>
          <w:caps w:val="0"/>
          <w:color w:val="000000"/>
          <w:spacing w:val="0"/>
          <w:sz w:val="32"/>
          <w:szCs w:val="32"/>
        </w:rPr>
        <w:t>%</w:t>
      </w:r>
    </w:p>
    <w:p>
      <w:pPr>
        <w:spacing w:line="480" w:lineRule="auto"/>
        <w:ind w:firstLine="640" w:firstLineChars="200"/>
        <w:jc w:val="left"/>
        <w:rPr>
          <w:rFonts w:hint="eastAsia" w:ascii="宋体" w:hAnsi="宋体" w:eastAsia="宋体" w:cs="宋体"/>
          <w:i w:val="0"/>
          <w:iCs w:val="0"/>
          <w:caps w:val="0"/>
          <w:color w:val="000000"/>
          <w:spacing w:val="0"/>
          <w:sz w:val="32"/>
          <w:szCs w:val="32"/>
          <w:lang w:val="en-US" w:eastAsia="zh-CN"/>
        </w:rPr>
      </w:pPr>
      <w:r>
        <w:rPr>
          <w:rFonts w:hint="eastAsia" w:ascii="宋体" w:hAnsi="宋体" w:eastAsia="宋体" w:cs="宋体"/>
          <w:i w:val="0"/>
          <w:iCs w:val="0"/>
          <w:caps w:val="0"/>
          <w:color w:val="000000"/>
          <w:spacing w:val="0"/>
          <w:sz w:val="32"/>
          <w:szCs w:val="32"/>
        </w:rPr>
        <w:t>2022年度支出合计</w:t>
      </w:r>
      <w:r>
        <w:rPr>
          <w:rFonts w:hint="eastAsia" w:ascii="宋体" w:hAnsi="宋体" w:eastAsia="宋体" w:cs="宋体"/>
          <w:i w:val="0"/>
          <w:iCs w:val="0"/>
          <w:caps w:val="0"/>
          <w:color w:val="000000"/>
          <w:spacing w:val="0"/>
          <w:sz w:val="32"/>
          <w:szCs w:val="32"/>
          <w:lang w:val="en-US" w:eastAsia="zh-CN"/>
        </w:rPr>
        <w:t>183.53</w:t>
      </w:r>
      <w:r>
        <w:rPr>
          <w:rFonts w:hint="eastAsia" w:ascii="宋体" w:hAnsi="宋体" w:eastAsia="宋体" w:cs="宋体"/>
          <w:i w:val="0"/>
          <w:iCs w:val="0"/>
          <w:caps w:val="0"/>
          <w:color w:val="000000"/>
          <w:spacing w:val="0"/>
          <w:sz w:val="32"/>
          <w:szCs w:val="32"/>
        </w:rPr>
        <w:t>万元，其中：基本支出</w:t>
      </w:r>
      <w:r>
        <w:rPr>
          <w:rFonts w:hint="eastAsia" w:ascii="宋体" w:hAnsi="宋体" w:eastAsia="宋体" w:cs="宋体"/>
          <w:i w:val="0"/>
          <w:iCs w:val="0"/>
          <w:caps w:val="0"/>
          <w:color w:val="000000"/>
          <w:spacing w:val="0"/>
          <w:sz w:val="32"/>
          <w:szCs w:val="32"/>
          <w:lang w:val="en-US" w:eastAsia="zh-CN"/>
        </w:rPr>
        <w:t>183.53</w:t>
      </w:r>
      <w:r>
        <w:rPr>
          <w:rFonts w:hint="eastAsia" w:ascii="宋体" w:hAnsi="宋体" w:eastAsia="宋体" w:cs="宋体"/>
          <w:i w:val="0"/>
          <w:iCs w:val="0"/>
          <w:caps w:val="0"/>
          <w:color w:val="000000"/>
          <w:spacing w:val="0"/>
          <w:sz w:val="32"/>
          <w:szCs w:val="32"/>
        </w:rPr>
        <w:t>万元，占100%；项目支出0万元，占0%；上缴上级支出0万元，占0%；经营支出0万元，占0%；对附属单位补助支出0万元，占0%。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（二）基本支出情况</w:t>
      </w:r>
    </w:p>
    <w:p>
      <w:p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2022年度北塔区委巡察办基本支出年初预算安排为121.79万元，本年实际支出为183.53万元，主要为人员经费支出和公用经费支出，其中人员经费支出110.68万元、公用经费支出72.85万元。</w:t>
      </w:r>
    </w:p>
    <w:p>
      <w:pPr>
        <w:numPr>
          <w:ilvl w:val="0"/>
          <w:numId w:val="1"/>
        </w:numPr>
        <w:spacing w:line="480" w:lineRule="auto"/>
        <w:ind w:left="0" w:leftChars="0"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项目支出情况</w:t>
      </w:r>
    </w:p>
    <w:p>
      <w:pPr>
        <w:numPr>
          <w:ilvl w:val="0"/>
          <w:numId w:val="0"/>
        </w:numPr>
        <w:spacing w:line="480" w:lineRule="auto"/>
        <w:ind w:firstLine="640" w:firstLineChars="200"/>
        <w:jc w:val="left"/>
        <w:rPr>
          <w:rFonts w:hint="eastAsia"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本年项目支出年初预算安排为45万元，本年实际支出为0万元，本部门2022年度无项目支出。</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643" w:firstLineChars="20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lang w:val="en-US" w:eastAsia="zh-CN"/>
        </w:rPr>
        <w:t>三</w:t>
      </w:r>
      <w:r>
        <w:rPr>
          <w:rFonts w:hint="eastAsia" w:ascii="宋体" w:hAnsi="宋体" w:eastAsia="宋体" w:cs="宋体"/>
          <w:b/>
          <w:bCs/>
          <w:i w:val="0"/>
          <w:iCs w:val="0"/>
          <w:caps w:val="0"/>
          <w:color w:val="auto"/>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32"/>
          <w:szCs w:val="32"/>
          <w:highlight w:val="none"/>
          <w:shd w:val="clear" w:fill="FFFFFF"/>
        </w:rPr>
      </w:pPr>
      <w:r>
        <w:rPr>
          <w:rFonts w:hint="eastAsia" w:ascii="宋体" w:hAnsi="宋体" w:eastAsia="宋体" w:cs="宋体"/>
          <w:b/>
          <w:bCs/>
          <w:i w:val="0"/>
          <w:iCs w:val="0"/>
          <w:caps w:val="0"/>
          <w:color w:val="auto"/>
          <w:spacing w:val="0"/>
          <w:sz w:val="32"/>
          <w:szCs w:val="32"/>
          <w:highlight w:val="none"/>
          <w:shd w:val="clear" w:fill="FFFFFF"/>
        </w:rPr>
        <w:t>1、预算执行情况。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default" w:ascii="宋体" w:hAnsi="宋体" w:eastAsia="宋体" w:cs="宋体"/>
          <w:i w:val="0"/>
          <w:iCs w:val="0"/>
          <w:caps w:val="0"/>
          <w:color w:val="auto"/>
          <w:spacing w:val="0"/>
          <w:kern w:val="2"/>
          <w:sz w:val="32"/>
          <w:szCs w:val="32"/>
          <w:highlight w:val="none"/>
          <w:shd w:val="clear" w:fill="FFFFFF"/>
          <w:lang w:val="en-US" w:eastAsia="zh-CN" w:bidi="ar-SA"/>
        </w:rPr>
      </w:pPr>
      <w:r>
        <w:rPr>
          <w:rFonts w:hint="eastAsia" w:ascii="宋体" w:hAnsi="宋体" w:eastAsia="宋体" w:cs="宋体"/>
          <w:i w:val="0"/>
          <w:iCs w:val="0"/>
          <w:caps w:val="0"/>
          <w:color w:val="auto"/>
          <w:spacing w:val="0"/>
          <w:kern w:val="2"/>
          <w:sz w:val="32"/>
          <w:szCs w:val="32"/>
          <w:highlight w:val="none"/>
          <w:shd w:val="clear" w:fill="FFFFFF"/>
          <w:lang w:val="en-US" w:eastAsia="zh-CN" w:bidi="ar-SA"/>
        </w:rPr>
        <w:t>⑴2022年财政拨款预算执行数183.53万元，预算安排数166.79万元，预算执行率为110.04%；当年预算有超支16.74万元。⑵公用经费预算64.73万元，实际支出72.85万元，公用经费控制率为112.54%；（3）“三公经费”年初预算安排0万元，实际支出0万元，（4）政府采购年初预算5万元，实际政府采购金额16.15万元，政府采购执行率真323%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highlight w:val="none"/>
          <w:shd w:val="clear" w:fill="FFFFFF"/>
        </w:rPr>
        <w:t>2、预决算信息公开情况。</w:t>
      </w:r>
      <w:r>
        <w:rPr>
          <w:rFonts w:hint="eastAsia" w:ascii="宋体" w:hAnsi="宋体" w:eastAsia="宋体" w:cs="宋体"/>
          <w:b w:val="0"/>
          <w:bCs w:val="0"/>
          <w:i w:val="0"/>
          <w:iCs w:val="0"/>
          <w:caps w:val="0"/>
          <w:color w:val="auto"/>
          <w:spacing w:val="0"/>
          <w:sz w:val="32"/>
          <w:szCs w:val="32"/>
          <w:highlight w:val="none"/>
          <w:shd w:val="clear" w:fill="FFFFFF"/>
          <w:lang w:eastAsia="zh-CN"/>
        </w:rPr>
        <w:t>北塔区</w:t>
      </w:r>
      <w:r>
        <w:rPr>
          <w:rFonts w:hint="eastAsia" w:ascii="宋体" w:hAnsi="宋体" w:eastAsia="宋体" w:cs="宋体"/>
          <w:b w:val="0"/>
          <w:bCs w:val="0"/>
          <w:i w:val="0"/>
          <w:iCs w:val="0"/>
          <w:caps w:val="0"/>
          <w:color w:val="auto"/>
          <w:spacing w:val="0"/>
          <w:sz w:val="32"/>
          <w:szCs w:val="32"/>
          <w:highlight w:val="none"/>
          <w:shd w:val="clear" w:fill="FFFFFF"/>
          <w:lang w:val="en-US" w:eastAsia="zh-CN"/>
        </w:rPr>
        <w:t>委巡察办</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及时在区政</w:t>
      </w:r>
      <w:r>
        <w:rPr>
          <w:rFonts w:hint="eastAsia" w:ascii="宋体" w:hAnsi="宋体" w:eastAsia="宋体" w:cs="宋体"/>
          <w:i w:val="0"/>
          <w:iCs w:val="0"/>
          <w:caps w:val="0"/>
          <w:color w:val="auto"/>
          <w:spacing w:val="0"/>
          <w:kern w:val="2"/>
          <w:sz w:val="32"/>
          <w:szCs w:val="32"/>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auto"/>
          <w:spacing w:val="0"/>
          <w:kern w:val="2"/>
          <w:sz w:val="32"/>
          <w:szCs w:val="32"/>
          <w:shd w:val="clear" w:fill="FFFFFF"/>
          <w:lang w:val="en-US" w:eastAsia="zh-CN" w:bidi="ar-SA"/>
        </w:rPr>
      </w:pPr>
      <w:r>
        <w:rPr>
          <w:rFonts w:hint="eastAsia" w:ascii="宋体" w:hAnsi="宋体" w:eastAsia="宋体" w:cs="宋体"/>
          <w:b/>
          <w:bCs/>
          <w:i w:val="0"/>
          <w:iCs w:val="0"/>
          <w:caps w:val="0"/>
          <w:color w:val="auto"/>
          <w:spacing w:val="0"/>
          <w:sz w:val="32"/>
          <w:szCs w:val="32"/>
          <w:shd w:val="clear" w:fill="FFFFFF"/>
          <w:lang w:val="en-US" w:eastAsia="zh-CN"/>
        </w:rPr>
        <w:t>3</w:t>
      </w:r>
      <w:r>
        <w:rPr>
          <w:rFonts w:hint="eastAsia" w:ascii="宋体" w:hAnsi="宋体" w:eastAsia="宋体" w:cs="宋体"/>
          <w:b/>
          <w:bCs/>
          <w:i w:val="0"/>
          <w:iCs w:val="0"/>
          <w:caps w:val="0"/>
          <w:color w:val="auto"/>
          <w:spacing w:val="0"/>
          <w:sz w:val="32"/>
          <w:szCs w:val="32"/>
          <w:shd w:val="clear" w:fill="FFFFFF"/>
        </w:rPr>
        <w:t>、资产管理情况。</w:t>
      </w:r>
      <w:r>
        <w:rPr>
          <w:rFonts w:hint="eastAsia" w:ascii="宋体" w:hAnsi="宋体" w:eastAsia="宋体" w:cs="宋体"/>
          <w:i w:val="0"/>
          <w:iCs w:val="0"/>
          <w:caps w:val="0"/>
          <w:color w:val="auto"/>
          <w:spacing w:val="0"/>
          <w:kern w:val="2"/>
          <w:sz w:val="32"/>
          <w:szCs w:val="32"/>
          <w:shd w:val="clear" w:fill="FFFFFF"/>
          <w:lang w:val="en-US" w:eastAsia="zh-CN" w:bidi="ar-SA"/>
        </w:rPr>
        <w:t>截止2022年12月31日，</w:t>
      </w:r>
      <w:r>
        <w:rPr>
          <w:rFonts w:hint="eastAsia" w:ascii="宋体" w:hAnsi="宋体" w:eastAsia="宋体" w:cs="宋体"/>
          <w:color w:val="auto"/>
          <w:sz w:val="32"/>
          <w:szCs w:val="32"/>
          <w:lang w:eastAsia="zh-CN"/>
        </w:rPr>
        <w:t>北塔区</w:t>
      </w:r>
      <w:r>
        <w:rPr>
          <w:rFonts w:hint="eastAsia" w:ascii="宋体" w:hAnsi="宋体" w:eastAsia="宋体" w:cs="宋体"/>
          <w:color w:val="auto"/>
          <w:sz w:val="32"/>
          <w:szCs w:val="32"/>
          <w:lang w:val="en-US" w:eastAsia="zh-CN"/>
        </w:rPr>
        <w:t>委巡察办</w:t>
      </w:r>
      <w:r>
        <w:rPr>
          <w:rFonts w:hint="eastAsia" w:ascii="宋体" w:hAnsi="宋体" w:eastAsia="宋体" w:cs="宋体"/>
          <w:i w:val="0"/>
          <w:iCs w:val="0"/>
          <w:caps w:val="0"/>
          <w:color w:val="auto"/>
          <w:spacing w:val="0"/>
          <w:kern w:val="2"/>
          <w:sz w:val="32"/>
          <w:szCs w:val="32"/>
          <w:highlight w:val="none"/>
          <w:shd w:val="clear" w:fill="FFFFFF"/>
          <w:lang w:val="en-US" w:eastAsia="zh-CN" w:bidi="ar-SA"/>
        </w:rPr>
        <w:t>拥有各类资产总额9.65万元，其中流动资产0万元，固定资产净值9.65万元。单位为加强资产管理，内部制定了资产管理制度，</w:t>
      </w:r>
      <w:r>
        <w:rPr>
          <w:rFonts w:hint="eastAsia" w:ascii="宋体" w:hAnsi="宋体" w:eastAsia="宋体" w:cs="宋体"/>
          <w:i w:val="0"/>
          <w:iCs w:val="0"/>
          <w:caps w:val="0"/>
          <w:color w:val="auto"/>
          <w:spacing w:val="0"/>
          <w:kern w:val="2"/>
          <w:sz w:val="32"/>
          <w:szCs w:val="32"/>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1、</w:t>
      </w:r>
      <w:r>
        <w:rPr>
          <w:rFonts w:hint="eastAsia" w:ascii="宋体" w:hAnsi="宋体" w:eastAsia="宋体" w:cs="宋体"/>
          <w:b w:val="0"/>
          <w:bCs w:val="0"/>
          <w:sz w:val="32"/>
          <w:szCs w:val="32"/>
        </w:rPr>
        <w:t>预算执行</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政务公开网公布部门财政预算批复及执行情况，及时公布“三公经费”支出情况，接受监督。三是建立健全项目资金管理制度。对于财政性专项资金，严格按专项资金项目实施方案执行，督促项目承担单位加快项目实施进度，及时办理报账、验收、结算等相关手续，做到不集中使用、不滥用资金，最大限度提高专项资金利用效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预算管理</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为规范机关财务管理，建立健全财务管理制度，我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根据《会计法》、《预算法》、《政府会计准则》等法律和财政部、省财政厅有关财务规章制度等一系列合法合规、较为完整的、具有很强的可操作性财务管理制度。坚持经费预算科学化、精细化，执行控制规范化、责任化，监督检查常态化、同步化。</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rPr>
        <w:t>资金的支付符合国家财经法规和财务管理制度规定，以及有关专项资金管理办法的规定；资金拨付有完整的审批程序和手续；支出符合部门预算批复的用途；资金使用没有截留、挪用、虚列支出、随意借用等情况；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sz w:val="32"/>
          <w:szCs w:val="32"/>
        </w:rPr>
      </w:pPr>
      <w:r>
        <w:rPr>
          <w:rFonts w:hint="eastAsia" w:ascii="宋体" w:hAnsi="宋体" w:eastAsia="宋体" w:cs="宋体"/>
          <w:b w:val="0"/>
          <w:bCs w:val="0"/>
          <w:sz w:val="32"/>
          <w:szCs w:val="32"/>
          <w:lang w:val="en-US" w:eastAsia="zh-CN"/>
        </w:rPr>
        <w:t>3、</w:t>
      </w:r>
      <w:r>
        <w:rPr>
          <w:rFonts w:hint="eastAsia" w:ascii="宋体" w:hAnsi="宋体" w:eastAsia="宋体" w:cs="宋体"/>
          <w:b w:val="0"/>
          <w:bCs w:val="0"/>
          <w:sz w:val="32"/>
          <w:szCs w:val="32"/>
        </w:rPr>
        <w:t>提升支出绩效</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202</w:t>
      </w:r>
      <w:r>
        <w:rPr>
          <w:rFonts w:hint="eastAsia" w:ascii="宋体" w:hAnsi="宋体" w:eastAsia="宋体" w:cs="宋体"/>
          <w:b w:val="0"/>
          <w:bCs w:val="0"/>
          <w:sz w:val="32"/>
          <w:szCs w:val="32"/>
          <w:lang w:val="en-US" w:eastAsia="zh-CN"/>
        </w:rPr>
        <w:t>2</w:t>
      </w:r>
      <w:r>
        <w:rPr>
          <w:rFonts w:hint="eastAsia" w:ascii="宋体" w:hAnsi="宋体" w:eastAsia="宋体" w:cs="宋体"/>
          <w:b w:val="0"/>
          <w:bCs w:val="0"/>
          <w:sz w:val="32"/>
          <w:szCs w:val="32"/>
        </w:rPr>
        <w:t>年，我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全面落实区委、区政府的各项工作部署，牢固树立发展意识，大力弘扬实干精神，扎实推进各项工作，各项工作任务全面完成，财务管理规范，单位行政运行稳定有序。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宋体" w:hAnsi="宋体" w:eastAsia="宋体" w:cs="宋体"/>
          <w:b w:val="0"/>
          <w:bCs w:val="0"/>
          <w:i w:val="0"/>
          <w:iCs w:val="0"/>
          <w:caps w:val="0"/>
          <w:color w:val="auto"/>
          <w:spacing w:val="0"/>
          <w:kern w:val="2"/>
          <w:sz w:val="32"/>
          <w:szCs w:val="32"/>
          <w:shd w:val="clear" w:fill="FFFFFF"/>
          <w:lang w:val="en-US" w:eastAsia="zh-CN" w:bidi="ar-SA"/>
        </w:rPr>
      </w:pPr>
      <w:r>
        <w:rPr>
          <w:rFonts w:hint="eastAsia" w:ascii="宋体" w:hAnsi="宋体" w:eastAsia="宋体" w:cs="宋体"/>
          <w:b w:val="0"/>
          <w:bCs w:val="0"/>
          <w:sz w:val="32"/>
          <w:szCs w:val="32"/>
          <w:lang w:val="en-US" w:eastAsia="zh-CN"/>
        </w:rPr>
        <w:t>4、</w:t>
      </w:r>
      <w:r>
        <w:rPr>
          <w:rFonts w:hint="eastAsia" w:ascii="宋体" w:hAnsi="宋体" w:eastAsia="宋体" w:cs="宋体"/>
          <w:b w:val="0"/>
          <w:bCs w:val="0"/>
          <w:sz w:val="32"/>
          <w:szCs w:val="32"/>
        </w:rPr>
        <w:t>评价结论</w:t>
      </w:r>
      <w:r>
        <w:rPr>
          <w:rFonts w:hint="eastAsia" w:ascii="宋体" w:hAnsi="宋体" w:eastAsia="宋体" w:cs="宋体"/>
          <w:b w:val="0"/>
          <w:bCs w:val="0"/>
          <w:sz w:val="32"/>
          <w:szCs w:val="32"/>
          <w:lang w:eastAsia="zh-CN"/>
        </w:rPr>
        <w:t>：</w:t>
      </w:r>
      <w:r>
        <w:rPr>
          <w:rFonts w:hint="eastAsia" w:ascii="宋体" w:hAnsi="宋体" w:eastAsia="宋体" w:cs="宋体"/>
          <w:b w:val="0"/>
          <w:bCs w:val="0"/>
          <w:sz w:val="32"/>
          <w:szCs w:val="32"/>
        </w:rPr>
        <w:t>我</w:t>
      </w:r>
      <w:r>
        <w:rPr>
          <w:rFonts w:hint="eastAsia" w:ascii="宋体" w:hAnsi="宋体" w:eastAsia="宋体" w:cs="宋体"/>
          <w:b w:val="0"/>
          <w:bCs w:val="0"/>
          <w:sz w:val="32"/>
          <w:szCs w:val="32"/>
          <w:lang w:val="en-US" w:eastAsia="zh-CN"/>
        </w:rPr>
        <w:t>办</w:t>
      </w:r>
      <w:r>
        <w:rPr>
          <w:rFonts w:hint="eastAsia" w:ascii="宋体" w:hAnsi="宋体" w:eastAsia="宋体" w:cs="宋体"/>
          <w:b w:val="0"/>
          <w:bCs w:val="0"/>
          <w:sz w:val="32"/>
          <w:szCs w:val="32"/>
        </w:rPr>
        <w:t>认真组织开展整体支出绩效自评，自评等级“良好”。</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存在的问题及原因分析</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预算编制不够明确和细化，预算编制的合理性需要提高，预算执行力还要进一步加强。资金使用效益有待进一步提高，绩效目标设立不够明确、细化和量化。</w:t>
      </w:r>
    </w:p>
    <w:p>
      <w:pPr>
        <w:pStyle w:val="5"/>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420" w:leftChars="0" w:right="0" w:rightChars="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人员素质有待提高。由于人员变动，单位对相关绩效管理业务的熟练，加上缺乏系统的培训，业务操作水平有限。</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leftChars="0" w:right="0" w:firstLine="420" w:firstLineChars="0"/>
        <w:jc w:val="both"/>
        <w:rPr>
          <w:rFonts w:hint="eastAsia" w:ascii="宋体" w:hAnsi="宋体" w:eastAsia="宋体" w:cs="宋体"/>
          <w:b/>
          <w:bCs/>
          <w:i w:val="0"/>
          <w:iCs w:val="0"/>
          <w:caps w:val="0"/>
          <w:color w:val="auto"/>
          <w:spacing w:val="0"/>
          <w:sz w:val="32"/>
          <w:szCs w:val="32"/>
          <w:shd w:val="clear" w:fill="FFFFFF"/>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改进措施及有关建议</w:t>
      </w:r>
    </w:p>
    <w:p>
      <w:pPr>
        <w:widowControl/>
        <w:spacing w:line="600" w:lineRule="exact"/>
        <w:ind w:firstLine="645"/>
        <w:jc w:val="left"/>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（一）1、细化预算编制工作，认真做好预算的编制。进一步加强内设机构的预算管理意识，严格按照预算编制的相关制度和要求进行预算编制。</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640" w:firstLineChars="200"/>
        <w:textAlignment w:val="auto"/>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加强政策学习，提高思想认识。组织相关人员认真学习《会计法》、《预算法》等相关法规、制度，提高业务人员的业务水平及思想认识，为绩效评价工作夯实基础。</w:t>
      </w:r>
    </w:p>
    <w:p>
      <w:pPr>
        <w:spacing w:line="600" w:lineRule="exact"/>
        <w:rPr>
          <w:rFonts w:ascii="宋体" w:hAnsi="宋体" w:cs="宋体"/>
          <w:kern w:val="0"/>
          <w:sz w:val="32"/>
          <w:szCs w:val="32"/>
        </w:rPr>
      </w:pPr>
      <w:r>
        <w:rPr>
          <w:rFonts w:hint="eastAsia" w:ascii="黑体" w:hAnsi="宋体" w:eastAsia="黑体" w:cs="宋体"/>
          <w:kern w:val="0"/>
          <w:sz w:val="32"/>
          <w:szCs w:val="32"/>
        </w:rPr>
        <w:t>附件1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7"/>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w:t>
            </w:r>
            <w:r>
              <w:rPr>
                <w:rFonts w:hint="eastAsia" w:ascii="仿宋_GB2312" w:hAnsi="宋体" w:eastAsia="仿宋_GB2312" w:cs="宋体"/>
                <w:kern w:val="0"/>
                <w:sz w:val="20"/>
                <w:szCs w:val="20"/>
                <w:lang w:eastAsia="zh-CN"/>
              </w:rPr>
              <w:t>办</w:t>
            </w:r>
            <w:r>
              <w:rPr>
                <w:rFonts w:hint="eastAsia" w:ascii="仿宋_GB2312" w:hAnsi="宋体" w:eastAsia="仿宋_GB2312" w:cs="宋体"/>
                <w:kern w:val="0"/>
                <w:sz w:val="20"/>
                <w:szCs w:val="20"/>
              </w:rPr>
              <w:t>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9192" w:type="dxa"/>
            <w:gridSpan w:val="6"/>
            <w:noWrap w:val="0"/>
            <w:vAlign w:val="center"/>
          </w:tcPr>
          <w:p>
            <w:pPr>
              <w:widowControl/>
              <w:jc w:val="center"/>
              <w:rPr>
                <w:rFonts w:hint="eastAsia" w:ascii="宋体" w:hAnsi="宋体" w:eastAsia="宋体" w:cs="宋体"/>
                <w:kern w:val="0"/>
                <w:sz w:val="24"/>
                <w:szCs w:val="24"/>
                <w:lang w:val="en-US" w:eastAsia="zh-CN"/>
              </w:rPr>
            </w:pPr>
            <w:r>
              <w:rPr>
                <w:rFonts w:hint="eastAsia" w:ascii="仿宋_GB2312" w:hAnsi="宋体" w:eastAsia="仿宋_GB2312" w:cs="宋体"/>
                <w:kern w:val="0"/>
                <w:sz w:val="20"/>
                <w:szCs w:val="20"/>
                <w:lang w:val="en-US" w:eastAsia="zh-CN"/>
              </w:rPr>
              <w:t>89.8</w:t>
            </w:r>
          </w:p>
        </w:tc>
      </w:tr>
    </w:tbl>
    <w:p>
      <w:pPr>
        <w:pStyle w:val="2"/>
        <w:numPr>
          <w:numId w:val="0"/>
        </w:numPr>
        <w:ind w:leftChars="200"/>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E7161"/>
    <w:multiLevelType w:val="singleLevel"/>
    <w:tmpl w:val="A71E7161"/>
    <w:lvl w:ilvl="0" w:tentative="0">
      <w:start w:val="2"/>
      <w:numFmt w:val="chineseCounting"/>
      <w:suff w:val="nothing"/>
      <w:lvlText w:val="（%1）"/>
      <w:lvlJc w:val="left"/>
      <w:rPr>
        <w:rFonts w:hint="eastAsia"/>
      </w:rPr>
    </w:lvl>
  </w:abstractNum>
  <w:abstractNum w:abstractNumId="1">
    <w:nsid w:val="AA82F546"/>
    <w:multiLevelType w:val="singleLevel"/>
    <w:tmpl w:val="AA82F546"/>
    <w:lvl w:ilvl="0" w:tentative="0">
      <w:start w:val="1"/>
      <w:numFmt w:val="decimal"/>
      <w:suff w:val="nothing"/>
      <w:lvlText w:val="%1、"/>
      <w:lvlJc w:val="left"/>
    </w:lvl>
  </w:abstractNum>
  <w:abstractNum w:abstractNumId="2">
    <w:nsid w:val="47A77A8D"/>
    <w:multiLevelType w:val="singleLevel"/>
    <w:tmpl w:val="47A77A8D"/>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6D6F3B"/>
    <w:rsid w:val="00D51644"/>
    <w:rsid w:val="015A7905"/>
    <w:rsid w:val="025D08EA"/>
    <w:rsid w:val="02A74CAA"/>
    <w:rsid w:val="0401638F"/>
    <w:rsid w:val="05213482"/>
    <w:rsid w:val="07A35325"/>
    <w:rsid w:val="099C26FF"/>
    <w:rsid w:val="09E17252"/>
    <w:rsid w:val="0D5E3707"/>
    <w:rsid w:val="11E84674"/>
    <w:rsid w:val="126C42B4"/>
    <w:rsid w:val="17042185"/>
    <w:rsid w:val="17546308"/>
    <w:rsid w:val="17B648CC"/>
    <w:rsid w:val="17DD6E2C"/>
    <w:rsid w:val="1AED7481"/>
    <w:rsid w:val="1D9A1B96"/>
    <w:rsid w:val="1F010C8F"/>
    <w:rsid w:val="20F63895"/>
    <w:rsid w:val="23BE3486"/>
    <w:rsid w:val="26166273"/>
    <w:rsid w:val="26F42DF4"/>
    <w:rsid w:val="2B032004"/>
    <w:rsid w:val="2C3A1B18"/>
    <w:rsid w:val="2C7529D1"/>
    <w:rsid w:val="2D6C05C8"/>
    <w:rsid w:val="2DB256DE"/>
    <w:rsid w:val="2F064022"/>
    <w:rsid w:val="3619015E"/>
    <w:rsid w:val="36334246"/>
    <w:rsid w:val="36E22B02"/>
    <w:rsid w:val="375C4F25"/>
    <w:rsid w:val="37A26170"/>
    <w:rsid w:val="37BD53AB"/>
    <w:rsid w:val="38F247D2"/>
    <w:rsid w:val="39467EF8"/>
    <w:rsid w:val="3A365ACD"/>
    <w:rsid w:val="3B9303B2"/>
    <w:rsid w:val="3C8416D7"/>
    <w:rsid w:val="3D1D5E40"/>
    <w:rsid w:val="3FAB09ED"/>
    <w:rsid w:val="44AF5D78"/>
    <w:rsid w:val="45833892"/>
    <w:rsid w:val="45CB4E15"/>
    <w:rsid w:val="47D12ED9"/>
    <w:rsid w:val="492E7EB7"/>
    <w:rsid w:val="49F7299F"/>
    <w:rsid w:val="4A4754D4"/>
    <w:rsid w:val="4ACA7AAB"/>
    <w:rsid w:val="4B991F60"/>
    <w:rsid w:val="4C455C43"/>
    <w:rsid w:val="4D113C42"/>
    <w:rsid w:val="4E58558A"/>
    <w:rsid w:val="4F3501F1"/>
    <w:rsid w:val="4FB97D79"/>
    <w:rsid w:val="52C04276"/>
    <w:rsid w:val="53202F66"/>
    <w:rsid w:val="54517DF8"/>
    <w:rsid w:val="55BA4899"/>
    <w:rsid w:val="55C776C9"/>
    <w:rsid w:val="5678476C"/>
    <w:rsid w:val="575435C3"/>
    <w:rsid w:val="58CA4CA4"/>
    <w:rsid w:val="59A70B1E"/>
    <w:rsid w:val="59E60318"/>
    <w:rsid w:val="5C8E7193"/>
    <w:rsid w:val="5CBC5F90"/>
    <w:rsid w:val="5E6D1153"/>
    <w:rsid w:val="5F83500A"/>
    <w:rsid w:val="60745B56"/>
    <w:rsid w:val="611076B5"/>
    <w:rsid w:val="61371BA7"/>
    <w:rsid w:val="641F097E"/>
    <w:rsid w:val="65236940"/>
    <w:rsid w:val="65C43C25"/>
    <w:rsid w:val="664A41B0"/>
    <w:rsid w:val="66D16D4F"/>
    <w:rsid w:val="66FE6113"/>
    <w:rsid w:val="6B874FA2"/>
    <w:rsid w:val="6C3C4515"/>
    <w:rsid w:val="6C485A2E"/>
    <w:rsid w:val="6C6B54E9"/>
    <w:rsid w:val="6CB322FE"/>
    <w:rsid w:val="6FD52562"/>
    <w:rsid w:val="70246EC1"/>
    <w:rsid w:val="70297EDE"/>
    <w:rsid w:val="70514092"/>
    <w:rsid w:val="70852420"/>
    <w:rsid w:val="71881FAB"/>
    <w:rsid w:val="7219312C"/>
    <w:rsid w:val="72DA6836"/>
    <w:rsid w:val="73125FD0"/>
    <w:rsid w:val="734F209E"/>
    <w:rsid w:val="763144FB"/>
    <w:rsid w:val="76DC35F5"/>
    <w:rsid w:val="7832658D"/>
    <w:rsid w:val="79074D5F"/>
    <w:rsid w:val="7A21330E"/>
    <w:rsid w:val="7AF745AA"/>
    <w:rsid w:val="7B7D06A6"/>
    <w:rsid w:val="7BBF6A6B"/>
    <w:rsid w:val="7CF23984"/>
    <w:rsid w:val="7D3D1E9B"/>
    <w:rsid w:val="7F066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4">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semiHidden/>
    <w:qFormat/>
    <w:uiPriority w:val="99"/>
    <w:pPr>
      <w:ind w:firstLine="420" w:firstLineChars="200"/>
    </w:p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2023-12-13T09:31:27Z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BF130E99586B4184A1D99CF11697C566_13</vt:lpwstr>
  </property>
</Properties>
</file>