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42" w:firstLineChars="100"/>
        <w:jc w:val="left"/>
        <w:rPr>
          <w:rFonts w:hint="eastAsia" w:ascii="宋体" w:hAnsi="宋体" w:eastAsia="宋体" w:cs="宋体"/>
          <w:b/>
          <w:bCs/>
          <w:i w:val="0"/>
          <w:iCs w:val="0"/>
          <w:caps w:val="0"/>
          <w:color w:val="auto"/>
          <w:spacing w:val="0"/>
          <w:kern w:val="44"/>
          <w:sz w:val="44"/>
          <w:szCs w:val="44"/>
          <w:shd w:val="clear" w:fill="FFFFFF"/>
          <w:lang w:val="en-US" w:eastAsia="zh-CN" w:bidi="ar"/>
        </w:rPr>
      </w:pPr>
      <w:r>
        <w:rPr>
          <w:rFonts w:hint="eastAsia" w:ascii="宋体" w:hAnsi="宋体" w:eastAsia="宋体" w:cs="宋体"/>
          <w:b/>
          <w:bCs/>
          <w:i w:val="0"/>
          <w:iCs w:val="0"/>
          <w:caps w:val="0"/>
          <w:color w:val="auto"/>
          <w:spacing w:val="0"/>
          <w:kern w:val="44"/>
          <w:sz w:val="44"/>
          <w:szCs w:val="44"/>
          <w:shd w:val="clear" w:fill="FFFFFF"/>
          <w:lang w:val="en-US" w:eastAsia="zh-CN" w:bidi="ar"/>
        </w:rPr>
        <w:t>北塔区委巡察工作领导小组办公室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auto"/>
          <w:spacing w:val="0"/>
          <w:sz w:val="44"/>
          <w:szCs w:val="44"/>
          <w:lang w:val="en-US" w:eastAsia="zh-CN"/>
        </w:rPr>
      </w:pPr>
      <w:r>
        <w:rPr>
          <w:i w:val="0"/>
          <w:iCs w:val="0"/>
          <w:caps w:val="0"/>
          <w:color w:val="auto"/>
          <w:spacing w:val="0"/>
          <w:sz w:val="44"/>
          <w:szCs w:val="44"/>
          <w:shd w:val="clear" w:fill="FFFFFF"/>
        </w:rPr>
        <w:t>202</w:t>
      </w:r>
      <w:r>
        <w:rPr>
          <w:rFonts w:hint="eastAsia"/>
          <w:i w:val="0"/>
          <w:iCs w:val="0"/>
          <w:caps w:val="0"/>
          <w:color w:val="auto"/>
          <w:spacing w:val="0"/>
          <w:sz w:val="44"/>
          <w:szCs w:val="44"/>
          <w:shd w:val="clear" w:fill="FFFFFF"/>
          <w:lang w:val="en-US" w:eastAsia="zh-CN"/>
        </w:rPr>
        <w:t>2</w:t>
      </w:r>
      <w:r>
        <w:rPr>
          <w:i w:val="0"/>
          <w:iCs w:val="0"/>
          <w:caps w:val="0"/>
          <w:color w:val="auto"/>
          <w:spacing w:val="0"/>
          <w:sz w:val="44"/>
          <w:szCs w:val="44"/>
          <w:shd w:val="clear" w:fill="FFFFFF"/>
        </w:rPr>
        <w:t>年度部门整体支出绩效评价报</w:t>
      </w:r>
      <w:r>
        <w:rPr>
          <w:rFonts w:hint="eastAsia"/>
          <w:i w:val="0"/>
          <w:iCs w:val="0"/>
          <w:caps w:val="0"/>
          <w:color w:val="auto"/>
          <w:spacing w:val="0"/>
          <w:sz w:val="44"/>
          <w:szCs w:val="44"/>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（一）机构设置及人员情况</w:t>
      </w:r>
    </w:p>
    <w:p>
      <w:pPr>
        <w:pStyle w:val="5"/>
        <w:keepNext w:val="0"/>
        <w:keepLines w:val="0"/>
        <w:widowControl/>
        <w:suppressLineNumbers w:val="0"/>
        <w:spacing w:before="0" w:beforeAutospacing="0" w:after="2" w:afterAutospacing="0"/>
        <w:ind w:left="0" w:right="0" w:firstLine="641"/>
        <w:rPr>
          <w:rFonts w:hint="default" w:eastAsia="宋体"/>
          <w:lang w:val="en-US" w:eastAsia="zh-CN"/>
        </w:rPr>
      </w:pPr>
      <w:r>
        <w:rPr>
          <w:rFonts w:hint="eastAsia" w:ascii="宋体" w:hAnsi="宋体" w:eastAsia="宋体" w:cs="宋体"/>
          <w:i w:val="0"/>
          <w:iCs w:val="0"/>
          <w:caps w:val="0"/>
          <w:color w:val="000000"/>
          <w:spacing w:val="0"/>
          <w:sz w:val="32"/>
          <w:szCs w:val="32"/>
        </w:rPr>
        <w:t>机构</w:t>
      </w:r>
      <w:r>
        <w:rPr>
          <w:rFonts w:hint="eastAsia" w:ascii="宋体" w:hAnsi="宋体" w:eastAsia="宋体" w:cs="宋体"/>
          <w:i w:val="0"/>
          <w:iCs w:val="0"/>
          <w:caps w:val="0"/>
          <w:color w:val="000000"/>
          <w:spacing w:val="0"/>
          <w:sz w:val="32"/>
          <w:szCs w:val="32"/>
          <w:lang w:eastAsia="zh-CN"/>
        </w:rPr>
        <w:t>设置情况</w:t>
      </w:r>
      <w:r>
        <w:rPr>
          <w:rFonts w:hint="eastAsia" w:ascii="宋体" w:hAnsi="宋体" w:eastAsia="宋体" w:cs="宋体"/>
          <w:i w:val="0"/>
          <w:iCs w:val="0"/>
          <w:caps w:val="0"/>
          <w:color w:val="000000"/>
          <w:spacing w:val="0"/>
          <w:sz w:val="32"/>
          <w:szCs w:val="32"/>
        </w:rPr>
        <w:t>：</w:t>
      </w:r>
      <w:r>
        <w:rPr>
          <w:rFonts w:hint="eastAsia" w:ascii="宋体" w:hAnsi="宋体" w:eastAsia="宋体" w:cs="宋体"/>
          <w:color w:val="000000"/>
          <w:kern w:val="2"/>
          <w:sz w:val="32"/>
          <w:szCs w:val="32"/>
        </w:rPr>
        <w:t>内设综合室和业务室</w:t>
      </w:r>
      <w:r>
        <w:rPr>
          <w:rFonts w:hint="eastAsia" w:ascii="宋体" w:hAnsi="宋体" w:eastAsia="宋体" w:cs="宋体"/>
          <w:color w:val="000000"/>
          <w:kern w:val="2"/>
          <w:sz w:val="32"/>
          <w:szCs w:val="32"/>
          <w:lang w:val="en-US" w:eastAsia="zh-CN"/>
        </w:rPr>
        <w:t>两个股室。</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i w:val="0"/>
          <w:iCs w:val="0"/>
          <w:caps w:val="0"/>
          <w:color w:val="000000"/>
          <w:spacing w:val="0"/>
          <w:sz w:val="32"/>
          <w:szCs w:val="32"/>
          <w:lang w:eastAsia="zh-CN"/>
        </w:rPr>
        <w:t>人员情况：</w:t>
      </w:r>
      <w:r>
        <w:rPr>
          <w:rFonts w:hint="eastAsia" w:ascii="宋体" w:hAnsi="宋体" w:eastAsia="宋体" w:cs="宋体"/>
          <w:color w:val="auto"/>
          <w:kern w:val="2"/>
          <w:sz w:val="32"/>
          <w:szCs w:val="32"/>
          <w:lang w:val="en-US" w:eastAsia="zh-CN" w:bidi="ar"/>
        </w:rPr>
        <w:t>本部门</w:t>
      </w:r>
      <w:r>
        <w:rPr>
          <w:rFonts w:hint="eastAsia" w:ascii="宋体" w:hAnsi="宋体" w:eastAsia="宋体" w:cs="宋体"/>
          <w:color w:val="000000"/>
          <w:kern w:val="2"/>
          <w:sz w:val="32"/>
          <w:szCs w:val="32"/>
        </w:rPr>
        <w:t>共有编制人数13人，实有人数9人</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p>
    <w:p>
      <w:pPr>
        <w:numPr>
          <w:ilvl w:val="0"/>
          <w:numId w:val="0"/>
        </w:numPr>
        <w:spacing w:line="480" w:lineRule="auto"/>
        <w:ind w:firstLine="643" w:firstLineChars="200"/>
        <w:jc w:val="left"/>
        <w:rPr>
          <w:color w:val="auto"/>
        </w:rPr>
      </w:pPr>
      <w:r>
        <w:rPr>
          <w:rFonts w:hint="eastAsia" w:ascii="宋体" w:hAnsi="宋体" w:eastAsia="宋体" w:cs="宋体"/>
          <w:b/>
          <w:bCs/>
          <w:i w:val="0"/>
          <w:iCs w:val="0"/>
          <w:caps w:val="0"/>
          <w:color w:val="auto"/>
          <w:spacing w:val="0"/>
          <w:sz w:val="32"/>
          <w:szCs w:val="32"/>
          <w:shd w:val="clear" w:fill="FFFFFF"/>
          <w:lang w:val="en-US" w:eastAsia="zh-CN"/>
        </w:rPr>
        <w:t>（二）主要工作职责</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1、</w:t>
      </w:r>
      <w:r>
        <w:rPr>
          <w:rFonts w:hint="eastAsia" w:ascii="宋体" w:hAnsi="宋体" w:eastAsia="宋体" w:cs="宋体"/>
          <w:color w:val="000000"/>
          <w:kern w:val="2"/>
          <w:sz w:val="32"/>
          <w:szCs w:val="32"/>
        </w:rPr>
        <w:t>向区委巡察工作领导小组报告工作情况，传达贯彻中央、省委、市委巡视巡察工作的决策和部署。</w:t>
      </w:r>
      <w:r>
        <w:rPr>
          <w:rFonts w:ascii="等线" w:hAnsi="等线" w:eastAsia="等线" w:cs="Times New Roman"/>
          <w:color w:val="000000"/>
          <w:kern w:val="2"/>
          <w:sz w:val="32"/>
          <w:szCs w:val="32"/>
        </w:rPr>
        <w:t> </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2、</w:t>
      </w:r>
      <w:r>
        <w:rPr>
          <w:rFonts w:hint="eastAsia" w:ascii="宋体" w:hAnsi="宋体" w:eastAsia="宋体" w:cs="宋体"/>
          <w:color w:val="000000"/>
          <w:kern w:val="2"/>
          <w:sz w:val="32"/>
          <w:szCs w:val="32"/>
        </w:rPr>
        <w:t>承担上级巡视组、巡察组对我区开展巡视、巡察工作的协调配合和联络服务等工作。</w:t>
      </w:r>
      <w:r>
        <w:rPr>
          <w:rFonts w:hint="eastAsia" w:ascii="等线" w:hAnsi="等线" w:eastAsia="等线" w:cs="Times New Roman"/>
          <w:color w:val="000000"/>
          <w:kern w:val="2"/>
          <w:sz w:val="32"/>
          <w:szCs w:val="32"/>
        </w:rPr>
        <w:t> </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3、</w:t>
      </w:r>
      <w:r>
        <w:rPr>
          <w:rFonts w:hint="eastAsia" w:ascii="宋体" w:hAnsi="宋体" w:eastAsia="宋体" w:cs="宋体"/>
          <w:color w:val="000000"/>
          <w:kern w:val="2"/>
          <w:sz w:val="32"/>
          <w:szCs w:val="32"/>
        </w:rPr>
        <w:t>统筹、协调、指导区委巡察组开展工作。组建、充实、调整巡察人才库，培训库中人员，受理干部群众对巡察工作人员的举报和反映，提出处理意见。</w:t>
      </w:r>
      <w:r>
        <w:rPr>
          <w:rFonts w:hint="eastAsia" w:ascii="等线" w:hAnsi="等线" w:eastAsia="等线" w:cs="Times New Roman"/>
          <w:color w:val="000000"/>
          <w:kern w:val="2"/>
          <w:sz w:val="32"/>
          <w:szCs w:val="32"/>
        </w:rPr>
        <w:t> </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4、</w:t>
      </w:r>
      <w:r>
        <w:rPr>
          <w:rFonts w:hint="eastAsia" w:ascii="宋体" w:hAnsi="宋体" w:eastAsia="宋体" w:cs="宋体"/>
          <w:color w:val="000000"/>
          <w:kern w:val="2"/>
          <w:sz w:val="32"/>
          <w:szCs w:val="32"/>
        </w:rPr>
        <w:t>拟写巡察规划、年度和阶段性计划，负责巡察制度建设、问题线索分流督办、巡察档案管理、综合协调、巡察信息处理和宣传公开等工作。</w:t>
      </w:r>
      <w:r>
        <w:rPr>
          <w:rFonts w:hint="eastAsia" w:ascii="等线" w:hAnsi="等线" w:eastAsia="等线" w:cs="Times New Roman"/>
          <w:color w:val="000000"/>
          <w:kern w:val="2"/>
          <w:sz w:val="32"/>
          <w:szCs w:val="32"/>
        </w:rPr>
        <w:t> </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5、</w:t>
      </w:r>
      <w:r>
        <w:rPr>
          <w:rFonts w:hint="eastAsia" w:ascii="宋体" w:hAnsi="宋体" w:eastAsia="宋体" w:cs="宋体"/>
          <w:color w:val="000000"/>
          <w:kern w:val="2"/>
          <w:sz w:val="32"/>
          <w:szCs w:val="32"/>
        </w:rPr>
        <w:t>督促检查被巡察单位整改落实反馈的问题。</w:t>
      </w:r>
      <w:r>
        <w:rPr>
          <w:rFonts w:hint="eastAsia" w:ascii="等线" w:hAnsi="等线" w:eastAsia="等线" w:cs="Times New Roman"/>
          <w:color w:val="000000"/>
          <w:kern w:val="2"/>
          <w:sz w:val="32"/>
          <w:szCs w:val="32"/>
        </w:rPr>
        <w:t> </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6、</w:t>
      </w:r>
      <w:r>
        <w:rPr>
          <w:rFonts w:hint="eastAsia" w:ascii="宋体" w:hAnsi="宋体" w:eastAsia="宋体" w:cs="宋体"/>
          <w:color w:val="000000"/>
          <w:kern w:val="2"/>
          <w:sz w:val="32"/>
          <w:szCs w:val="32"/>
        </w:rPr>
        <w:t>对区委、区委巡察工作领导小组决定的事项及上级巡视、巡察移交事项进行督查督办和情况反馈。</w:t>
      </w:r>
      <w:r>
        <w:rPr>
          <w:rFonts w:hint="eastAsia" w:ascii="等线" w:hAnsi="等线" w:eastAsia="等线" w:cs="Times New Roman"/>
          <w:color w:val="000000"/>
          <w:kern w:val="2"/>
          <w:sz w:val="32"/>
          <w:szCs w:val="32"/>
        </w:rPr>
        <w:t> </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7、</w:t>
      </w:r>
      <w:r>
        <w:rPr>
          <w:rFonts w:hint="eastAsia" w:ascii="宋体" w:hAnsi="宋体" w:eastAsia="宋体" w:cs="宋体"/>
          <w:color w:val="000000"/>
          <w:kern w:val="2"/>
          <w:sz w:val="32"/>
          <w:szCs w:val="32"/>
        </w:rPr>
        <w:t>办理区委及领导小组交办的其他事项。</w:t>
      </w:r>
      <w:r>
        <w:rPr>
          <w:rFonts w:hint="eastAsia" w:ascii="等线" w:hAnsi="等线" w:eastAsia="等线" w:cs="Times New Roman"/>
          <w:color w:val="000000"/>
          <w:kern w:val="2"/>
          <w:sz w:val="32"/>
          <w:szCs w:val="32"/>
        </w:rPr>
        <w:t> </w:t>
      </w:r>
    </w:p>
    <w:p>
      <w:pPr>
        <w:numPr>
          <w:ilvl w:val="0"/>
          <w:numId w:val="0"/>
        </w:numPr>
        <w:spacing w:line="480" w:lineRule="auto"/>
        <w:jc w:val="left"/>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（一）预算执行情况</w:t>
      </w:r>
    </w:p>
    <w:p>
      <w:pPr>
        <w:spacing w:line="480" w:lineRule="auto"/>
        <w:ind w:firstLine="640" w:firstLineChars="200"/>
        <w:jc w:val="left"/>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kern w:val="2"/>
          <w:sz w:val="32"/>
          <w:szCs w:val="32"/>
          <w:lang w:val="en-US" w:eastAsia="zh-CN" w:bidi="ar"/>
        </w:rPr>
        <w:t>2022年本部门全年预算数166.79万元，本年实际支出</w:t>
      </w:r>
      <w:r>
        <w:rPr>
          <w:rFonts w:hint="eastAsia" w:ascii="宋体" w:hAnsi="宋体" w:eastAsia="宋体" w:cs="宋体"/>
          <w:i w:val="0"/>
          <w:iCs w:val="0"/>
          <w:caps w:val="0"/>
          <w:color w:val="000000"/>
          <w:spacing w:val="0"/>
          <w:sz w:val="32"/>
          <w:szCs w:val="32"/>
          <w:lang w:val="en-US" w:eastAsia="zh-CN"/>
        </w:rPr>
        <w:t>183.53</w:t>
      </w:r>
      <w:r>
        <w:rPr>
          <w:rFonts w:hint="eastAsia" w:ascii="宋体" w:hAnsi="宋体" w:eastAsia="宋体" w:cs="宋体"/>
          <w:i w:val="0"/>
          <w:iCs w:val="0"/>
          <w:caps w:val="0"/>
          <w:color w:val="000000"/>
          <w:spacing w:val="0"/>
          <w:sz w:val="32"/>
          <w:szCs w:val="32"/>
        </w:rPr>
        <w:t>万元</w:t>
      </w:r>
      <w:r>
        <w:rPr>
          <w:rFonts w:hint="eastAsia" w:ascii="宋体" w:hAnsi="宋体" w:eastAsia="宋体" w:cs="宋体"/>
          <w:i w:val="0"/>
          <w:iCs w:val="0"/>
          <w:caps w:val="0"/>
          <w:color w:val="000000"/>
          <w:spacing w:val="0"/>
          <w:sz w:val="32"/>
          <w:szCs w:val="32"/>
          <w:lang w:eastAsia="zh-CN"/>
        </w:rPr>
        <w:t>，完成全年预算的</w:t>
      </w:r>
      <w:r>
        <w:rPr>
          <w:rFonts w:hint="eastAsia" w:ascii="宋体" w:hAnsi="宋体" w:eastAsia="宋体" w:cs="宋体"/>
          <w:i w:val="0"/>
          <w:iCs w:val="0"/>
          <w:caps w:val="0"/>
          <w:color w:val="000000"/>
          <w:spacing w:val="0"/>
          <w:sz w:val="32"/>
          <w:szCs w:val="32"/>
          <w:lang w:val="en-US" w:eastAsia="zh-CN"/>
        </w:rPr>
        <w:t>110.04%</w:t>
      </w:r>
      <w:r>
        <w:rPr>
          <w:rFonts w:hint="eastAsia" w:ascii="宋体" w:hAnsi="宋体" w:eastAsia="宋体" w:cs="宋体"/>
          <w:i w:val="0"/>
          <w:iCs w:val="0"/>
          <w:caps w:val="0"/>
          <w:color w:val="000000"/>
          <w:spacing w:val="0"/>
          <w:sz w:val="32"/>
          <w:szCs w:val="32"/>
        </w:rPr>
        <w:t>。与上一年度相比，</w:t>
      </w:r>
      <w:r>
        <w:rPr>
          <w:rFonts w:hint="eastAsia" w:ascii="宋体" w:hAnsi="宋体" w:eastAsia="宋体" w:cs="宋体"/>
          <w:i w:val="0"/>
          <w:iCs w:val="0"/>
          <w:caps w:val="0"/>
          <w:color w:val="000000"/>
          <w:spacing w:val="0"/>
          <w:sz w:val="32"/>
          <w:szCs w:val="32"/>
          <w:lang w:eastAsia="zh-CN"/>
        </w:rPr>
        <w:t>实际支出</w:t>
      </w:r>
      <w:r>
        <w:rPr>
          <w:rFonts w:hint="eastAsia" w:ascii="宋体" w:hAnsi="宋体" w:eastAsia="宋体" w:cs="宋体"/>
          <w:i w:val="0"/>
          <w:iCs w:val="0"/>
          <w:caps w:val="0"/>
          <w:color w:val="000000"/>
          <w:spacing w:val="0"/>
          <w:sz w:val="32"/>
          <w:szCs w:val="32"/>
          <w:lang w:val="en-US" w:eastAsia="zh-CN"/>
        </w:rPr>
        <w:t>增加18.35</w:t>
      </w:r>
      <w:r>
        <w:rPr>
          <w:rFonts w:hint="eastAsia" w:ascii="宋体" w:hAnsi="宋体" w:eastAsia="宋体" w:cs="宋体"/>
          <w:i w:val="0"/>
          <w:iCs w:val="0"/>
          <w:caps w:val="0"/>
          <w:color w:val="000000"/>
          <w:spacing w:val="0"/>
          <w:sz w:val="32"/>
          <w:szCs w:val="32"/>
        </w:rPr>
        <w:t>万元，</w:t>
      </w:r>
      <w:r>
        <w:rPr>
          <w:rFonts w:hint="eastAsia" w:ascii="宋体" w:hAnsi="宋体" w:eastAsia="宋体" w:cs="宋体"/>
          <w:i w:val="0"/>
          <w:iCs w:val="0"/>
          <w:caps w:val="0"/>
          <w:color w:val="000000"/>
          <w:spacing w:val="0"/>
          <w:sz w:val="32"/>
          <w:szCs w:val="32"/>
          <w:lang w:val="en-US" w:eastAsia="zh-CN"/>
        </w:rPr>
        <w:t>上升11.11</w:t>
      </w:r>
      <w:r>
        <w:rPr>
          <w:rFonts w:hint="eastAsia" w:ascii="宋体" w:hAnsi="宋体" w:eastAsia="宋体" w:cs="宋体"/>
          <w:i w:val="0"/>
          <w:iCs w:val="0"/>
          <w:caps w:val="0"/>
          <w:color w:val="000000"/>
          <w:spacing w:val="0"/>
          <w:sz w:val="32"/>
          <w:szCs w:val="32"/>
        </w:rPr>
        <w:t>%。主要原因是</w:t>
      </w:r>
      <w:r>
        <w:rPr>
          <w:rFonts w:hint="eastAsia" w:ascii="宋体" w:hAnsi="宋体" w:eastAsia="宋体" w:cs="宋体"/>
          <w:i w:val="0"/>
          <w:iCs w:val="0"/>
          <w:caps w:val="0"/>
          <w:color w:val="000000"/>
          <w:spacing w:val="0"/>
          <w:sz w:val="32"/>
          <w:szCs w:val="32"/>
          <w:lang w:val="en-US" w:eastAsia="zh-CN"/>
        </w:rPr>
        <w:t>人员经费和公用经费的增加。</w:t>
      </w:r>
    </w:p>
    <w:p>
      <w:pPr>
        <w:spacing w:line="480" w:lineRule="auto"/>
        <w:ind w:firstLine="640" w:firstLineChars="20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2022年度收入合计</w:t>
      </w:r>
      <w:r>
        <w:rPr>
          <w:rFonts w:hint="eastAsia" w:ascii="宋体" w:hAnsi="宋体" w:eastAsia="宋体" w:cs="宋体"/>
          <w:i w:val="0"/>
          <w:iCs w:val="0"/>
          <w:caps w:val="0"/>
          <w:color w:val="000000"/>
          <w:spacing w:val="0"/>
          <w:sz w:val="32"/>
          <w:szCs w:val="32"/>
          <w:lang w:val="en-US" w:eastAsia="zh-CN"/>
        </w:rPr>
        <w:t>183.53</w:t>
      </w:r>
      <w:r>
        <w:rPr>
          <w:rFonts w:hint="eastAsia" w:ascii="宋体" w:hAnsi="宋体" w:eastAsia="宋体" w:cs="宋体"/>
          <w:i w:val="0"/>
          <w:iCs w:val="0"/>
          <w:caps w:val="0"/>
          <w:color w:val="000000"/>
          <w:spacing w:val="0"/>
          <w:sz w:val="32"/>
          <w:szCs w:val="32"/>
        </w:rPr>
        <w:t>万元，其中：财政拨款收入</w:t>
      </w:r>
      <w:r>
        <w:rPr>
          <w:rFonts w:hint="eastAsia" w:ascii="宋体" w:hAnsi="宋体" w:eastAsia="宋体" w:cs="宋体"/>
          <w:i w:val="0"/>
          <w:iCs w:val="0"/>
          <w:caps w:val="0"/>
          <w:color w:val="000000"/>
          <w:spacing w:val="0"/>
          <w:sz w:val="32"/>
          <w:szCs w:val="32"/>
          <w:lang w:val="en-US" w:eastAsia="zh-CN"/>
        </w:rPr>
        <w:t>175.13</w:t>
      </w:r>
      <w:r>
        <w:rPr>
          <w:rFonts w:hint="eastAsia" w:ascii="宋体" w:hAnsi="宋体" w:eastAsia="宋体" w:cs="宋体"/>
          <w:i w:val="0"/>
          <w:iCs w:val="0"/>
          <w:caps w:val="0"/>
          <w:color w:val="000000"/>
          <w:spacing w:val="0"/>
          <w:sz w:val="32"/>
          <w:szCs w:val="32"/>
        </w:rPr>
        <w:t>万元，占</w:t>
      </w:r>
      <w:r>
        <w:rPr>
          <w:rFonts w:hint="eastAsia" w:ascii="宋体" w:hAnsi="宋体" w:eastAsia="宋体" w:cs="宋体"/>
          <w:i w:val="0"/>
          <w:iCs w:val="0"/>
          <w:caps w:val="0"/>
          <w:color w:val="000000"/>
          <w:spacing w:val="0"/>
          <w:sz w:val="32"/>
          <w:szCs w:val="32"/>
          <w:lang w:val="en-US" w:eastAsia="zh-CN"/>
        </w:rPr>
        <w:t>95.42</w:t>
      </w:r>
      <w:r>
        <w:rPr>
          <w:rFonts w:hint="eastAsia" w:ascii="宋体" w:hAnsi="宋体" w:eastAsia="宋体" w:cs="宋体"/>
          <w:i w:val="0"/>
          <w:iCs w:val="0"/>
          <w:caps w:val="0"/>
          <w:color w:val="000000"/>
          <w:spacing w:val="0"/>
          <w:sz w:val="32"/>
          <w:szCs w:val="32"/>
        </w:rPr>
        <w:t>%；上级补助收入0万元，占0%；事业收入0万元，占0%；经营收入0万元，占0%；附属单位上缴收入0万元，占0%；其他收入</w:t>
      </w:r>
      <w:r>
        <w:rPr>
          <w:rFonts w:hint="eastAsia" w:ascii="宋体" w:hAnsi="宋体" w:eastAsia="宋体" w:cs="宋体"/>
          <w:i w:val="0"/>
          <w:iCs w:val="0"/>
          <w:caps w:val="0"/>
          <w:color w:val="000000"/>
          <w:spacing w:val="0"/>
          <w:sz w:val="32"/>
          <w:szCs w:val="32"/>
          <w:lang w:val="en-US" w:eastAsia="zh-CN"/>
        </w:rPr>
        <w:t>8.40</w:t>
      </w:r>
      <w:r>
        <w:rPr>
          <w:rFonts w:hint="eastAsia" w:ascii="宋体" w:hAnsi="宋体" w:eastAsia="宋体" w:cs="宋体"/>
          <w:i w:val="0"/>
          <w:iCs w:val="0"/>
          <w:caps w:val="0"/>
          <w:color w:val="000000"/>
          <w:spacing w:val="0"/>
          <w:sz w:val="32"/>
          <w:szCs w:val="32"/>
        </w:rPr>
        <w:t>万元，占</w:t>
      </w:r>
      <w:r>
        <w:rPr>
          <w:rFonts w:hint="eastAsia" w:ascii="宋体" w:hAnsi="宋体" w:eastAsia="宋体" w:cs="宋体"/>
          <w:i w:val="0"/>
          <w:iCs w:val="0"/>
          <w:caps w:val="0"/>
          <w:color w:val="000000"/>
          <w:spacing w:val="0"/>
          <w:sz w:val="32"/>
          <w:szCs w:val="32"/>
          <w:lang w:val="en-US" w:eastAsia="zh-CN"/>
        </w:rPr>
        <w:t>4.58</w:t>
      </w:r>
      <w:r>
        <w:rPr>
          <w:rFonts w:hint="eastAsia" w:ascii="宋体" w:hAnsi="宋体" w:eastAsia="宋体" w:cs="宋体"/>
          <w:i w:val="0"/>
          <w:iCs w:val="0"/>
          <w:caps w:val="0"/>
          <w:color w:val="000000"/>
          <w:spacing w:val="0"/>
          <w:sz w:val="32"/>
          <w:szCs w:val="32"/>
        </w:rPr>
        <w:t>%</w:t>
      </w:r>
    </w:p>
    <w:p>
      <w:pPr>
        <w:spacing w:line="480" w:lineRule="auto"/>
        <w:ind w:firstLine="640" w:firstLineChars="200"/>
        <w:jc w:val="left"/>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rPr>
        <w:t>2022年度支出合计</w:t>
      </w:r>
      <w:r>
        <w:rPr>
          <w:rFonts w:hint="eastAsia" w:ascii="宋体" w:hAnsi="宋体" w:eastAsia="宋体" w:cs="宋体"/>
          <w:i w:val="0"/>
          <w:iCs w:val="0"/>
          <w:caps w:val="0"/>
          <w:color w:val="000000"/>
          <w:spacing w:val="0"/>
          <w:sz w:val="32"/>
          <w:szCs w:val="32"/>
          <w:lang w:val="en-US" w:eastAsia="zh-CN"/>
        </w:rPr>
        <w:t>183.53</w:t>
      </w:r>
      <w:r>
        <w:rPr>
          <w:rFonts w:hint="eastAsia" w:ascii="宋体" w:hAnsi="宋体" w:eastAsia="宋体" w:cs="宋体"/>
          <w:i w:val="0"/>
          <w:iCs w:val="0"/>
          <w:caps w:val="0"/>
          <w:color w:val="000000"/>
          <w:spacing w:val="0"/>
          <w:sz w:val="32"/>
          <w:szCs w:val="32"/>
        </w:rPr>
        <w:t>万元，其中：基本支出</w:t>
      </w:r>
      <w:r>
        <w:rPr>
          <w:rFonts w:hint="eastAsia" w:ascii="宋体" w:hAnsi="宋体" w:eastAsia="宋体" w:cs="宋体"/>
          <w:i w:val="0"/>
          <w:iCs w:val="0"/>
          <w:caps w:val="0"/>
          <w:color w:val="000000"/>
          <w:spacing w:val="0"/>
          <w:sz w:val="32"/>
          <w:szCs w:val="32"/>
          <w:lang w:val="en-US" w:eastAsia="zh-CN"/>
        </w:rPr>
        <w:t>183.53</w:t>
      </w:r>
      <w:r>
        <w:rPr>
          <w:rFonts w:hint="eastAsia" w:ascii="宋体" w:hAnsi="宋体" w:eastAsia="宋体" w:cs="宋体"/>
          <w:i w:val="0"/>
          <w:iCs w:val="0"/>
          <w:caps w:val="0"/>
          <w:color w:val="000000"/>
          <w:spacing w:val="0"/>
          <w:sz w:val="32"/>
          <w:szCs w:val="32"/>
        </w:rPr>
        <w:t>万元，占100%；项目支出0万元，占0%；上缴上级支出0万元，占0%；经营支出0万元，占0%；对附属单位补助支出0万元，占0%。</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（二）基本支出情况</w:t>
      </w:r>
    </w:p>
    <w:p>
      <w:p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2022年度北塔区委巡察办基本支出年初预算安排为121.79万元，本年实际支出为183.53万元，主要为人员经费支出和公用经费支出，其中人员经费支出110.68万元、公用经费支出72.85万元。</w:t>
      </w:r>
    </w:p>
    <w:p>
      <w:pPr>
        <w:numPr>
          <w:ilvl w:val="0"/>
          <w:numId w:val="1"/>
        </w:numPr>
        <w:spacing w:line="480" w:lineRule="auto"/>
        <w:ind w:left="0" w:leftChars="0"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项目支出情况</w:t>
      </w:r>
    </w:p>
    <w:p>
      <w:pPr>
        <w:numPr>
          <w:ilvl w:val="0"/>
          <w:numId w:val="0"/>
        </w:num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本年项目支出年初预算安排为45万元，本年实际支出为0万元，本部门2022年度无项目支出。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43" w:firstLineChars="200"/>
        <w:jc w:val="both"/>
        <w:rPr>
          <w:rFonts w:hint="eastAsia" w:ascii="宋体" w:hAnsi="宋体" w:eastAsia="宋体" w:cs="宋体"/>
          <w:b/>
          <w:bCs/>
          <w:i w:val="0"/>
          <w:iCs w:val="0"/>
          <w:caps w:val="0"/>
          <w:color w:val="auto"/>
          <w:spacing w:val="0"/>
          <w:sz w:val="32"/>
          <w:szCs w:val="32"/>
          <w:highlight w:val="none"/>
          <w:shd w:val="clear" w:fill="FFFFFF"/>
        </w:rPr>
      </w:pPr>
      <w:r>
        <w:rPr>
          <w:rFonts w:hint="eastAsia" w:ascii="宋体" w:hAnsi="宋体" w:eastAsia="宋体" w:cs="宋体"/>
          <w:b/>
          <w:bCs/>
          <w:i w:val="0"/>
          <w:iCs w:val="0"/>
          <w:caps w:val="0"/>
          <w:color w:val="auto"/>
          <w:spacing w:val="0"/>
          <w:sz w:val="32"/>
          <w:szCs w:val="32"/>
          <w:highlight w:val="none"/>
          <w:shd w:val="clear" w:fill="FFFFFF"/>
          <w:lang w:val="en-US" w:eastAsia="zh-CN"/>
        </w:rPr>
        <w:t>三</w:t>
      </w:r>
      <w:r>
        <w:rPr>
          <w:rFonts w:hint="eastAsia" w:ascii="宋体" w:hAnsi="宋体" w:eastAsia="宋体" w:cs="宋体"/>
          <w:b/>
          <w:bCs/>
          <w:i w:val="0"/>
          <w:iCs w:val="0"/>
          <w:caps w:val="0"/>
          <w:color w:val="auto"/>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32"/>
          <w:szCs w:val="32"/>
          <w:highlight w:val="none"/>
          <w:shd w:val="clear" w:fill="FFFFFF"/>
        </w:rPr>
      </w:pPr>
      <w:r>
        <w:rPr>
          <w:rFonts w:hint="eastAsia" w:ascii="宋体" w:hAnsi="宋体" w:eastAsia="宋体" w:cs="宋体"/>
          <w:b/>
          <w:bCs/>
          <w:i w:val="0"/>
          <w:iCs w:val="0"/>
          <w:caps w:val="0"/>
          <w:color w:val="auto"/>
          <w:spacing w:val="0"/>
          <w:sz w:val="32"/>
          <w:szCs w:val="32"/>
          <w:highlight w:val="none"/>
          <w:shd w:val="clear" w:fill="FFFFFF"/>
        </w:rPr>
        <w:t>1、预算执行情况。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default"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⑴2022年财政拨款预算执行数183.53万元，预算安排数166.79万元，预算执行率为110.04%；当年预算有超支16.74万元。⑵公用经费预算64.73万元，实际支出72.85万元，公用经费控制率为112.54%；（3）“三公经费”年初预算安排0万元，实际支出0万元，（4）政府采购年初预算5万元，实际政府采购金额16.15万元，政府采购执行率真323%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2、预决算信息公开情况。</w:t>
      </w:r>
      <w:r>
        <w:rPr>
          <w:rFonts w:hint="eastAsia" w:ascii="宋体" w:hAnsi="宋体" w:eastAsia="宋体" w:cs="宋体"/>
          <w:b w:val="0"/>
          <w:bCs w:val="0"/>
          <w:i w:val="0"/>
          <w:iCs w:val="0"/>
          <w:caps w:val="0"/>
          <w:color w:val="auto"/>
          <w:spacing w:val="0"/>
          <w:sz w:val="32"/>
          <w:szCs w:val="32"/>
          <w:highlight w:val="none"/>
          <w:shd w:val="clear" w:fill="FFFFFF"/>
          <w:lang w:eastAsia="zh-CN"/>
        </w:rPr>
        <w:t>北塔区</w:t>
      </w:r>
      <w:r>
        <w:rPr>
          <w:rFonts w:hint="eastAsia" w:ascii="宋体" w:hAnsi="宋体" w:eastAsia="宋体" w:cs="宋体"/>
          <w:b w:val="0"/>
          <w:bCs w:val="0"/>
          <w:i w:val="0"/>
          <w:iCs w:val="0"/>
          <w:caps w:val="0"/>
          <w:color w:val="auto"/>
          <w:spacing w:val="0"/>
          <w:sz w:val="32"/>
          <w:szCs w:val="32"/>
          <w:highlight w:val="none"/>
          <w:shd w:val="clear" w:fill="FFFFFF"/>
          <w:lang w:val="en-US" w:eastAsia="zh-CN"/>
        </w:rPr>
        <w:t>委巡察办</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及时在区政</w:t>
      </w:r>
      <w:r>
        <w:rPr>
          <w:rFonts w:hint="eastAsia" w:ascii="宋体" w:hAnsi="宋体" w:eastAsia="宋体" w:cs="宋体"/>
          <w:i w:val="0"/>
          <w:iCs w:val="0"/>
          <w:caps w:val="0"/>
          <w:color w:val="auto"/>
          <w:spacing w:val="0"/>
          <w:kern w:val="2"/>
          <w:sz w:val="32"/>
          <w:szCs w:val="32"/>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shd w:val="clear" w:fill="FFFFFF"/>
          <w:lang w:val="en-US" w:eastAsia="zh-CN"/>
        </w:rPr>
        <w:t>3</w:t>
      </w:r>
      <w:r>
        <w:rPr>
          <w:rFonts w:hint="eastAsia" w:ascii="宋体" w:hAnsi="宋体" w:eastAsia="宋体" w:cs="宋体"/>
          <w:b/>
          <w:bCs/>
          <w:i w:val="0"/>
          <w:iCs w:val="0"/>
          <w:caps w:val="0"/>
          <w:color w:val="auto"/>
          <w:spacing w:val="0"/>
          <w:sz w:val="32"/>
          <w:szCs w:val="32"/>
          <w:shd w:val="clear" w:fill="FFFFFF"/>
        </w:rPr>
        <w:t>、资产管理情况。</w:t>
      </w:r>
      <w:r>
        <w:rPr>
          <w:rFonts w:hint="eastAsia" w:ascii="宋体" w:hAnsi="宋体" w:eastAsia="宋体" w:cs="宋体"/>
          <w:i w:val="0"/>
          <w:iCs w:val="0"/>
          <w:caps w:val="0"/>
          <w:color w:val="auto"/>
          <w:spacing w:val="0"/>
          <w:kern w:val="2"/>
          <w:sz w:val="32"/>
          <w:szCs w:val="32"/>
          <w:shd w:val="clear" w:fill="FFFFFF"/>
          <w:lang w:val="en-US" w:eastAsia="zh-CN" w:bidi="ar-SA"/>
        </w:rPr>
        <w:t>截止2022年12月31日，</w:t>
      </w:r>
      <w:r>
        <w:rPr>
          <w:rFonts w:hint="eastAsia" w:ascii="宋体" w:hAnsi="宋体" w:eastAsia="宋体" w:cs="宋体"/>
          <w:color w:val="auto"/>
          <w:sz w:val="32"/>
          <w:szCs w:val="32"/>
          <w:lang w:eastAsia="zh-CN"/>
        </w:rPr>
        <w:t>北塔区</w:t>
      </w:r>
      <w:r>
        <w:rPr>
          <w:rFonts w:hint="eastAsia" w:ascii="宋体" w:hAnsi="宋体" w:eastAsia="宋体" w:cs="宋体"/>
          <w:color w:val="auto"/>
          <w:sz w:val="32"/>
          <w:szCs w:val="32"/>
          <w:lang w:val="en-US" w:eastAsia="zh-CN"/>
        </w:rPr>
        <w:t>委巡察办</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拥有各类资产总额9.65万元，其中流动资产0万元，固定资产净值9.65万元。单位为加强资产管理，内部制定了资产管理制度，</w:t>
      </w:r>
      <w:r>
        <w:rPr>
          <w:rFonts w:hint="eastAsia" w:ascii="宋体" w:hAnsi="宋体" w:eastAsia="宋体" w:cs="宋体"/>
          <w:i w:val="0"/>
          <w:iCs w:val="0"/>
          <w:caps w:val="0"/>
          <w:color w:val="auto"/>
          <w:spacing w:val="0"/>
          <w:kern w:val="2"/>
          <w:sz w:val="32"/>
          <w:szCs w:val="32"/>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预算执行</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预算管理</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为规范机关财务管理，建立健全财务管理制度，我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根据《会计法》、《预算法》、《政府会计准则》等法律和财政部、省财政厅有关财务规章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提升支出绩效</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202</w:t>
      </w: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年，我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全面落实区委、区政府的各项工作部署，牢固树立发展意识，大力弘扬实干精神，扎实推进各项工作，各项工作任务全面完成，财务管理规范，单位行政运行稳定有序。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i w:val="0"/>
          <w:iCs w:val="0"/>
          <w:caps w:val="0"/>
          <w:color w:val="auto"/>
          <w:spacing w:val="0"/>
          <w:kern w:val="2"/>
          <w:sz w:val="32"/>
          <w:szCs w:val="32"/>
          <w:shd w:val="clear" w:fill="FFFFFF"/>
          <w:lang w:val="en-US" w:eastAsia="zh-CN" w:bidi="ar-SA"/>
        </w:rPr>
      </w:pPr>
      <w:r>
        <w:rPr>
          <w:rFonts w:hint="eastAsia" w:ascii="宋体" w:hAnsi="宋体" w:eastAsia="宋体" w:cs="宋体"/>
          <w:b w:val="0"/>
          <w:bCs w:val="0"/>
          <w:sz w:val="32"/>
          <w:szCs w:val="32"/>
          <w:lang w:val="en-US" w:eastAsia="zh-CN"/>
        </w:rPr>
        <w:t>4、</w:t>
      </w:r>
      <w:r>
        <w:rPr>
          <w:rFonts w:hint="eastAsia" w:ascii="宋体" w:hAnsi="宋体" w:eastAsia="宋体" w:cs="宋体"/>
          <w:b w:val="0"/>
          <w:bCs w:val="0"/>
          <w:sz w:val="32"/>
          <w:szCs w:val="32"/>
        </w:rPr>
        <w:t>评价结论</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认真组织开展整体支出绩效自评，自评等级“良好”。</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存在的问题及原因分析</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预算编制不够明确和细化，预算编制的合理性需要提高，预算执行力还要进一步加强。资金使用效益有待进一步提高，绩效目标设立不够明确、细化和量化。</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人员素质有待提高。由于人员变动，单位对相关绩效管理业务的熟练，加上缺乏系统的培训，业务操作水平有限。</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firstLine="420" w:firstLineChars="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改进措施及有关建议</w:t>
      </w:r>
    </w:p>
    <w:p>
      <w:pPr>
        <w:widowControl/>
        <w:spacing w:line="600" w:lineRule="exact"/>
        <w:ind w:firstLine="645"/>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（一）1、细化预算编制工作，认真做好预算的编制。进一步加强内设机构的预算管理意识，严格按照预算编制的相关制度和要求进行预算编制。</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加强政策学习，提高思想认识。组织相关人员认真学习《会计法》、《预算法》等相关法规、制度，提高业务人员的业务水平及思想认识，为绩效评价工作夯实基础。</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7"/>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w:t>
            </w:r>
            <w:r>
              <w:rPr>
                <w:rFonts w:hint="eastAsia" w:ascii="仿宋_GB2312" w:hAnsi="宋体" w:eastAsia="仿宋_GB2312" w:cs="宋体"/>
                <w:kern w:val="0"/>
                <w:sz w:val="20"/>
                <w:szCs w:val="20"/>
                <w:lang w:eastAsia="zh-CN"/>
              </w:rPr>
              <w:t>办</w:t>
            </w:r>
            <w:r>
              <w:rPr>
                <w:rFonts w:hint="eastAsia" w:ascii="仿宋_GB2312" w:hAnsi="宋体" w:eastAsia="仿宋_GB2312" w:cs="宋体"/>
                <w:kern w:val="0"/>
                <w:sz w:val="20"/>
                <w:szCs w:val="20"/>
              </w:rPr>
              <w:t>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9192" w:type="dxa"/>
            <w:gridSpan w:val="6"/>
            <w:noWrap w:val="0"/>
            <w:vAlign w:val="center"/>
          </w:tcPr>
          <w:p>
            <w:pPr>
              <w:widowControl/>
              <w:jc w:val="center"/>
              <w:rPr>
                <w:rFonts w:hint="eastAsia" w:ascii="宋体" w:hAnsi="宋体" w:eastAsia="宋体" w:cs="宋体"/>
                <w:kern w:val="0"/>
                <w:sz w:val="24"/>
                <w:szCs w:val="24"/>
                <w:lang w:val="en-US" w:eastAsia="zh-CN"/>
              </w:rPr>
            </w:pPr>
            <w:r>
              <w:rPr>
                <w:rFonts w:hint="eastAsia" w:ascii="仿宋_GB2312" w:hAnsi="宋体" w:eastAsia="仿宋_GB2312" w:cs="宋体"/>
                <w:kern w:val="0"/>
                <w:sz w:val="20"/>
                <w:szCs w:val="20"/>
                <w:lang w:val="en-US" w:eastAsia="zh-CN"/>
              </w:rPr>
              <w:t>89.8</w:t>
            </w:r>
          </w:p>
        </w:tc>
      </w:tr>
    </w:tbl>
    <w:p>
      <w:pPr>
        <w:pStyle w:val="2"/>
        <w:numPr>
          <w:numId w:val="0"/>
        </w:numPr>
        <w:ind w:leftChars="200"/>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E7161"/>
    <w:multiLevelType w:val="singleLevel"/>
    <w:tmpl w:val="A71E7161"/>
    <w:lvl w:ilvl="0" w:tentative="0">
      <w:start w:val="2"/>
      <w:numFmt w:val="chineseCounting"/>
      <w:suff w:val="nothing"/>
      <w:lvlText w:val="（%1）"/>
      <w:lvlJc w:val="left"/>
      <w:rPr>
        <w:rFonts w:hint="eastAsia"/>
      </w:rPr>
    </w:lvl>
  </w:abstractNum>
  <w:abstractNum w:abstractNumId="1">
    <w:nsid w:val="AA82F546"/>
    <w:multiLevelType w:val="singleLevel"/>
    <w:tmpl w:val="AA82F546"/>
    <w:lvl w:ilvl="0" w:tentative="0">
      <w:start w:val="1"/>
      <w:numFmt w:val="decimal"/>
      <w:suff w:val="nothing"/>
      <w:lvlText w:val="%1、"/>
      <w:lvlJc w:val="left"/>
    </w:lvl>
  </w:abstractNum>
  <w:abstractNum w:abstractNumId="2">
    <w:nsid w:val="47A77A8D"/>
    <w:multiLevelType w:val="singleLevel"/>
    <w:tmpl w:val="47A77A8D"/>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6D6F3B"/>
    <w:rsid w:val="00D51644"/>
    <w:rsid w:val="015A7905"/>
    <w:rsid w:val="025D08EA"/>
    <w:rsid w:val="02A74CAA"/>
    <w:rsid w:val="0401638F"/>
    <w:rsid w:val="05213482"/>
    <w:rsid w:val="07A35325"/>
    <w:rsid w:val="099C26FF"/>
    <w:rsid w:val="09E17252"/>
    <w:rsid w:val="0D5E3707"/>
    <w:rsid w:val="11E84674"/>
    <w:rsid w:val="126C42B4"/>
    <w:rsid w:val="17042185"/>
    <w:rsid w:val="17546308"/>
    <w:rsid w:val="17B648CC"/>
    <w:rsid w:val="17DD6E2C"/>
    <w:rsid w:val="1AED7481"/>
    <w:rsid w:val="1D9A1B96"/>
    <w:rsid w:val="1F010C8F"/>
    <w:rsid w:val="20F63895"/>
    <w:rsid w:val="23BE3486"/>
    <w:rsid w:val="26166273"/>
    <w:rsid w:val="26F42DF4"/>
    <w:rsid w:val="2B032004"/>
    <w:rsid w:val="2C3A1B18"/>
    <w:rsid w:val="2C7529D1"/>
    <w:rsid w:val="2D6C05C8"/>
    <w:rsid w:val="2DB256DE"/>
    <w:rsid w:val="2F064022"/>
    <w:rsid w:val="3619015E"/>
    <w:rsid w:val="36334246"/>
    <w:rsid w:val="36E22B02"/>
    <w:rsid w:val="375C4F25"/>
    <w:rsid w:val="37A26170"/>
    <w:rsid w:val="37BD53AB"/>
    <w:rsid w:val="38F247D2"/>
    <w:rsid w:val="39467EF8"/>
    <w:rsid w:val="3A365ACD"/>
    <w:rsid w:val="3B9303B2"/>
    <w:rsid w:val="3C8416D7"/>
    <w:rsid w:val="3D1D5E40"/>
    <w:rsid w:val="3FAB09ED"/>
    <w:rsid w:val="44AF5D78"/>
    <w:rsid w:val="45833892"/>
    <w:rsid w:val="45CB4E15"/>
    <w:rsid w:val="47D12ED9"/>
    <w:rsid w:val="492E7EB7"/>
    <w:rsid w:val="49F7299F"/>
    <w:rsid w:val="4A4754D4"/>
    <w:rsid w:val="4ACA7AAB"/>
    <w:rsid w:val="4B991F60"/>
    <w:rsid w:val="4C455C43"/>
    <w:rsid w:val="4D113C42"/>
    <w:rsid w:val="4E58558A"/>
    <w:rsid w:val="4F3501F1"/>
    <w:rsid w:val="4FB97D79"/>
    <w:rsid w:val="52C04276"/>
    <w:rsid w:val="53202F66"/>
    <w:rsid w:val="54517DF8"/>
    <w:rsid w:val="55BA4899"/>
    <w:rsid w:val="55C776C9"/>
    <w:rsid w:val="5678476C"/>
    <w:rsid w:val="575435C3"/>
    <w:rsid w:val="58CA4CA4"/>
    <w:rsid w:val="59A70B1E"/>
    <w:rsid w:val="59E60318"/>
    <w:rsid w:val="5C8E7193"/>
    <w:rsid w:val="5CBC5F90"/>
    <w:rsid w:val="5E6D1153"/>
    <w:rsid w:val="5F83500A"/>
    <w:rsid w:val="60745B56"/>
    <w:rsid w:val="611076B5"/>
    <w:rsid w:val="61371BA7"/>
    <w:rsid w:val="641F097E"/>
    <w:rsid w:val="65236940"/>
    <w:rsid w:val="65C43C25"/>
    <w:rsid w:val="664A41B0"/>
    <w:rsid w:val="66D16D4F"/>
    <w:rsid w:val="66FE6113"/>
    <w:rsid w:val="6B874FA2"/>
    <w:rsid w:val="6C3C4515"/>
    <w:rsid w:val="6C485A2E"/>
    <w:rsid w:val="6C6B54E9"/>
    <w:rsid w:val="6CB322FE"/>
    <w:rsid w:val="6FD52562"/>
    <w:rsid w:val="70246EC1"/>
    <w:rsid w:val="70297EDE"/>
    <w:rsid w:val="70514092"/>
    <w:rsid w:val="70852420"/>
    <w:rsid w:val="71881FAB"/>
    <w:rsid w:val="7219312C"/>
    <w:rsid w:val="72DA6836"/>
    <w:rsid w:val="73125FD0"/>
    <w:rsid w:val="734F209E"/>
    <w:rsid w:val="763144FB"/>
    <w:rsid w:val="76DC35F5"/>
    <w:rsid w:val="7832658D"/>
    <w:rsid w:val="79074D5F"/>
    <w:rsid w:val="7A21330E"/>
    <w:rsid w:val="7AF745AA"/>
    <w:rsid w:val="7B7D06A6"/>
    <w:rsid w:val="7BBF6A6B"/>
    <w:rsid w:val="7CF23984"/>
    <w:rsid w:val="7D3D1E9B"/>
    <w:rsid w:val="7F06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Indent"/>
    <w:basedOn w:val="1"/>
    <w:semiHidden/>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semiHidden/>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BF130E99586B4184A1D99CF11697C566_13</vt:lpwstr>
  </property>
</Properties>
</file>