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442" w:firstLineChars="1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44"/>
          <w:sz w:val="44"/>
          <w:szCs w:val="44"/>
          <w:shd w:val="clear" w:fill="FFFFFF"/>
          <w:lang w:val="en-US" w:eastAsia="zh-CN" w:bidi="ar"/>
        </w:rPr>
        <w:t>北塔区委巡察工作领导小组办公室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宋体" w:cs="微软雅黑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年度部门整体支出绩效评价报</w:t>
      </w:r>
      <w:r>
        <w:rPr>
          <w:rFonts w:hint="eastAsia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一、部门基本情况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（一）机构设置及人员情况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机构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设置情况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内设综合室和业务室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  <w:t>两个股室。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人员情况：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>本部门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共有编制人数13人，实有人数9人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643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（二）主要工作职责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向区委巡察工作领导小组报告工作情况，传达贯彻中央、省委、市委巡视巡察工作的决策和部署。</w:t>
      </w:r>
      <w:r>
        <w:rPr>
          <w:rFonts w:ascii="等线" w:hAnsi="等线" w:eastAsia="等线" w:cs="Times New Roman"/>
          <w:color w:val="000000"/>
          <w:kern w:val="2"/>
          <w:sz w:val="32"/>
          <w:szCs w:val="32"/>
        </w:rPr>
        <w:t>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承担上级巡视组、巡察组对我区开展巡视、巡察工作的协调配合和联络服务等工作。</w:t>
      </w:r>
      <w:r>
        <w:rPr>
          <w:rFonts w:hint="eastAsia" w:ascii="等线" w:hAnsi="等线" w:eastAsia="等线" w:cs="Times New Roman"/>
          <w:color w:val="000000"/>
          <w:kern w:val="2"/>
          <w:sz w:val="32"/>
          <w:szCs w:val="32"/>
        </w:rPr>
        <w:t>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统筹、协调、指导区委巡察组开展工作。组建、充实、调整巡察人才库，培训库中人员，受理干部群众对巡察工作人员的举报和反映，提出处理意见。</w:t>
      </w:r>
      <w:r>
        <w:rPr>
          <w:rFonts w:hint="eastAsia" w:ascii="等线" w:hAnsi="等线" w:eastAsia="等线" w:cs="Times New Roman"/>
          <w:color w:val="000000"/>
          <w:kern w:val="2"/>
          <w:sz w:val="32"/>
          <w:szCs w:val="32"/>
        </w:rPr>
        <w:t>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拟写巡察规划、年度和阶段性计划，负责巡察制度建设、问题线索分流督办、巡察档案管理、综合协调、巡察信息处理和宣传公开等工作。</w:t>
      </w:r>
      <w:r>
        <w:rPr>
          <w:rFonts w:hint="eastAsia" w:ascii="等线" w:hAnsi="等线" w:eastAsia="等线" w:cs="Times New Roman"/>
          <w:color w:val="000000"/>
          <w:kern w:val="2"/>
          <w:sz w:val="32"/>
          <w:szCs w:val="32"/>
        </w:rPr>
        <w:t>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督促检查被巡察单位整改落实反馈的问题。</w:t>
      </w:r>
      <w:r>
        <w:rPr>
          <w:rFonts w:hint="eastAsia" w:ascii="等线" w:hAnsi="等线" w:eastAsia="等线" w:cs="Times New Roman"/>
          <w:color w:val="000000"/>
          <w:kern w:val="2"/>
          <w:sz w:val="32"/>
          <w:szCs w:val="32"/>
        </w:rPr>
        <w:t>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对区委、区委巡察工作领导小组决定的事项及上级巡视、巡察移交事项进行督查督办和情况反馈。</w:t>
      </w:r>
      <w:r>
        <w:rPr>
          <w:rFonts w:hint="eastAsia" w:ascii="等线" w:hAnsi="等线" w:eastAsia="等线" w:cs="Times New Roman"/>
          <w:color w:val="000000"/>
          <w:kern w:val="2"/>
          <w:sz w:val="32"/>
          <w:szCs w:val="32"/>
        </w:rPr>
        <w:t>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办理区委及领导小组交办的其他事项。</w:t>
      </w:r>
      <w:r>
        <w:rPr>
          <w:rFonts w:hint="eastAsia" w:ascii="等线" w:hAnsi="等线" w:eastAsia="等线" w:cs="Times New Roman"/>
          <w:color w:val="000000"/>
          <w:kern w:val="2"/>
          <w:sz w:val="32"/>
          <w:szCs w:val="32"/>
        </w:rPr>
        <w:t> 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二、部门整体支出管理及使用情况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（一）预算执行情况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2022年本部门全年预算数166.79万元，本年实际支出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183.53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，完成全年预算的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110.04%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。与上一年度相比，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实际支出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增加18.35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万元，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上升11.11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%。主要原因是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人员经费和公用经费的增加。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2022年度收入合计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183.53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万元，其中：财政拨款收入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175.13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万元，占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95.42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%；上级补助收入0万元，占0%；事业收入0万元，占0%；经营收入0万元，占0%；附属单位上缴收入0万元，占0%；其他收入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8.40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万元，占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4.58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%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2022年度支出合计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183.53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万元，其中：基本支出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183.53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万元，占100%；项目支出0万元，占0%；上缴上级支出0万元，占0%；经营支出0万元，占0%；对附属单位补助支出0万元，占0%。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（二）基本支出情况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2022年度北塔区委巡察办基本支出年初预算安排为121.79万元，本年实际支出为183.53万元，主要为人员经费支出和公用经费支出，其中人员经费支出110.68万元、公用经费支出72.85万元。</w:t>
      </w:r>
    </w:p>
    <w:p>
      <w:pPr>
        <w:numPr>
          <w:ilvl w:val="0"/>
          <w:numId w:val="1"/>
        </w:numPr>
        <w:spacing w:line="480" w:lineRule="auto"/>
        <w:ind w:left="0" w:leftChars="0"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项目支出情况</w:t>
      </w:r>
    </w:p>
    <w:p>
      <w:pPr>
        <w:numPr>
          <w:ilvl w:val="0"/>
          <w:numId w:val="0"/>
        </w:num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本年项目支出年初预算安排为45万元，本年实际支出为0万元，本部门2022年度无项目支出。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643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、部门整体支出绩效情况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（一）主要绩效指标完成情况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1、预算执行情况。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⑴2022年财政拨款预算执行数183.53万元，预算安排数166.79万元，预算执行率为110.04%；当年预算有超支16.74万元。⑵公用经费预算64.73万元，实际支出72.85万元，公用经费控制率为112.54%；（3）“三公经费”年初预算安排0万元，实际支出0万元，（4）政府采购年初预算5万元，实际政府采购金额16.15万元，政府采购执行率真323%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2、预决算信息公开情况。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北塔区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委巡察办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及时在区政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府统一平台公开了部门预算、决算和绩效目标、绩效自评报告、“三公经费”等信息，接受群众和社会监督。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、资产管理情况。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截止2022年12月31日，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北塔区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委巡察办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拥有各类资产总额9.65万元，其中流动资产0万元，固定资产净值9.65万元。单位为加强资产管理，内部制定了资产管理制度，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对各类资产的购置、保管、使用、报废、处置等方面都作出了明确的规定，制度要求所有办公设备（含办公用品）的添置，先由各委室提出申请，经业务分管领导审核同意后，再由办公室及时采购并建立固定资产实物登记台账，工作人员异动，必须及时办理固定资产移交手续，不得侵占和擅自带走，各委室不得擅自购买任何办公用品和设备，否则不予报销。</w:t>
      </w:r>
    </w:p>
    <w:p>
      <w:pPr>
        <w:spacing w:line="72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（二）职责覆行和主要绩效情况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预算执行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一是建立预算执行责任制。将年度预算收入责任及预算支出额度逐一分解落实到各股室，形成领导重视、衔接紧密、齐抓共管的体制机制，建立预算指标额度台账，将预算执行情况作为年度目标考核的内容。二是建立预算执行信息化管理制度。在政务公开网公布部门财政预算批复及执行情况，及时公布“三公经费”支出情况，接受监督。三是建立健全项目资金管理制度。对于财政性专项资金，严格按专项资金项目实施方案执行，督促项目承担单位加快项目实施进度，及时办理报账、验收、结算等相关手续，做到不集中使用、不滥用资金，最大限度提高专项资金利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预算管理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为规范机关财务管理，建立健全财务管理制度，我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办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根据《会计法》、《预算法》、《政府会计准则》等法律和财政部、省财政厅有关财务规章制度等一系列合法合规、较为完整的、具有很强的可操作性财务管理制度。坚持经费预算科学化、精细化，执行控制规范化、责任化，监督检查常态化、同步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资金的支付符合国家财经法规和财务管理制度规定，以及有关专项资金管理办法的规定；资金拨付有完整的审批程序和手续；支出符合部门预算批复的用途；资金使用没有截留、挪用、虚列支出、随意借用等情况；重大财务事项经由集体研究决策；专项资金做到专款专用；原始凭证的取得真实有效。部门预决算信息按规定内容，在规定的时限内予以公开。基础数据信息和会计信息资料真实、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提升支出绩效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年，我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办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全面落实区委、区政府的各项工作部署，牢固树立发展意识，大力弘扬实干精神，扎实推进各项工作，各项工作任务全面完成，财务管理规范，单位行政运行稳定有序。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评价结论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我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办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认真组织开展整体支出绩效自评，自评等级“良好”。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存在的问题及原因分析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420" w:leftChars="0" w:right="0" w:right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预算编制不够明确和细化，预算编制的合理性需要提高，预算执行力还要进一步加强。资金使用效益有待进一步提高，绩效目标设立不够明确、细化和量化。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420" w:leftChars="0" w:right="0" w:right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人员素质有待提高。由于人员变动，单位对相关绩效管理业务的熟练，加上缺乏系统的培训，业务操作水平有限。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leftChars="0" w:right="0" w:firstLine="42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改进措施及有关建议</w:t>
      </w:r>
    </w:p>
    <w:p>
      <w:pPr>
        <w:widowControl/>
        <w:spacing w:line="600" w:lineRule="exact"/>
        <w:ind w:firstLine="645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（一）1、细化预算编制工作，认真做好预算的编制。进一步加强内设机构的预算管理意识，严格按照预算编制的相关制度和要求进行预算编制。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（二）加强政策学习，提高思想认识。组织相关人员认真学习《会计法》、《预算法》等相关法规、制度，提高业务人员的业务水平及思想认识，为绩效评价工作夯实基础。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1E7161"/>
    <w:multiLevelType w:val="singleLevel"/>
    <w:tmpl w:val="A71E716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A82F546"/>
    <w:multiLevelType w:val="singleLevel"/>
    <w:tmpl w:val="AA82F54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7A77A8D"/>
    <w:multiLevelType w:val="singleLevel"/>
    <w:tmpl w:val="47A77A8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MDM5NDllMmFkNTY4YmUxNmI0NDZjN2ZmZmMyYTcifQ=="/>
  </w:docVars>
  <w:rsids>
    <w:rsidRoot w:val="00000000"/>
    <w:rsid w:val="00554C33"/>
    <w:rsid w:val="006D6F3B"/>
    <w:rsid w:val="00D51644"/>
    <w:rsid w:val="015A7905"/>
    <w:rsid w:val="025D08EA"/>
    <w:rsid w:val="02A74CAA"/>
    <w:rsid w:val="0401638F"/>
    <w:rsid w:val="05213482"/>
    <w:rsid w:val="07A35325"/>
    <w:rsid w:val="099C26FF"/>
    <w:rsid w:val="09E17252"/>
    <w:rsid w:val="0D5E3707"/>
    <w:rsid w:val="11E84674"/>
    <w:rsid w:val="126C42B4"/>
    <w:rsid w:val="17042185"/>
    <w:rsid w:val="17546308"/>
    <w:rsid w:val="17B648CC"/>
    <w:rsid w:val="17DD6E2C"/>
    <w:rsid w:val="1AED7481"/>
    <w:rsid w:val="1D9A1B96"/>
    <w:rsid w:val="1F010C8F"/>
    <w:rsid w:val="20F63895"/>
    <w:rsid w:val="23BE3486"/>
    <w:rsid w:val="26166273"/>
    <w:rsid w:val="26F42DF4"/>
    <w:rsid w:val="2B032004"/>
    <w:rsid w:val="2C3A1B18"/>
    <w:rsid w:val="2C7529D1"/>
    <w:rsid w:val="2D6C05C8"/>
    <w:rsid w:val="2DB256DE"/>
    <w:rsid w:val="2F064022"/>
    <w:rsid w:val="3619015E"/>
    <w:rsid w:val="36334246"/>
    <w:rsid w:val="36E22B02"/>
    <w:rsid w:val="375C4F25"/>
    <w:rsid w:val="37A26170"/>
    <w:rsid w:val="37BD53AB"/>
    <w:rsid w:val="38F247D2"/>
    <w:rsid w:val="39467EF8"/>
    <w:rsid w:val="3A365ACD"/>
    <w:rsid w:val="3B9303B2"/>
    <w:rsid w:val="3C8416D7"/>
    <w:rsid w:val="3D1D5E40"/>
    <w:rsid w:val="3FAB09ED"/>
    <w:rsid w:val="44AF5D78"/>
    <w:rsid w:val="45833892"/>
    <w:rsid w:val="45CB4E15"/>
    <w:rsid w:val="47D12ED9"/>
    <w:rsid w:val="492E7EB7"/>
    <w:rsid w:val="49F7299F"/>
    <w:rsid w:val="4A4754D4"/>
    <w:rsid w:val="4ACA7AAB"/>
    <w:rsid w:val="4B991F60"/>
    <w:rsid w:val="4C455C43"/>
    <w:rsid w:val="4D113C42"/>
    <w:rsid w:val="4E58558A"/>
    <w:rsid w:val="4F3501F1"/>
    <w:rsid w:val="4FB97D79"/>
    <w:rsid w:val="52C04276"/>
    <w:rsid w:val="53202F66"/>
    <w:rsid w:val="54517DF8"/>
    <w:rsid w:val="55BA4899"/>
    <w:rsid w:val="55C776C9"/>
    <w:rsid w:val="575435C3"/>
    <w:rsid w:val="58CA4CA4"/>
    <w:rsid w:val="59A70B1E"/>
    <w:rsid w:val="59E60318"/>
    <w:rsid w:val="5C8E7193"/>
    <w:rsid w:val="5CBC5F90"/>
    <w:rsid w:val="5E6D1153"/>
    <w:rsid w:val="5F83500A"/>
    <w:rsid w:val="60745B56"/>
    <w:rsid w:val="611076B5"/>
    <w:rsid w:val="61371BA7"/>
    <w:rsid w:val="641F097E"/>
    <w:rsid w:val="65236940"/>
    <w:rsid w:val="65C43C25"/>
    <w:rsid w:val="664A41B0"/>
    <w:rsid w:val="66D16D4F"/>
    <w:rsid w:val="66FE6113"/>
    <w:rsid w:val="6B874FA2"/>
    <w:rsid w:val="6C3C4515"/>
    <w:rsid w:val="6C485A2E"/>
    <w:rsid w:val="6C6B54E9"/>
    <w:rsid w:val="6CB322FE"/>
    <w:rsid w:val="6FD52562"/>
    <w:rsid w:val="70246EC1"/>
    <w:rsid w:val="70297EDE"/>
    <w:rsid w:val="70514092"/>
    <w:rsid w:val="70852420"/>
    <w:rsid w:val="71881FAB"/>
    <w:rsid w:val="7219312C"/>
    <w:rsid w:val="72DA6836"/>
    <w:rsid w:val="73125FD0"/>
    <w:rsid w:val="734F209E"/>
    <w:rsid w:val="763144FB"/>
    <w:rsid w:val="76DC35F5"/>
    <w:rsid w:val="7832658D"/>
    <w:rsid w:val="79074D5F"/>
    <w:rsid w:val="7A21330E"/>
    <w:rsid w:val="7AF745AA"/>
    <w:rsid w:val="7B7D06A6"/>
    <w:rsid w:val="7BBF6A6B"/>
    <w:rsid w:val="7CF23984"/>
    <w:rsid w:val="7D3D1E9B"/>
    <w:rsid w:val="7F0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semiHidden/>
    <w:qFormat/>
    <w:uiPriority w:val="99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2394</Words>
  <Characters>2540</Characters>
  <Lines>0</Lines>
  <Paragraphs>0</Paragraphs>
  <TotalTime>15</TotalTime>
  <ScaleCrop>false</ScaleCrop>
  <LinksUpToDate>false</LinksUpToDate>
  <CharactersWithSpaces>2541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Administrator</cp:lastModifiedBy>
  <dcterms:modified xsi:type="dcterms:W3CDTF">2023-09-28T02:29:22Z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BF130E99586B4184A1D99CF11697C566_13</vt:lpwstr>
  </property>
</Properties>
</file>