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微软雅黑" w:hAnsi="微软雅黑" w:eastAsia="宋体" w:cs="微软雅黑"/>
          <w:i w:val="0"/>
          <w:iCs w:val="0"/>
          <w:caps w:val="0"/>
          <w:color w:val="666666"/>
          <w:spacing w:val="0"/>
          <w:sz w:val="16"/>
          <w:szCs w:val="16"/>
          <w:lang w:val="en-US" w:eastAsia="zh-CN"/>
        </w:rPr>
      </w:pPr>
      <w:r>
        <w:rPr>
          <w:rFonts w:hint="eastAsia" w:ascii="宋体" w:hAnsi="宋体" w:eastAsia="宋体" w:cs="宋体"/>
          <w:i w:val="0"/>
          <w:iCs w:val="0"/>
          <w:caps w:val="0"/>
          <w:color w:val="000000"/>
          <w:spacing w:val="0"/>
          <w:sz w:val="31"/>
          <w:szCs w:val="31"/>
          <w:shd w:val="clear" w:fill="FFFFFF"/>
        </w:rPr>
        <w:t>北塔区卫生</w:t>
      </w:r>
      <w:r>
        <w:rPr>
          <w:rFonts w:hint="eastAsia" w:cs="宋体"/>
          <w:i w:val="0"/>
          <w:iCs w:val="0"/>
          <w:caps w:val="0"/>
          <w:color w:val="000000"/>
          <w:spacing w:val="0"/>
          <w:sz w:val="31"/>
          <w:szCs w:val="31"/>
          <w:shd w:val="clear" w:fill="FFFFFF"/>
          <w:lang w:eastAsia="zh-CN"/>
        </w:rPr>
        <w:t>健康</w:t>
      </w:r>
      <w:r>
        <w:rPr>
          <w:rFonts w:hint="eastAsia" w:ascii="宋体" w:hAnsi="宋体" w:eastAsia="宋体" w:cs="宋体"/>
          <w:i w:val="0"/>
          <w:iCs w:val="0"/>
          <w:caps w:val="0"/>
          <w:color w:val="000000"/>
          <w:spacing w:val="0"/>
          <w:sz w:val="31"/>
          <w:szCs w:val="31"/>
          <w:shd w:val="clear" w:fill="FFFFFF"/>
        </w:rPr>
        <w:t>局</w:t>
      </w:r>
      <w:r>
        <w:rPr>
          <w:rFonts w:ascii="宋体" w:hAnsi="宋体" w:eastAsia="宋体" w:cs="宋体"/>
          <w:i w:val="0"/>
          <w:iCs w:val="0"/>
          <w:caps w:val="0"/>
          <w:color w:val="000000"/>
          <w:spacing w:val="0"/>
          <w:sz w:val="31"/>
          <w:szCs w:val="31"/>
          <w:shd w:val="clear" w:fill="FFFFFF"/>
        </w:rPr>
        <w:t>2</w:t>
      </w:r>
      <w:r>
        <w:rPr>
          <w:i w:val="0"/>
          <w:iCs w:val="0"/>
          <w:caps w:val="0"/>
          <w:color w:val="000000"/>
          <w:spacing w:val="0"/>
          <w:sz w:val="31"/>
          <w:szCs w:val="31"/>
          <w:shd w:val="clear" w:fill="FFFFFF"/>
        </w:rPr>
        <w:t>02</w:t>
      </w:r>
      <w:r>
        <w:rPr>
          <w:rFonts w:hint="eastAsia"/>
          <w:i w:val="0"/>
          <w:iCs w:val="0"/>
          <w:caps w:val="0"/>
          <w:color w:val="000000"/>
          <w:spacing w:val="0"/>
          <w:sz w:val="31"/>
          <w:szCs w:val="31"/>
          <w:shd w:val="clear" w:fill="FFFFFF"/>
          <w:lang w:val="en-US" w:eastAsia="zh-CN"/>
        </w:rPr>
        <w:t>2</w:t>
      </w:r>
      <w:r>
        <w:rPr>
          <w:i w:val="0"/>
          <w:iCs w:val="0"/>
          <w:caps w:val="0"/>
          <w:color w:val="000000"/>
          <w:spacing w:val="0"/>
          <w:sz w:val="31"/>
          <w:szCs w:val="31"/>
          <w:shd w:val="clear" w:fill="FFFFFF"/>
        </w:rPr>
        <w:t>年度部门整体支出绩效评价报</w:t>
      </w:r>
      <w:r>
        <w:rPr>
          <w:rFonts w:hint="eastAsia"/>
          <w:i w:val="0"/>
          <w:iCs w:val="0"/>
          <w:caps w:val="0"/>
          <w:color w:val="000000"/>
          <w:spacing w:val="0"/>
          <w:sz w:val="31"/>
          <w:szCs w:val="31"/>
          <w:shd w:val="clear" w:fill="FFFFFF"/>
          <w:lang w:val="en-US" w:eastAsia="zh-CN"/>
        </w:rPr>
        <w:t>告</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sz w:val="32"/>
          <w:szCs w:val="32"/>
        </w:rPr>
      </w:pPr>
      <w:r>
        <w:rPr>
          <w:rFonts w:hint="eastAsia" w:ascii="宋体" w:hAnsi="宋体" w:eastAsia="宋体" w:cs="宋体"/>
          <w:b/>
          <w:bCs/>
          <w:i w:val="0"/>
          <w:iCs w:val="0"/>
          <w:caps w:val="0"/>
          <w:color w:val="444444"/>
          <w:spacing w:val="0"/>
          <w:sz w:val="32"/>
          <w:szCs w:val="32"/>
          <w:shd w:val="clear" w:fill="FFFFFF"/>
        </w:rPr>
        <w:t>一、部门基本情况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（一）机构设置及人员情况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1、基本情况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北塔区卫生健康局是行政机关单位，贯彻执行党和国家、省、市、区关于卫生健康工作法律法规和方针政策，负责全区卫生、计划生育、妇幼健康、疾病预防等全民健康工作。</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2、机构情况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我局内设机构六股，全部纳入局机关2022年部门预算编制范围。内设科室分别是综合办公室、财务信息规划股、法规综合监督股（加挂行政审批服务股牌子）、医政医馆中医药政与基层卫生管理股、卫生应急与疾病预防控制股（加挂区突发公共卫生事件应急指挥中心牌子）、妇幼老龄健康与家庭发展股。 </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3、人员情况   </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北塔区卫生健康局行政编制5名，在岗职工21人。设书记1名、局长1名、副局长3名，实际人数21人，离退休11人。</w:t>
      </w:r>
    </w:p>
    <w:p>
      <w:pPr>
        <w:numPr>
          <w:ilvl w:val="0"/>
          <w:numId w:val="1"/>
        </w:num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主要工作职责</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贯彻执行国民健康政策及国家卫生健康法律法规和卫生健康事业发展地方性法规、规章，拟定或组织实施全区卫生健康政策、规划、地方标准和技术规范。统筹规划全区卫生健康政策、规划、地方标准和技术规范。统筹规范全区卫生健康服务资源配置，指导区域卫生健康规划的编制和实施。制定并组织实施推进全区卫生健康基本公共服务均等化、普惠化、便捷化和公共资源向基层延伸等政策措施。</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协调推进全区深化医药卫生体制改革，研究提出全区深化医药卫生体质改革政策与措施的建议。组织深化公立医院综合改革，推进管办分离，健全现代医院管理制度，制定并组织实施推动卫生健康公共服务提供主体多元化、提供方式多样化的政策措施，提供医疗服务和药品价格政策的建议。</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制定并组织落实全区疾病预防控制规划、免疫规划以及严重危害人民健康公共卫生问题的干预措施。负责卫生应急工作，组织指导突发公共卫生事业的预防控制和各类突发公共事件的医疗卫生救援。及时报告、发布传染病疫情信息。</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（4）协调落实应对人口老龄化政策措施，推进老年健康服务体系建设和医养结合工作。</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5）贯彻执行国家药物政策和国家基本药物制度，开展药品使用监测、临床综合评价和短缺药品预警。组织开展食品安全风险监测评估，依法制定并公开食品安全地方标准，负责食源性疾病及与食品安全事故有关的流行病学调查。</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（6）负责职责范围内的职业卫生、放射卫生、环境卫生、学校卫生、公共场所卫生、饮用水卫生等公共卫生的监督管理。负责传染病防治监督，健全卫生健康综合监督体系。</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7）制定全区医疗机构、医疗服务行业管理办法并监督实施，建立医疗服务评价和监督管理体系。会同有关部门实施卫生健康专业人员资格标准。制定并组织实施医疗服务规范、标准和卫生健康专业技术人员执业规则、服务规范。</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（8）负责全区计划生育管理和服务工作，开展人口监测预警。研究提出人口与家庭发展相关政策建议，完善计划生育政策。</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（9）指导全区卫生健康工作，指导基层医疗卫生、妇幼健康服务体系建设，加强全科医生队伍建设，加强全科医生队伍建设。推进卫生健康科技创新发展。</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（10）负责全区健康教育、健康促进和卫生健康信息化建设等工作。组织指导国际交流合作与援外工作，开展与港澳台的交流与合作。</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（11）负责全区保健对象的医疗保健工作，负责区内重要来宾、重要会议与重大活动的医疗卫生保障工作，指导全区保健工作。</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（12）指导区计划生育协会的业务工作。</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（13）指导区红十字会的业务工作。</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（14）完成区委和区人民政府交办的其他业务。</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15）职能转变。区卫生健康局应当牢固树立大卫生、大健康理念，推动实施健康北塔战略，以改革创新为动力。以促健康、转模式、强基层、重保障为着力点，把以治病为中心转变到以人民健康为中心，为人民群众提供全方位全周期健康服务。一是更加注重预防为主和健康促进，加强预防控制重大疾病工作，积极应对人口老龄化，健全健康服务体系。二是更加注重工作重心下移和资源下沉，推进卫生健康公共资源向基层延伸、向农村覆盖、向边远地区和生活困难群众倾斜。三是更加注重提高服务质量和水平，推进卫生健康基本公共服务均等化、普惠化、便捷化。四是协调推进深化医药卫生体质改革，加大公立医院改革力度，推进管办分离，推动卫生健康公共服务提供主体多元化、提供方式多样化。</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（16）有关职责分工</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1）与区发展和改革局的有关职责分工。区卫生和计划生育局负责开展人口监测预警工作，研究提出与生育相关的人口数量、素质、结构、分布方面的政策建议，促进生育政策和相关经济社会政策配套衔接，参与制定人口发展规划和政策，落实区人口发展规划中的有关任务。区发展和改革局负责组织监测和评估人口变动情况及趋势影响，建立人口预测预报制度，开展重大决策人口影响评估，完善重大人口政策咨询机制，研究提出全区人口发展战略，拟订人口发展规划和人口政策，研究提出人口与经济、社会、资源、环境协调可持续发展，以及统筹促进人口长期均衡发展的政策建议。</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与区民政局的有关职责分工。区卫生和计划生育局负责拟订应对人口老龄化、医养结合政策措施，综合协调、督促指导、组织推进老龄事业发展，承担老年疾病防治、老年人医疗照护、老年人心理健康与关怀服务等老年健康工作。区民政局负责统筹推进、督促指导、监督管理养老服务工作，贯彻执行养老服务地方性法规、拟订养老服务体系建设规划、政策、标准并组织实施，承担老年人福利和特殊困难老年人救助工作。</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3）与区市场监督管理局的有关职责分工。区卫生健康局负责食品安全风险监测工作，会同区市场监督管理局等部门制定、实施食品安全风险监测计划。区卫生健康局对通过食品安全风险监测或者接到举报发现食品可能存在安全隐患的，应当及时将相关信息通报区市场监督管理局等部门，区市场监督管理局等部门应当立即采取措施。区市场监督管理局等部门在监督管理工作中发现需要进行食品安全风险评估的，应当及时向区卫生健康局提出建议。区市场监督管理局会同区卫生健康局建立重大药品不良反应和医疗器械不良时间相互通报机制和联合处置机制。</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（4）与区医疗保障局的有关职责分工。区卫生健康局、区医疗保障局等部门在医疗、医保、医药等方面加强制度、政策衔接，建立沟通协商机制、协同推进改革，提高医疗资源使用效率和医疗保障水平。</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rPr>
      </w:pPr>
      <w:r>
        <w:rPr>
          <w:rFonts w:hint="eastAsia" w:ascii="宋体" w:hAnsi="宋体" w:eastAsia="宋体" w:cs="宋体"/>
          <w:b/>
          <w:bCs/>
          <w:i w:val="0"/>
          <w:iCs w:val="0"/>
          <w:caps w:val="0"/>
          <w:color w:val="444444"/>
          <w:spacing w:val="0"/>
          <w:sz w:val="32"/>
          <w:szCs w:val="32"/>
          <w:shd w:val="clear" w:fill="FFFFFF"/>
        </w:rPr>
        <w:t>二、部门整体支出管理及使用情况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（一）预算执行情况</w:t>
      </w:r>
    </w:p>
    <w:p>
      <w:pPr>
        <w:spacing w:line="480" w:lineRule="auto"/>
        <w:ind w:firstLine="560" w:firstLineChars="200"/>
        <w:jc w:val="left"/>
        <w:rPr>
          <w:rFonts w:hint="eastAsia"/>
          <w:highlight w:val="none"/>
          <w:lang w:val="en-US" w:eastAsia="zh-CN"/>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2022年度北塔区卫生健康局支出年初预算安排为431.76万元，本年实际支出为3603.47万元，预算执行率为834.6%，主要为疫情防控支出。</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（二）基本支出情况</w:t>
      </w:r>
    </w:p>
    <w:p>
      <w:pPr>
        <w:spacing w:line="480" w:lineRule="auto"/>
        <w:ind w:firstLine="560" w:firstLineChars="200"/>
        <w:jc w:val="left"/>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2022年度</w:t>
      </w:r>
      <w:r>
        <w:rPr>
          <w:rFonts w:hint="eastAsia" w:ascii="宋体" w:hAnsi="宋体" w:eastAsia="宋体" w:cs="宋体"/>
          <w:i w:val="0"/>
          <w:iCs w:val="0"/>
          <w:caps w:val="0"/>
          <w:color w:val="444444"/>
          <w:spacing w:val="0"/>
          <w:kern w:val="2"/>
          <w:sz w:val="28"/>
          <w:szCs w:val="28"/>
          <w:shd w:val="clear" w:fill="FFFFFF"/>
          <w:lang w:val="en-US" w:eastAsia="zh-CN" w:bidi="ar-SA"/>
        </w:rPr>
        <w:t>北塔</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区卫生健康局基本支出年初预算安排为261.12万元，本年实际支出为3535.97万元，主要为人员经费支出和公用经费支出，其中人员经费支出</w:t>
      </w:r>
      <w:r>
        <w:rPr>
          <w:rFonts w:hint="eastAsia" w:ascii="宋体" w:hAnsi="宋体" w:cs="宋体"/>
          <w:color w:val="232323"/>
          <w:kern w:val="0"/>
          <w:sz w:val="24"/>
          <w:szCs w:val="24"/>
          <w:highlight w:val="none"/>
          <w:shd w:val="clear" w:color="auto" w:fill="FFFFFF"/>
          <w:lang w:val="en-US" w:eastAsia="zh-CN" w:bidi="ar"/>
        </w:rPr>
        <w:t>601.27</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万元、公用经费支出</w:t>
      </w:r>
      <w:r>
        <w:rPr>
          <w:rFonts w:hint="eastAsia" w:ascii="宋体" w:hAnsi="宋体" w:cs="宋体"/>
          <w:color w:val="232323"/>
          <w:kern w:val="0"/>
          <w:sz w:val="24"/>
          <w:szCs w:val="24"/>
          <w:highlight w:val="none"/>
          <w:shd w:val="clear" w:color="auto" w:fill="FFFFFF"/>
          <w:lang w:val="en-US" w:eastAsia="zh-CN" w:bidi="ar"/>
        </w:rPr>
        <w:t>2934.7</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万元。</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（三）项目支出情况</w:t>
      </w:r>
    </w:p>
    <w:p>
      <w:pPr>
        <w:pStyle w:val="5"/>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right="0" w:rightChars="0" w:firstLine="560" w:firstLineChars="200"/>
        <w:jc w:val="both"/>
        <w:rPr>
          <w:rFonts w:hint="default"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i w:val="0"/>
          <w:iCs w:val="0"/>
          <w:caps w:val="0"/>
          <w:color w:val="444444"/>
          <w:spacing w:val="0"/>
          <w:kern w:val="2"/>
          <w:sz w:val="28"/>
          <w:szCs w:val="28"/>
          <w:highlight w:val="none"/>
          <w:shd w:val="clear" w:fill="FFFFFF"/>
          <w:lang w:val="en-US" w:eastAsia="zh-CN" w:bidi="ar-SA"/>
        </w:rPr>
        <w:t>本年项目支出年初预算安排为170.64万元，本年实际支出为0万元，因未设置专项账目处理，实际支出170.64万。</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jc w:val="both"/>
        <w:rPr>
          <w:rFonts w:hint="eastAsia" w:ascii="宋体" w:hAnsi="宋体" w:eastAsia="宋体" w:cs="宋体"/>
          <w:b/>
          <w:bCs/>
          <w:i w:val="0"/>
          <w:iCs w:val="0"/>
          <w:caps w:val="0"/>
          <w:color w:val="444444"/>
          <w:spacing w:val="0"/>
          <w:sz w:val="32"/>
          <w:szCs w:val="32"/>
          <w:highlight w:val="none"/>
          <w:shd w:val="clear" w:fill="FFFFFF"/>
        </w:rPr>
      </w:pPr>
      <w:r>
        <w:rPr>
          <w:rFonts w:hint="eastAsia" w:ascii="宋体" w:hAnsi="宋体" w:eastAsia="宋体" w:cs="宋体"/>
          <w:b/>
          <w:bCs/>
          <w:i w:val="0"/>
          <w:iCs w:val="0"/>
          <w:caps w:val="0"/>
          <w:color w:val="444444"/>
          <w:spacing w:val="0"/>
          <w:sz w:val="32"/>
          <w:szCs w:val="32"/>
          <w:highlight w:val="none"/>
          <w:shd w:val="clear" w:fill="FFFFFF"/>
          <w:lang w:val="en-US" w:eastAsia="zh-CN"/>
        </w:rPr>
        <w:t>三</w:t>
      </w:r>
      <w:r>
        <w:rPr>
          <w:rFonts w:hint="eastAsia" w:ascii="宋体" w:hAnsi="宋体" w:eastAsia="宋体" w:cs="宋体"/>
          <w:b/>
          <w:bCs/>
          <w:i w:val="0"/>
          <w:iCs w:val="0"/>
          <w:caps w:val="0"/>
          <w:color w:val="444444"/>
          <w:spacing w:val="0"/>
          <w:sz w:val="32"/>
          <w:szCs w:val="32"/>
          <w:highlight w:val="none"/>
          <w:shd w:val="clear" w:fill="FFFFFF"/>
        </w:rPr>
        <w:t>、部门整体支出绩效情况</w:t>
      </w:r>
    </w:p>
    <w:p>
      <w:pPr>
        <w:spacing w:line="480" w:lineRule="auto"/>
        <w:ind w:firstLine="643" w:firstLineChars="200"/>
        <w:jc w:val="left"/>
        <w:rPr>
          <w:rFonts w:hint="eastAsia" w:ascii="宋体" w:hAnsi="宋体" w:eastAsia="宋体" w:cs="宋体"/>
          <w:b/>
          <w:bCs/>
          <w:i w:val="0"/>
          <w:iCs w:val="0"/>
          <w:caps w:val="0"/>
          <w:color w:val="444444"/>
          <w:spacing w:val="0"/>
          <w:sz w:val="32"/>
          <w:szCs w:val="32"/>
          <w:highlight w:val="none"/>
          <w:shd w:val="clear" w:fill="FFFFFF"/>
          <w:lang w:val="en-US" w:eastAsia="zh-CN"/>
        </w:rPr>
      </w:pPr>
      <w:r>
        <w:rPr>
          <w:rFonts w:hint="eastAsia" w:ascii="宋体" w:hAnsi="宋体" w:eastAsia="宋体" w:cs="宋体"/>
          <w:b/>
          <w:bCs/>
          <w:i w:val="0"/>
          <w:iCs w:val="0"/>
          <w:caps w:val="0"/>
          <w:color w:val="444444"/>
          <w:spacing w:val="0"/>
          <w:sz w:val="32"/>
          <w:szCs w:val="32"/>
          <w:highlight w:val="none"/>
          <w:shd w:val="clear" w:fill="FFFFFF"/>
          <w:lang w:val="en-US" w:eastAsia="zh-CN"/>
        </w:rPr>
        <w:t>（一）主要绩效指标完成情况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highlight w:val="none"/>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1、预算执行情况。</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⑴2022年度北塔区卫生健康局支出年初预算安排为431.76万元，本年实际支出为3603.47万元，预算执行率为834.6%，当年预算有超支3171.71万元；⑵公用经费预算27.18万元，实际支出2934.7万元，公用经费控制率为107.97%；、（3）“三公经费”年初预算安排1.46万元，实际支出1.46万元，“三公经费”控制率为100%。（4）政府采购年初预算0万元，实际政府采购金额0万元，政府采购执行率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highlight w:val="none"/>
          <w:shd w:val="clear" w:fill="FFFFFF"/>
        </w:rPr>
        <w:t>2、预决算信息公开情况。</w:t>
      </w:r>
      <w:r>
        <w:rPr>
          <w:rFonts w:hint="eastAsia" w:ascii="宋体" w:hAnsi="宋体" w:eastAsia="宋体" w:cs="宋体"/>
          <w:i w:val="0"/>
          <w:iCs w:val="0"/>
          <w:caps w:val="0"/>
          <w:color w:val="444444"/>
          <w:spacing w:val="0"/>
          <w:kern w:val="2"/>
          <w:sz w:val="28"/>
          <w:szCs w:val="28"/>
          <w:shd w:val="clear" w:fill="FFFFFF"/>
          <w:lang w:val="en-US" w:eastAsia="zh-CN" w:bidi="ar-SA"/>
        </w:rPr>
        <w:t>北塔区</w:t>
      </w:r>
      <w:r>
        <w:rPr>
          <w:rFonts w:hint="eastAsia" w:ascii="宋体" w:hAnsi="宋体" w:eastAsia="宋体" w:cs="宋体"/>
          <w:sz w:val="24"/>
          <w:szCs w:val="24"/>
          <w:lang w:val="en-US" w:eastAsia="zh-CN"/>
        </w:rPr>
        <w:t>卫生健康局</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及时在区政</w:t>
      </w:r>
      <w:r>
        <w:rPr>
          <w:rFonts w:hint="eastAsia" w:ascii="宋体" w:hAnsi="宋体" w:eastAsia="宋体" w:cs="宋体"/>
          <w:i w:val="0"/>
          <w:iCs w:val="0"/>
          <w:caps w:val="0"/>
          <w:color w:val="444444"/>
          <w:spacing w:val="0"/>
          <w:kern w:val="2"/>
          <w:sz w:val="28"/>
          <w:szCs w:val="28"/>
          <w:shd w:val="clear" w:fill="FFFFFF"/>
          <w:lang w:val="en-US" w:eastAsia="zh-CN" w:bidi="ar-SA"/>
        </w:rPr>
        <w:t>府统一平台公开了部门预算、决算和绩效目标、绩效自评报告、“三公经费”等信息，接受群众和社会监督。</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480" w:lineRule="atLeast"/>
        <w:ind w:left="0" w:right="0" w:firstLine="42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b/>
          <w:bCs/>
          <w:i w:val="0"/>
          <w:iCs w:val="0"/>
          <w:caps w:val="0"/>
          <w:color w:val="444444"/>
          <w:spacing w:val="0"/>
          <w:sz w:val="32"/>
          <w:szCs w:val="32"/>
          <w:shd w:val="clear" w:fill="FFFFFF"/>
          <w:lang w:val="en-US" w:eastAsia="zh-CN"/>
        </w:rPr>
        <w:t>3</w:t>
      </w:r>
      <w:r>
        <w:rPr>
          <w:rFonts w:hint="eastAsia" w:ascii="宋体" w:hAnsi="宋体" w:eastAsia="宋体" w:cs="宋体"/>
          <w:b/>
          <w:bCs/>
          <w:i w:val="0"/>
          <w:iCs w:val="0"/>
          <w:caps w:val="0"/>
          <w:color w:val="444444"/>
          <w:spacing w:val="0"/>
          <w:sz w:val="32"/>
          <w:szCs w:val="32"/>
          <w:shd w:val="clear" w:fill="FFFFFF"/>
        </w:rPr>
        <w:t>、资产管理情况。</w:t>
      </w:r>
      <w:r>
        <w:rPr>
          <w:rFonts w:hint="eastAsia" w:ascii="宋体" w:hAnsi="宋体" w:eastAsia="宋体" w:cs="宋体"/>
          <w:i w:val="0"/>
          <w:iCs w:val="0"/>
          <w:caps w:val="0"/>
          <w:color w:val="444444"/>
          <w:spacing w:val="0"/>
          <w:kern w:val="2"/>
          <w:sz w:val="28"/>
          <w:szCs w:val="28"/>
          <w:shd w:val="clear" w:fill="FFFFFF"/>
          <w:lang w:val="en-US" w:eastAsia="zh-CN" w:bidi="ar-SA"/>
        </w:rPr>
        <w:t>截止2022年12月31日，北塔区卫生健康局拥有各类资产总额193.22万元，其中流动资产161.66万元，固定资</w:t>
      </w:r>
      <w:r>
        <w:rPr>
          <w:rFonts w:hint="eastAsia" w:ascii="宋体" w:hAnsi="宋体" w:eastAsia="宋体" w:cs="宋体"/>
          <w:i w:val="0"/>
          <w:iCs w:val="0"/>
          <w:caps w:val="0"/>
          <w:color w:val="444444"/>
          <w:spacing w:val="0"/>
          <w:kern w:val="2"/>
          <w:sz w:val="28"/>
          <w:szCs w:val="28"/>
          <w:highlight w:val="none"/>
          <w:shd w:val="clear" w:fill="FFFFFF"/>
          <w:lang w:val="en-US" w:eastAsia="zh-CN" w:bidi="ar-SA"/>
        </w:rPr>
        <w:t>产31.56万元。单位为加强资产管理，内部制定了资产管理制度，</w:t>
      </w:r>
      <w:r>
        <w:rPr>
          <w:rFonts w:hint="eastAsia" w:ascii="宋体" w:hAnsi="宋体" w:eastAsia="宋体" w:cs="宋体"/>
          <w:i w:val="0"/>
          <w:iCs w:val="0"/>
          <w:caps w:val="0"/>
          <w:color w:val="444444"/>
          <w:spacing w:val="0"/>
          <w:kern w:val="2"/>
          <w:sz w:val="28"/>
          <w:szCs w:val="28"/>
          <w:shd w:val="clear" w:fill="FFFFFF"/>
          <w:lang w:val="en-US" w:eastAsia="zh-CN" w:bidi="ar-SA"/>
        </w:rPr>
        <w:t>对各类资产的购置、保管、使用、报废、处置等方面都作出了明确的规定，制度要求所有办公设备（含办公用品）的添置，先由各委室提出申请，经业务分管领导审核同意后，再由办公室及时采购并建立固定资产实物登记台账，工作人员异动，必须及时办理固定资产移交手续，不得侵占和擅自带走，各委室不得擅自购买任何办公用品和设备，否则不予报销。</w:t>
      </w:r>
    </w:p>
    <w:p>
      <w:pPr>
        <w:spacing w:line="720" w:lineRule="auto"/>
        <w:ind w:firstLine="643" w:firstLineChars="200"/>
        <w:jc w:val="left"/>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（二）职责覆行和主要绩效情况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（一）基本支出</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基本支出3535.97万元，主要用于保障人员的工资和福利支出、正常办公所需的商品和服务支出及对个人和家庭的补助支出。按支出经济分类：其中工资福利支出410.91万元，占基本支出的11.62%；商品服务支出 2914.81万元，占基本支出的82.43%；对个人家庭补助支出190.36万元，占基本支出的5.38%；资本性支出19.89万元，占基本支出的0.56%.</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（二）“三公”经费决算说明</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公务接待费严格按照《邵阳市北塔区党政机关公务接待管理实施细则》执行，厉行节约，招待费实行先申报后招待，接待经费凭据报销，报销凭证包括财务票据（发票）、公务卡结算单、派出单位公务接待函、接待清单、接待审批单，接待清单与派出单位公务接待公函一致，一起作为财务报销凭证。</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2022年我局“三公”经费决算支出数1.46万元。其中：因公出国(境)费0万元、公务接待费1.46万元（同比2020年减少了0.54万元）、公务用车费0万元。</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（三）基本支出的公用经费情况</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2022年我局决算支出日常公用经费2934.71万元。主要包括：办公费、差旅费、招待费、水电费、维修费、租赁费、会议费、培训费等支出。具体明细如下（单位：万元）：</w:t>
      </w:r>
    </w:p>
    <w:p>
      <w:pPr>
        <w:pStyle w:val="2"/>
        <w:rPr>
          <w:rFonts w:hint="eastAsia" w:ascii="宋体" w:hAnsi="宋体" w:eastAsia="宋体" w:cs="宋体"/>
          <w:sz w:val="24"/>
          <w:szCs w:val="24"/>
        </w:rPr>
      </w:pP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5"/>
        <w:gridCol w:w="258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项目</w:t>
            </w:r>
          </w:p>
        </w:tc>
        <w:tc>
          <w:tcPr>
            <w:tcW w:w="258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决算支出</w:t>
            </w:r>
          </w:p>
        </w:tc>
        <w:tc>
          <w:tcPr>
            <w:tcW w:w="2340" w:type="dxa"/>
            <w:noWrap w:val="0"/>
            <w:vAlign w:val="center"/>
          </w:tcPr>
          <w:p>
            <w:pPr>
              <w:widowControl/>
              <w:jc w:val="center"/>
              <w:rPr>
                <w:rFonts w:hint="eastAsia" w:ascii="宋体" w:hAnsi="宋体" w:eastAsia="宋体" w:cs="宋体"/>
                <w:b/>
                <w:bCs/>
                <w:color w:val="232323"/>
                <w:kern w:val="0"/>
                <w:sz w:val="24"/>
                <w:szCs w:val="24"/>
                <w:shd w:val="clear" w:color="auto" w:fill="FFFFFF"/>
                <w:lang w:bidi="ar"/>
              </w:rPr>
            </w:pPr>
            <w:r>
              <w:rPr>
                <w:rFonts w:hint="eastAsia" w:ascii="宋体" w:hAnsi="宋体" w:eastAsia="宋体" w:cs="宋体"/>
                <w:b/>
                <w:bCs/>
                <w:color w:val="232323"/>
                <w:kern w:val="0"/>
                <w:sz w:val="24"/>
                <w:szCs w:val="24"/>
                <w:shd w:val="clear" w:color="auto" w:fill="FFFFFF"/>
                <w:lang w:bidi="ar"/>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115.13</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cs="宋体"/>
                <w:i w:val="0"/>
                <w:iCs w:val="0"/>
                <w:color w:val="000000"/>
                <w:kern w:val="0"/>
                <w:sz w:val="22"/>
                <w:szCs w:val="22"/>
                <w:u w:val="none"/>
                <w:lang w:val="en-US" w:eastAsia="zh-CN" w:bidi="ar"/>
              </w:rPr>
              <w:t>3.92</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67.1</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cs="宋体"/>
                <w:i w:val="0"/>
                <w:iCs w:val="0"/>
                <w:color w:val="000000"/>
                <w:kern w:val="0"/>
                <w:sz w:val="22"/>
                <w:szCs w:val="22"/>
                <w:u w:val="none"/>
                <w:lang w:val="en-US" w:eastAsia="zh-CN" w:bidi="ar"/>
              </w:rPr>
              <w:t>2.29</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水费</w:t>
            </w:r>
          </w:p>
        </w:tc>
        <w:tc>
          <w:tcPr>
            <w:tcW w:w="2580" w:type="dxa"/>
            <w:noWrap w:val="0"/>
            <w:vAlign w:val="center"/>
          </w:tcPr>
          <w:p>
            <w:pPr>
              <w:jc w:val="center"/>
              <w:rPr>
                <w:rFonts w:hint="eastAsia" w:ascii="宋体" w:hAnsi="宋体" w:eastAsia="宋体" w:cs="宋体"/>
                <w:color w:val="232323"/>
                <w:kern w:val="0"/>
                <w:sz w:val="24"/>
                <w:szCs w:val="24"/>
                <w:shd w:val="clear" w:color="auto" w:fill="FFFFFF"/>
                <w:lang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电费</w:t>
            </w:r>
          </w:p>
        </w:tc>
        <w:tc>
          <w:tcPr>
            <w:tcW w:w="2580" w:type="dxa"/>
            <w:noWrap w:val="0"/>
            <w:vAlign w:val="center"/>
          </w:tcPr>
          <w:p>
            <w:pPr>
              <w:jc w:val="center"/>
              <w:rPr>
                <w:rFonts w:hint="eastAsia" w:ascii="宋体" w:hAnsi="宋体" w:eastAsia="宋体" w:cs="宋体"/>
                <w:color w:val="232323"/>
                <w:kern w:val="0"/>
                <w:sz w:val="24"/>
                <w:szCs w:val="24"/>
                <w:shd w:val="clear" w:color="auto" w:fill="FFFFFF"/>
                <w:lang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1.14</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2"/>
                <w:szCs w:val="22"/>
                <w:u w:val="none"/>
                <w:lang w:val="en-US" w:eastAsia="zh-CN" w:bidi="ar"/>
              </w:rPr>
              <w:t>0.0</w:t>
            </w:r>
            <w:r>
              <w:rPr>
                <w:rFonts w:hint="eastAsia" w:ascii="宋体" w:hAnsi="宋体" w:cs="宋体"/>
                <w:i w:val="0"/>
                <w:iCs w:val="0"/>
                <w:color w:val="000000"/>
                <w:kern w:val="0"/>
                <w:sz w:val="22"/>
                <w:szCs w:val="22"/>
                <w:u w:val="none"/>
                <w:lang w:val="en-US" w:eastAsia="zh-CN" w:bidi="ar"/>
              </w:rPr>
              <w:t>4</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2.74</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09</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8.76</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377.44</w:t>
            </w: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12.86%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0.54</w:t>
            </w:r>
          </w:p>
        </w:tc>
        <w:tc>
          <w:tcPr>
            <w:tcW w:w="234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0</w:t>
            </w:r>
            <w:r>
              <w:rPr>
                <w:rFonts w:hint="eastAsia" w:ascii="宋体" w:hAnsi="宋体" w:eastAsia="宋体" w:cs="宋体"/>
                <w:i w:val="0"/>
                <w:iCs w:val="0"/>
                <w:color w:val="000000"/>
                <w:kern w:val="0"/>
                <w:sz w:val="22"/>
                <w:szCs w:val="22"/>
                <w:u w:val="none"/>
                <w:lang w:val="en-US" w:eastAsia="zh-CN" w:bidi="ar"/>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1.46</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2"/>
                <w:szCs w:val="22"/>
                <w:u w:val="none"/>
                <w:lang w:val="en-US" w:eastAsia="zh-CN" w:bidi="ar"/>
              </w:rPr>
              <w:t>0.</w:t>
            </w:r>
            <w:r>
              <w:rPr>
                <w:rFonts w:hint="eastAsia" w:ascii="宋体" w:hAnsi="宋体" w:cs="宋体"/>
                <w:i w:val="0"/>
                <w:iCs w:val="0"/>
                <w:color w:val="000000"/>
                <w:kern w:val="0"/>
                <w:sz w:val="22"/>
                <w:szCs w:val="22"/>
                <w:u w:val="none"/>
                <w:lang w:val="en-US" w:eastAsia="zh-CN" w:bidi="ar"/>
              </w:rPr>
              <w:t>05</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bidi="ar"/>
              </w:rPr>
            </w:pPr>
            <w:r>
              <w:rPr>
                <w:rFonts w:hint="eastAsia" w:ascii="宋体" w:hAnsi="宋体" w:cs="宋体"/>
                <w:i w:val="0"/>
                <w:iCs w:val="0"/>
                <w:color w:val="000000"/>
                <w:kern w:val="0"/>
                <w:sz w:val="20"/>
                <w:szCs w:val="20"/>
                <w:u w:val="none"/>
                <w:lang w:val="en-US" w:eastAsia="zh-CN" w:bidi="ar"/>
              </w:rPr>
              <w:t>373.61</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bidi="ar"/>
              </w:rPr>
            </w:pPr>
            <w:r>
              <w:rPr>
                <w:rFonts w:hint="eastAsia" w:ascii="宋体" w:hAnsi="宋体" w:cs="宋体"/>
                <w:i w:val="0"/>
                <w:iCs w:val="0"/>
                <w:color w:val="000000"/>
                <w:kern w:val="0"/>
                <w:sz w:val="22"/>
                <w:szCs w:val="22"/>
                <w:u w:val="none"/>
                <w:lang w:val="en-US" w:eastAsia="zh-CN" w:bidi="ar"/>
              </w:rPr>
              <w:t>12.73</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2580" w:type="dxa"/>
            <w:noWrap w:val="0"/>
            <w:vAlign w:val="center"/>
          </w:tcPr>
          <w:p>
            <w:pPr>
              <w:jc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widowControl/>
              <w:jc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73.03</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i w:val="0"/>
                <w:iCs w:val="0"/>
                <w:color w:val="000000"/>
                <w:kern w:val="0"/>
                <w:sz w:val="22"/>
                <w:szCs w:val="22"/>
                <w:u w:val="none"/>
                <w:lang w:val="en-US" w:eastAsia="zh-CN" w:bidi="ar"/>
              </w:rPr>
              <w:t>2.</w:t>
            </w:r>
            <w:r>
              <w:rPr>
                <w:rFonts w:hint="eastAsia" w:ascii="宋体" w:hAnsi="宋体" w:cs="宋体"/>
                <w:i w:val="0"/>
                <w:iCs w:val="0"/>
                <w:color w:val="000000"/>
                <w:kern w:val="0"/>
                <w:sz w:val="22"/>
                <w:szCs w:val="22"/>
                <w:u w:val="none"/>
                <w:lang w:val="en-US" w:eastAsia="zh-CN" w:bidi="ar"/>
              </w:rPr>
              <w:t>49</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126.75</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2"/>
                <w:szCs w:val="22"/>
                <w:u w:val="none"/>
                <w:lang w:val="en-US" w:eastAsia="zh-CN" w:bidi="ar"/>
              </w:rPr>
              <w:t>4.32</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ind w:firstLine="200" w:firstLineChars="10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其他交通费用</w:t>
            </w:r>
          </w:p>
        </w:tc>
        <w:tc>
          <w:tcPr>
            <w:tcW w:w="2580" w:type="dxa"/>
            <w:noWrap w:val="0"/>
            <w:vAlign w:val="center"/>
          </w:tcPr>
          <w:p>
            <w:pPr>
              <w:keepNext w:val="0"/>
              <w:keepLines w:val="0"/>
              <w:widowControl/>
              <w:suppressLineNumbers w:val="0"/>
              <w:jc w:val="center"/>
              <w:textAlignment w:val="center"/>
              <w:rPr>
                <w:rFonts w:hint="default" w:ascii="宋体" w:hAnsi="宋体" w:cs="宋体"/>
                <w:i w:val="0"/>
                <w:iCs w:val="0"/>
                <w:color w:val="000000"/>
                <w:kern w:val="0"/>
                <w:sz w:val="20"/>
                <w:szCs w:val="20"/>
                <w:u w:val="none"/>
                <w:lang w:val="en-US" w:eastAsia="zh-CN" w:bidi="ar"/>
              </w:rPr>
            </w:pPr>
            <w:r>
              <w:rPr>
                <w:rFonts w:hint="eastAsia" w:ascii="宋体" w:hAnsi="宋体" w:cs="宋体"/>
                <w:i w:val="0"/>
                <w:iCs w:val="0"/>
                <w:color w:val="000000"/>
                <w:kern w:val="0"/>
                <w:sz w:val="20"/>
                <w:szCs w:val="20"/>
                <w:u w:val="none"/>
                <w:lang w:val="en-US" w:eastAsia="zh-CN" w:bidi="ar"/>
              </w:rPr>
              <w:t>19.72</w:t>
            </w:r>
          </w:p>
        </w:tc>
        <w:tc>
          <w:tcPr>
            <w:tcW w:w="2340" w:type="dxa"/>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p>
        </w:tc>
        <w:tc>
          <w:tcPr>
            <w:tcW w:w="234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jc w:val="left"/>
              <w:textAlignment w:val="center"/>
              <w:rPr>
                <w:rFonts w:hint="eastAsia" w:ascii="宋体" w:hAnsi="宋体" w:eastAsia="宋体" w:cs="宋体"/>
                <w:color w:val="232323"/>
                <w:kern w:val="0"/>
                <w:sz w:val="24"/>
                <w:szCs w:val="24"/>
                <w:shd w:val="clear" w:color="auto" w:fill="FFFFFF"/>
                <w:lang w:bidi="ar"/>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1747.4</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2"/>
                <w:szCs w:val="22"/>
                <w:u w:val="none"/>
                <w:lang w:val="en-US" w:eastAsia="zh-CN" w:bidi="ar"/>
              </w:rPr>
              <w:t>59.54</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ind w:firstLine="200" w:firstLineChars="100"/>
              <w:jc w:val="left"/>
              <w:textAlignment w:val="center"/>
              <w:rPr>
                <w:rFonts w:hint="eastAsia" w:ascii="宋体" w:hAnsi="宋体" w:eastAsia="宋体" w:cs="宋体"/>
                <w:color w:val="232323"/>
                <w:kern w:val="0"/>
                <w:sz w:val="24"/>
                <w:szCs w:val="24"/>
                <w:shd w:val="clear" w:color="auto" w:fill="FFFFFF"/>
                <w:lang w:bidi="ar"/>
              </w:rPr>
            </w:pPr>
            <w:r>
              <w:rPr>
                <w:rFonts w:ascii="宋体" w:hAnsi="宋体" w:eastAsia="宋体" w:cs="宋体"/>
                <w:i w:val="0"/>
                <w:iCs w:val="0"/>
                <w:color w:val="000000"/>
                <w:kern w:val="0"/>
                <w:sz w:val="20"/>
                <w:szCs w:val="20"/>
                <w:u w:val="none"/>
                <w:lang w:val="en-US" w:eastAsia="zh-CN" w:bidi="ar"/>
              </w:rPr>
              <w:t>办公设备购置</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0"/>
                <w:szCs w:val="20"/>
                <w:u w:val="none"/>
                <w:lang w:val="en-US" w:eastAsia="zh-CN" w:bidi="ar"/>
              </w:rPr>
              <w:t>19.89</w:t>
            </w:r>
          </w:p>
        </w:tc>
        <w:tc>
          <w:tcPr>
            <w:tcW w:w="2340" w:type="dxa"/>
            <w:noWrap w:val="0"/>
            <w:vAlign w:val="center"/>
          </w:tcPr>
          <w:p>
            <w:pPr>
              <w:keepNext w:val="0"/>
              <w:keepLines w:val="0"/>
              <w:widowControl/>
              <w:suppressLineNumbers w:val="0"/>
              <w:jc w:val="center"/>
              <w:textAlignment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cs="宋体"/>
                <w:i w:val="0"/>
                <w:iCs w:val="0"/>
                <w:color w:val="000000"/>
                <w:kern w:val="0"/>
                <w:sz w:val="22"/>
                <w:szCs w:val="22"/>
                <w:u w:val="none"/>
                <w:lang w:val="en-US" w:eastAsia="zh-CN" w:bidi="ar"/>
              </w:rPr>
              <w:t>0.68</w:t>
            </w:r>
            <w:r>
              <w:rPr>
                <w:rFonts w:hint="eastAsia" w:ascii="宋体" w:hAnsi="宋体" w:eastAsia="宋体" w:cs="宋体"/>
                <w:i w:val="0"/>
                <w:iCs w:val="0"/>
                <w:color w:val="000000"/>
                <w:kern w:val="0"/>
                <w:sz w:val="22"/>
                <w:szCs w:val="22"/>
                <w:u w:val="none"/>
                <w:lang w:val="en-US"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625" w:type="dxa"/>
            <w:noWrap w:val="0"/>
            <w:vAlign w:val="center"/>
          </w:tcPr>
          <w:p>
            <w:pPr>
              <w:keepNext w:val="0"/>
              <w:keepLines w:val="0"/>
              <w:widowControl/>
              <w:suppressLineNumbers w:val="0"/>
              <w:ind w:firstLine="200" w:firstLineChars="100"/>
              <w:jc w:val="left"/>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eastAsia="宋体" w:cs="宋体"/>
                <w:i w:val="0"/>
                <w:iCs w:val="0"/>
                <w:color w:val="000000"/>
                <w:kern w:val="0"/>
                <w:sz w:val="20"/>
                <w:szCs w:val="20"/>
                <w:u w:val="none"/>
                <w:lang w:val="en-US" w:eastAsia="zh-CN" w:bidi="ar"/>
              </w:rPr>
              <w:t>合 计：</w:t>
            </w:r>
          </w:p>
        </w:tc>
        <w:tc>
          <w:tcPr>
            <w:tcW w:w="2580" w:type="dxa"/>
            <w:noWrap w:val="0"/>
            <w:vAlign w:val="center"/>
          </w:tcPr>
          <w:p>
            <w:pPr>
              <w:keepNext w:val="0"/>
              <w:keepLines w:val="0"/>
              <w:widowControl/>
              <w:suppressLineNumbers w:val="0"/>
              <w:jc w:val="center"/>
              <w:textAlignment w:val="center"/>
              <w:rPr>
                <w:rFonts w:hint="default" w:ascii="宋体" w:hAnsi="宋体" w:eastAsia="宋体" w:cs="宋体"/>
                <w:color w:val="232323"/>
                <w:kern w:val="0"/>
                <w:sz w:val="24"/>
                <w:szCs w:val="24"/>
                <w:shd w:val="clear" w:color="auto" w:fill="FFFFFF"/>
                <w:lang w:val="en-US" w:eastAsia="zh-CN" w:bidi="ar"/>
              </w:rPr>
            </w:pPr>
            <w:r>
              <w:rPr>
                <w:rFonts w:hint="eastAsia" w:ascii="宋体" w:hAnsi="宋体" w:cs="宋体"/>
                <w:color w:val="232323"/>
                <w:kern w:val="0"/>
                <w:sz w:val="24"/>
                <w:szCs w:val="24"/>
                <w:shd w:val="clear" w:color="auto" w:fill="FFFFFF"/>
                <w:lang w:val="en-US" w:eastAsia="zh-CN" w:bidi="ar"/>
              </w:rPr>
              <w:t>2934.71</w:t>
            </w:r>
          </w:p>
        </w:tc>
        <w:tc>
          <w:tcPr>
            <w:tcW w:w="2340" w:type="dxa"/>
            <w:noWrap w:val="0"/>
            <w:vAlign w:val="center"/>
          </w:tcPr>
          <w:p>
            <w:pPr>
              <w:widowControl/>
              <w:jc w:val="center"/>
              <w:rPr>
                <w:rFonts w:hint="eastAsia" w:ascii="宋体" w:hAnsi="宋体" w:eastAsia="宋体" w:cs="宋体"/>
                <w:color w:val="232323"/>
                <w:kern w:val="0"/>
                <w:sz w:val="24"/>
                <w:szCs w:val="24"/>
                <w:shd w:val="clear" w:color="auto" w:fill="FFFFFF"/>
                <w:lang w:val="en-US" w:eastAsia="zh-CN" w:bidi="ar"/>
              </w:rPr>
            </w:pPr>
            <w:r>
              <w:rPr>
                <w:rFonts w:hint="eastAsia" w:ascii="宋体" w:hAnsi="宋体" w:eastAsia="宋体" w:cs="宋体"/>
                <w:color w:val="232323"/>
                <w:kern w:val="0"/>
                <w:sz w:val="24"/>
                <w:szCs w:val="24"/>
                <w:shd w:val="clear" w:color="auto" w:fill="FFFFFF"/>
                <w:lang w:val="en-US" w:eastAsia="zh-CN" w:bidi="ar"/>
              </w:rPr>
              <w:t>100%</w:t>
            </w:r>
          </w:p>
        </w:tc>
      </w:tr>
    </w:tbl>
    <w:p>
      <w:pPr>
        <w:keepNext w:val="0"/>
        <w:keepLines w:val="0"/>
        <w:pageBreakBefore w:val="0"/>
        <w:widowControl w:val="0"/>
        <w:kinsoku/>
        <w:wordWrap/>
        <w:overflowPunct/>
        <w:topLinePunct w:val="0"/>
        <w:autoSpaceDE/>
        <w:autoSpaceDN/>
        <w:bidi w:val="0"/>
        <w:adjustRightInd/>
        <w:snapToGrid/>
        <w:spacing w:line="480" w:lineRule="exact"/>
        <w:ind w:firstLine="480" w:firstLineChars="200"/>
        <w:textAlignment w:val="auto"/>
        <w:rPr>
          <w:rFonts w:hint="eastAsia" w:ascii="宋体" w:hAnsi="宋体" w:eastAsia="宋体" w:cs="宋体"/>
          <w:sz w:val="24"/>
          <w:szCs w:val="24"/>
        </w:rPr>
      </w:pP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为加强对预算资金的支出管理，我局财务实行统一核算，统一账户，统一管理。</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（1）财务报账手续规范，报账凭证内容必须符合有关财经法规规定和票据管理要求。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进一步规范资金使用，把好“支出关”。经费开支按预算执行，基本支出的日常财务管理工作由局机关财务实行统一核算和统一管理，做到不铺张浪费，努力做到使有限的经费保证机关日常工作的正常运转。</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（3）固定资产实行统一采购、保管。办公室负责对固定资产进行定期盘点、清理核对工作。</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（4）财务管理规范：会计核算严格执行《新政府会计制度》，会计档案按规定要求整理立卷，装订成册。</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宋体" w:hAnsi="宋体" w:eastAsia="宋体" w:cs="宋体"/>
          <w:sz w:val="24"/>
          <w:szCs w:val="24"/>
        </w:rPr>
      </w:pPr>
      <w:r>
        <w:rPr>
          <w:rFonts w:hint="eastAsia" w:ascii="宋体" w:hAnsi="宋体" w:eastAsia="宋体" w:cs="宋体"/>
          <w:i w:val="0"/>
          <w:iCs w:val="0"/>
          <w:caps w:val="0"/>
          <w:color w:val="444444"/>
          <w:spacing w:val="0"/>
          <w:kern w:val="2"/>
          <w:sz w:val="28"/>
          <w:szCs w:val="28"/>
          <w:shd w:val="clear" w:fill="FFFFFF"/>
          <w:lang w:val="en-US" w:eastAsia="zh-CN" w:bidi="ar-SA"/>
        </w:rPr>
        <w:t>（5）进一步推进预决算等重要信息的公开透明。2022年度北塔区卫生计生综合监督执法局按时按要求在政务网站上公开了部门预算、决算报表的相关信息。</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643" w:firstLineChars="20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四、存在的问题及原因分析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right="0" w:firstLine="560" w:firstLineChars="200"/>
        <w:jc w:val="both"/>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一是预算安排经费不够精准，使一些费用明细项实际开支时存在超支或节余的问题，导致费用调剂使用金额较大。二是专项资金监管力度不够，没有制定出高质量的专项资金考核指标。三是近两年由于新冠肺炎疫情的影响，使极个别项目实施进展缓慢。今年我们会进一步加强对各项目的督导和管理，力争每个项目都在规定时间内高质高效的完成。</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240" w:beforeAutospacing="0" w:after="0" w:afterAutospacing="0" w:line="720" w:lineRule="auto"/>
        <w:ind w:left="0" w:right="0" w:firstLine="420"/>
        <w:jc w:val="both"/>
        <w:rPr>
          <w:rFonts w:hint="eastAsia" w:ascii="宋体" w:hAnsi="宋体" w:eastAsia="宋体" w:cs="宋体"/>
          <w:b/>
          <w:bCs/>
          <w:i w:val="0"/>
          <w:iCs w:val="0"/>
          <w:caps w:val="0"/>
          <w:color w:val="444444"/>
          <w:spacing w:val="0"/>
          <w:sz w:val="32"/>
          <w:szCs w:val="32"/>
          <w:shd w:val="clear" w:fill="FFFFFF"/>
          <w:lang w:val="en-US" w:eastAsia="zh-CN"/>
        </w:rPr>
      </w:pPr>
      <w:r>
        <w:rPr>
          <w:rFonts w:hint="eastAsia" w:ascii="宋体" w:hAnsi="宋体" w:eastAsia="宋体" w:cs="宋体"/>
          <w:b/>
          <w:bCs/>
          <w:i w:val="0"/>
          <w:iCs w:val="0"/>
          <w:caps w:val="0"/>
          <w:color w:val="444444"/>
          <w:spacing w:val="0"/>
          <w:sz w:val="32"/>
          <w:szCs w:val="32"/>
          <w:shd w:val="clear" w:fill="FFFFFF"/>
          <w:lang w:val="en-US" w:eastAsia="zh-CN"/>
        </w:rPr>
        <w:t>五、改进措施及有关建议</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1、加强资金管理力度，科学编制预算，提高预算安排的准确性。</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2、要建立健全科学合理的绩效评价指标体系，进一步完善部门绩效评价的管理制度。</w:t>
      </w:r>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r>
        <w:rPr>
          <w:rFonts w:hint="eastAsia" w:ascii="宋体" w:hAnsi="宋体" w:eastAsia="宋体" w:cs="宋体"/>
          <w:i w:val="0"/>
          <w:iCs w:val="0"/>
          <w:caps w:val="0"/>
          <w:color w:val="444444"/>
          <w:spacing w:val="0"/>
          <w:kern w:val="2"/>
          <w:sz w:val="28"/>
          <w:szCs w:val="28"/>
          <w:shd w:val="clear" w:fill="FFFFFF"/>
          <w:lang w:val="en-US" w:eastAsia="zh-CN" w:bidi="ar-SA"/>
        </w:rPr>
        <w:t>3、加大对专项资金的监管力度，切实提高专项资金的使用效益。</w:t>
      </w:r>
    </w:p>
    <w:p>
      <w:pPr>
        <w:spacing w:line="600" w:lineRule="exact"/>
        <w:ind w:firstLine="640" w:firstLineChars="200"/>
        <w:rPr>
          <w:rFonts w:ascii="宋体" w:hAnsi="宋体" w:cs="宋体"/>
          <w:kern w:val="0"/>
          <w:sz w:val="32"/>
          <w:szCs w:val="32"/>
        </w:rPr>
      </w:pPr>
      <w:bookmarkStart w:id="0" w:name="RANGE!A1:H22"/>
      <w:r>
        <w:rPr>
          <w:rFonts w:hint="eastAsia" w:ascii="黑体" w:hAnsi="宋体" w:eastAsia="黑体" w:cs="宋体"/>
          <w:kern w:val="0"/>
          <w:sz w:val="32"/>
          <w:szCs w:val="32"/>
        </w:rPr>
        <w:t>附件</w:t>
      </w:r>
      <w:bookmarkEnd w:id="0"/>
      <w:r>
        <w:rPr>
          <w:rFonts w:hint="eastAsia" w:ascii="黑体" w:hAnsi="宋体" w:eastAsia="黑体" w:cs="宋体"/>
          <w:kern w:val="0"/>
          <w:sz w:val="32"/>
          <w:szCs w:val="32"/>
        </w:rPr>
        <w:t>1</w:t>
      </w:r>
      <w:r>
        <w:rPr>
          <w:rFonts w:ascii="黑体" w:hAnsi="宋体" w:eastAsia="黑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r>
        <w:rPr>
          <w:rFonts w:ascii="宋体" w:hAnsi="宋体" w:cs="宋体"/>
          <w:kern w:val="0"/>
          <w:sz w:val="32"/>
          <w:szCs w:val="32"/>
        </w:rPr>
        <w:tab/>
      </w:r>
    </w:p>
    <w:p>
      <w:pPr>
        <w:widowControl/>
        <w:ind w:left="93"/>
        <w:jc w:val="center"/>
        <w:rPr>
          <w:rFonts w:hint="eastAsia" w:ascii="黑体" w:hAnsi="黑体" w:eastAsia="黑体" w:cs="黑体"/>
          <w:bCs/>
          <w:kern w:val="0"/>
          <w:sz w:val="28"/>
          <w:szCs w:val="28"/>
        </w:rPr>
      </w:pPr>
      <w:r>
        <w:rPr>
          <w:rFonts w:hint="eastAsia" w:ascii="黑体" w:hAnsi="黑体" w:eastAsia="黑体" w:cs="黑体"/>
          <w:bCs/>
          <w:kern w:val="0"/>
          <w:sz w:val="28"/>
          <w:szCs w:val="28"/>
        </w:rPr>
        <w:t>部门整体支出绩效评价指标评分表</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1"/>
        <w:gridCol w:w="429"/>
        <w:gridCol w:w="567"/>
        <w:gridCol w:w="851"/>
        <w:gridCol w:w="567"/>
        <w:gridCol w:w="3118"/>
        <w:gridCol w:w="3472"/>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blHeader/>
          <w:jc w:val="center"/>
        </w:trPr>
        <w:tc>
          <w:tcPr>
            <w:tcW w:w="41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一级指标</w:t>
            </w:r>
          </w:p>
        </w:tc>
        <w:tc>
          <w:tcPr>
            <w:tcW w:w="429"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二级指标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851"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三级   指标</w:t>
            </w:r>
          </w:p>
        </w:tc>
        <w:tc>
          <w:tcPr>
            <w:tcW w:w="567"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分值</w:t>
            </w:r>
          </w:p>
        </w:tc>
        <w:tc>
          <w:tcPr>
            <w:tcW w:w="3118"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评价标准</w:t>
            </w:r>
          </w:p>
        </w:tc>
        <w:tc>
          <w:tcPr>
            <w:tcW w:w="3472" w:type="dxa"/>
            <w:noWrap w:val="0"/>
            <w:vAlign w:val="center"/>
          </w:tcPr>
          <w:p>
            <w:pPr>
              <w:widowControl/>
              <w:jc w:val="center"/>
              <w:rPr>
                <w:rFonts w:hint="eastAsia" w:ascii="宋体" w:hAnsi="宋体" w:cs="宋体"/>
                <w:b/>
                <w:bCs/>
                <w:kern w:val="0"/>
                <w:sz w:val="20"/>
                <w:szCs w:val="20"/>
              </w:rPr>
            </w:pPr>
            <w:r>
              <w:rPr>
                <w:rFonts w:hint="eastAsia" w:ascii="宋体" w:hAnsi="宋体" w:cs="宋体"/>
                <w:b/>
                <w:bCs/>
                <w:kern w:val="0"/>
                <w:sz w:val="20"/>
                <w:szCs w:val="20"/>
              </w:rPr>
              <w:t>备注</w:t>
            </w:r>
          </w:p>
        </w:tc>
        <w:tc>
          <w:tcPr>
            <w:tcW w:w="617" w:type="dxa"/>
            <w:noWrap w:val="0"/>
            <w:vAlign w:val="center"/>
          </w:tcPr>
          <w:p>
            <w:pPr>
              <w:widowControl/>
              <w:jc w:val="center"/>
              <w:rPr>
                <w:rFonts w:hint="eastAsia" w:ascii="宋体" w:hAnsi="宋体" w:eastAsia="宋体" w:cs="宋体"/>
                <w:b/>
                <w:bCs/>
                <w:kern w:val="0"/>
                <w:sz w:val="24"/>
                <w:szCs w:val="24"/>
              </w:rPr>
            </w:pPr>
            <w:r>
              <w:rPr>
                <w:rFonts w:hint="eastAsia" w:ascii="宋体" w:hAnsi="宋体" w:cs="宋体"/>
                <w:b/>
                <w:bCs/>
                <w:kern w:val="0"/>
                <w:sz w:val="20"/>
                <w:szCs w:val="20"/>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2"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投    入</w:t>
            </w:r>
          </w:p>
        </w:tc>
        <w:tc>
          <w:tcPr>
            <w:tcW w:w="429"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预算配置</w:t>
            </w:r>
          </w:p>
        </w:tc>
        <w:tc>
          <w:tcPr>
            <w:tcW w:w="567" w:type="dxa"/>
            <w:vMerge w:val="restart"/>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18</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0,计3分；“三公经费”＞0，每超过一个百分点扣0.3分，扣完为止。</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“三公经费”变动率=[（本年度“三公经费”总额-上年度“三公经费”总额）/上年度“三公经费”总额]×100%。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“三公经费”：指政府部门人员因公出国（境）经费、公务车购置及运行费、公务招待费产生的消费。</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①招待费用明确招待标准和招待人数,1分;②车辆维护、燃油使用政府定点，1分。③</w:t>
            </w:r>
            <w:r>
              <w:rPr>
                <w:rFonts w:hint="eastAsia" w:ascii="仿宋_GB2312" w:hAnsi="仿宋" w:eastAsia="仿宋_GB2312" w:cs="仿宋"/>
                <w:kern w:val="0"/>
                <w:sz w:val="20"/>
                <w:szCs w:val="20"/>
              </w:rPr>
              <w:t>制定“三公经费”管理办法，1分，每少一项扣1分，扣完为止。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5"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招待费变动率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0,计2分；“公务招待费变动率”＞0，每超过一个百分点扣0.2分，扣完为止。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公务招待费变动率=[（本年度“公务招待费”总额-上年度“公务招待费”总额）/上年度“公务招待费”总额]×100%。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5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运行费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0,计2分；“公务用车购置运行费变动率”＞0，每超过一个百分点扣0.2分，扣完为止。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公务用车购置运行费变动率=[（本年度“公务用车购置运行费”总额-上年度“公务用车购置运行费”总额）/上年度“公务用车购置运行费”总额]×100%。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1"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 和服务支出 变动率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0,计2分；“商品和服务支出”变动率＞0，每超过一个百分点扣0.2分，扣完为止。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“商品和服务支出”变动率=[（本年度“商品和服务支出”总额-上年度“商品和服务支出”总额）/上年度“商品和服务支出”总额]×100%。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40"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支出  安排率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重点支出安排率≥90%，计2分；80%（含）-90%，计1分；70%（含）-80%，计0.5分；低于70%不得分。</w:t>
            </w:r>
          </w:p>
        </w:tc>
        <w:tc>
          <w:tcPr>
            <w:tcW w:w="3472"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重点支出安排率=（重点项目支出/项目总支出）×100%</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重点项目支出：市政府确定的为民办实事和部门重点工程与重点工作支出。项目总支出：部门（单位）年度预算安排的项目支出总额。</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①实行收支两条线，1分；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②未发生截留、坐支或转移，1分。以上每发现一次违规现象扣1分，扣完为止。</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9" w:hRule="atLeast"/>
          <w:jc w:val="center"/>
        </w:trPr>
        <w:tc>
          <w:tcPr>
            <w:tcW w:w="411" w:type="dxa"/>
            <w:vMerge w:val="continue"/>
            <w:noWrap w:val="0"/>
            <w:vAlign w:val="center"/>
          </w:tcPr>
          <w:p>
            <w:pPr>
              <w:widowControl/>
              <w:jc w:val="center"/>
              <w:rPr>
                <w:rFonts w:hint="eastAsia" w:ascii="仿宋_GB2312" w:hAnsi="宋体" w:eastAsia="仿宋_GB2312" w:cs="宋体"/>
                <w:kern w:val="0"/>
                <w:sz w:val="20"/>
                <w:szCs w:val="20"/>
              </w:rPr>
            </w:pPr>
          </w:p>
        </w:tc>
        <w:tc>
          <w:tcPr>
            <w:tcW w:w="429" w:type="dxa"/>
            <w:vMerge w:val="continue"/>
            <w:noWrap w:val="0"/>
            <w:vAlign w:val="center"/>
          </w:tcPr>
          <w:p>
            <w:pPr>
              <w:widowControl/>
              <w:jc w:val="center"/>
              <w:rPr>
                <w:rFonts w:hint="eastAsia" w:ascii="仿宋_GB2312" w:hAnsi="宋体" w:eastAsia="仿宋_GB2312" w:cs="宋体"/>
                <w:kern w:val="0"/>
                <w:sz w:val="20"/>
                <w:szCs w:val="20"/>
              </w:rPr>
            </w:pPr>
          </w:p>
        </w:tc>
        <w:tc>
          <w:tcPr>
            <w:tcW w:w="567" w:type="dxa"/>
            <w:vMerge w:val="continue"/>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 收入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非税收入完成率100%，2分，每少一个百分点，扣0.1分，扣完为止。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非税收入完成率=（</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年度非税实际收入完成数/</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年度非税收入预算数）×100%，有减免因素的，以非税局确定的为准。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0" w:hRule="atLeast"/>
          <w:jc w:val="center"/>
        </w:trPr>
        <w:tc>
          <w:tcPr>
            <w:tcW w:w="411" w:type="dxa"/>
            <w:vMerge w:val="restart"/>
            <w:noWrap w:val="0"/>
            <w:textDirection w:val="tbRlV"/>
            <w:vAlign w:val="center"/>
          </w:tcPr>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过    程</w:t>
            </w:r>
          </w:p>
          <w:p>
            <w:pPr>
              <w:widowControl/>
              <w:ind w:left="113" w:right="113"/>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widowControl/>
              <w:jc w:val="center"/>
              <w:rPr>
                <w:rFonts w:hint="eastAsia" w:ascii="仿宋_GB2312" w:hAnsi="宋体" w:eastAsia="仿宋_GB2312" w:cs="宋体"/>
                <w:kern w:val="0"/>
                <w:sz w:val="20"/>
                <w:szCs w:val="20"/>
              </w:rPr>
            </w:pPr>
          </w:p>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      程</w:t>
            </w:r>
          </w:p>
        </w:tc>
        <w:tc>
          <w:tcPr>
            <w:tcW w:w="429" w:type="dxa"/>
            <w:vMerge w:val="restart"/>
            <w:tcBorders>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预算执行</w:t>
            </w:r>
          </w:p>
        </w:tc>
        <w:tc>
          <w:tcPr>
            <w:tcW w:w="567" w:type="dxa"/>
            <w:vMerge w:val="restart"/>
            <w:tcBorders>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完成率&lt;1，计2分，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完成率=1，计1分，</w:t>
            </w:r>
          </w:p>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完成率&gt;1，不得分。</w:t>
            </w:r>
          </w:p>
          <w:p>
            <w:pPr>
              <w:widowControl/>
              <w:jc w:val="left"/>
              <w:rPr>
                <w:rFonts w:hint="eastAsia" w:ascii="仿宋_GB2312" w:hAnsi="宋体" w:eastAsia="仿宋_GB2312" w:cs="宋体"/>
                <w:kern w:val="0"/>
                <w:sz w:val="20"/>
                <w:szCs w:val="20"/>
                <w:highlight w:val="none"/>
              </w:rPr>
            </w:pP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预算完成率=（预算完成数/预算数）×100%。预算完成数：部门（单位）本年度实际完成的预算数；预算数：财政部门批复的本年度部门（单位）预算数。</w:t>
            </w:r>
          </w:p>
        </w:tc>
        <w:tc>
          <w:tcPr>
            <w:tcW w:w="617" w:type="dxa"/>
            <w:noWrap w:val="0"/>
            <w:vAlign w:val="center"/>
          </w:tcPr>
          <w:p>
            <w:pPr>
              <w:widowControl/>
              <w:jc w:val="center"/>
              <w:rPr>
                <w:rFonts w:hint="default" w:ascii="宋体" w:hAnsi="宋体" w:eastAsia="宋体" w:cs="宋体"/>
                <w:kern w:val="0"/>
                <w:sz w:val="24"/>
                <w:szCs w:val="24"/>
                <w:highlight w:val="none"/>
                <w:lang w:val="en-US" w:eastAsia="zh-CN"/>
              </w:rPr>
            </w:pPr>
            <w:r>
              <w:rPr>
                <w:rFonts w:hint="eastAsia" w:ascii="宋体" w:hAnsi="宋体" w:eastAsia="宋体" w:cs="宋体"/>
                <w:kern w:val="0"/>
                <w:sz w:val="24"/>
                <w:szCs w:val="24"/>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4"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资金  结余</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highlight w:val="none"/>
              </w:rPr>
            </w:pPr>
            <w:r>
              <w:rPr>
                <w:rFonts w:hint="eastAsia" w:ascii="仿宋_GB2312" w:hAnsi="宋体" w:eastAsia="仿宋_GB2312" w:cs="宋体"/>
                <w:kern w:val="0"/>
                <w:sz w:val="20"/>
                <w:szCs w:val="20"/>
                <w:highlight w:val="none"/>
              </w:rPr>
              <w:t>结余超过10%（不含），2分；结余在0-10%（含）的，1分；本年超支不得分。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本项结余不含未完工项目资金的结转数。</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08"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“三公经费”</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控制率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以100%为标准。三公经费控制率</w:t>
            </w:r>
            <w:r>
              <w:rPr>
                <w:rFonts w:hint="eastAsia" w:ascii="仿宋_GB2312" w:hAnsi="Arial" w:eastAsia="仿宋_GB2312" w:cs="Arial"/>
                <w:kern w:val="0"/>
                <w:sz w:val="20"/>
                <w:szCs w:val="20"/>
              </w:rPr>
              <w:t>≤</w:t>
            </w:r>
            <w:r>
              <w:rPr>
                <w:rFonts w:hint="eastAsia" w:ascii="仿宋_GB2312" w:hAnsi="宋体" w:eastAsia="仿宋_GB2312" w:cs="宋体"/>
                <w:kern w:val="0"/>
                <w:sz w:val="20"/>
                <w:szCs w:val="20"/>
              </w:rPr>
              <w:t>100%，计2分；每超过一个百分点扣0.2分，扣完为止。单位没有制定“三公”经费预算，该项不得分。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“三公经费”控制率=（“三公经费”实际支出数/“三公经费”预算安排数）×100%。</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11" w:hRule="atLeast"/>
          <w:jc w:val="center"/>
        </w:trPr>
        <w:tc>
          <w:tcPr>
            <w:tcW w:w="411" w:type="dxa"/>
            <w:vMerge w:val="continue"/>
            <w:noWrap w:val="0"/>
            <w:vAlign w:val="center"/>
          </w:tcPr>
          <w:p>
            <w:pPr>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采购</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①编</w:t>
            </w:r>
            <w:r>
              <w:rPr>
                <w:rFonts w:hint="eastAsia" w:ascii="仿宋_GB2312" w:hAnsi="宋体" w:eastAsia="仿宋_GB2312" w:cs="宋体"/>
                <w:kern w:val="0"/>
                <w:sz w:val="20"/>
                <w:szCs w:val="20"/>
              </w:rPr>
              <w:t>制政府采购年度预算并上报的，0.5分；②追加并编制政府采购预算的，0.5分；</w:t>
            </w:r>
            <w:r>
              <w:rPr>
                <w:rFonts w:hint="eastAsia" w:ascii="仿宋" w:hAnsi="仿宋" w:eastAsia="仿宋" w:cs="宋体"/>
                <w:kern w:val="0"/>
                <w:sz w:val="20"/>
                <w:szCs w:val="20"/>
              </w:rPr>
              <w:t>③</w:t>
            </w:r>
            <w:r>
              <w:rPr>
                <w:rFonts w:hint="eastAsia" w:ascii="仿宋_GB2312" w:hAnsi="宋体" w:eastAsia="仿宋_GB2312" w:cs="宋体"/>
                <w:kern w:val="0"/>
                <w:sz w:val="20"/>
                <w:szCs w:val="20"/>
              </w:rPr>
              <w:t>政府采购执行率=100%，计1分；每少一个百分点扣0.1分，扣完为止。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政府采购执行率=（实际实行政府采购金额/应实行政府采购金额）×100%。应实行政府采金额以《湘财购[2012]27号》文件为标准。</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5"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预算管理</w:t>
            </w:r>
          </w:p>
        </w:tc>
        <w:tc>
          <w:tcPr>
            <w:tcW w:w="567" w:type="dxa"/>
            <w:vMerge w:val="restart"/>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28</w:t>
            </w:r>
          </w:p>
        </w:tc>
        <w:tc>
          <w:tcPr>
            <w:tcW w:w="851" w:type="dxa"/>
            <w:tcBorders>
              <w:top w:val="single" w:color="auto" w:sz="4" w:space="0"/>
            </w:tcBorders>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tcBorders>
              <w:top w:val="single" w:color="auto" w:sz="4" w:space="0"/>
            </w:tcBorders>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6</w:t>
            </w:r>
          </w:p>
          <w:p>
            <w:pPr>
              <w:widowControl/>
              <w:jc w:val="both"/>
              <w:rPr>
                <w:rFonts w:hint="eastAsia" w:ascii="仿宋_GB2312" w:hAnsi="宋体" w:eastAsia="仿宋_GB2312" w:cs="宋体"/>
                <w:kern w:val="0"/>
                <w:sz w:val="20"/>
                <w:szCs w:val="20"/>
              </w:rPr>
            </w:pPr>
          </w:p>
        </w:tc>
        <w:tc>
          <w:tcPr>
            <w:tcW w:w="3118" w:type="dxa"/>
            <w:tcBorders>
              <w:top w:val="single" w:color="auto" w:sz="4" w:space="0"/>
            </w:tcBorders>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①已制定资金管理办法、内部财务管理制度、会计核算制度等管理制度，1分；</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②建立健全单位内部控制制度，1分；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③会计人员、机构按规定设置，1分；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④会计基础工作健全，1分；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⑤会计档案符合规定要求，1分；</w:t>
            </w:r>
          </w:p>
          <w:p>
            <w:pPr>
              <w:widowControl/>
              <w:jc w:val="left"/>
              <w:rPr>
                <w:rFonts w:hint="eastAsia" w:ascii="仿宋_GB2312" w:hAnsi="宋体" w:eastAsia="仿宋_GB2312" w:cs="宋体"/>
                <w:kern w:val="0"/>
                <w:sz w:val="20"/>
                <w:szCs w:val="20"/>
              </w:rPr>
            </w:pPr>
            <w:r>
              <w:rPr>
                <w:rFonts w:hint="eastAsia" w:ascii="仿宋_GB2312" w:hAnsi="仿宋" w:eastAsia="仿宋_GB2312" w:cs="仿宋"/>
                <w:kern w:val="0"/>
                <w:sz w:val="20"/>
                <w:szCs w:val="20"/>
              </w:rPr>
              <w:t>⑥项目管理规范（包括项目立项、申报、招投标、制度建立、按时完工等），1分，每发现少一项扣0.2分，扣完为止。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 w:hRule="atLeast"/>
          <w:jc w:val="center"/>
        </w:trPr>
        <w:tc>
          <w:tcPr>
            <w:tcW w:w="411" w:type="dxa"/>
            <w:vMerge w:val="continue"/>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内控制度情况</w:t>
            </w:r>
          </w:p>
        </w:tc>
        <w:tc>
          <w:tcPr>
            <w:tcW w:w="567" w:type="dxa"/>
            <w:tcBorders>
              <w:top w:val="single" w:color="auto" w:sz="4" w:space="0"/>
            </w:tcBorders>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4分</w:t>
            </w:r>
          </w:p>
        </w:tc>
        <w:tc>
          <w:tcPr>
            <w:tcW w:w="3118" w:type="dxa"/>
            <w:tcBorders>
              <w:top w:val="single" w:color="auto" w:sz="4" w:space="0"/>
            </w:tcBorders>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内部控制制度完全执行，4分，执行过程中，某个环节（节点）执行不到位的，每个环节（节点）扣1分，扣完为止。</w:t>
            </w:r>
          </w:p>
        </w:tc>
        <w:tc>
          <w:tcPr>
            <w:tcW w:w="3472" w:type="dxa"/>
            <w:tcBorders>
              <w:top w:val="single" w:color="auto" w:sz="4" w:space="0"/>
            </w:tcBorders>
            <w:noWrap w:val="0"/>
            <w:vAlign w:val="center"/>
          </w:tcPr>
          <w:p>
            <w:pPr>
              <w:widowControl/>
              <w:jc w:val="left"/>
              <w:rPr>
                <w:rFonts w:hint="eastAsia" w:ascii="仿宋_GB2312" w:hAnsi="宋体" w:eastAsia="仿宋_GB2312" w:cs="宋体"/>
                <w:kern w:val="0"/>
                <w:sz w:val="20"/>
                <w:szCs w:val="20"/>
              </w:rPr>
            </w:pPr>
          </w:p>
        </w:tc>
        <w:tc>
          <w:tcPr>
            <w:tcW w:w="617" w:type="dxa"/>
            <w:tcBorders>
              <w:top w:val="single" w:color="auto" w:sz="4" w:space="0"/>
            </w:tcBorders>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97" w:hRule="atLeast"/>
          <w:jc w:val="center"/>
        </w:trPr>
        <w:tc>
          <w:tcPr>
            <w:tcW w:w="411" w:type="dxa"/>
            <w:vMerge w:val="restart"/>
            <w:tcBorders>
              <w:top w:val="nil"/>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过程</w:t>
            </w:r>
          </w:p>
        </w:tc>
        <w:tc>
          <w:tcPr>
            <w:tcW w:w="429" w:type="dxa"/>
            <w:vMerge w:val="continue"/>
            <w:tcBorders>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tcBorders>
            <w:noWrap w:val="0"/>
            <w:vAlign w:val="center"/>
          </w:tcPr>
          <w:p>
            <w:pPr>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资金  使用</w:t>
            </w:r>
          </w:p>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合规性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14</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①支出符合国家财经法规和财务管理制度规定以及有关专项资金管理办法的规定；</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②资金（开支）拨付有完整的审批程序和手续；</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③支出符合部门预算批复的用途；</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④资金使用无截留、挤占、挪用、虚列支出、随意借用、大额现金支付等情况。</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⑤</w:t>
            </w:r>
            <w:r>
              <w:rPr>
                <w:rFonts w:hint="eastAsia" w:ascii="仿宋_GB2312" w:hAnsi="仿宋" w:eastAsia="仿宋_GB2312" w:cs="仿宋"/>
                <w:kern w:val="0"/>
                <w:sz w:val="20"/>
                <w:szCs w:val="20"/>
              </w:rPr>
              <w:t>重大财务事项经由集体研究决策；</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⑥</w:t>
            </w:r>
            <w:r>
              <w:rPr>
                <w:rFonts w:hint="eastAsia" w:ascii="仿宋_GB2312" w:hAnsi="仿宋" w:eastAsia="仿宋_GB2312" w:cs="仿宋"/>
                <w:kern w:val="0"/>
                <w:sz w:val="20"/>
                <w:szCs w:val="20"/>
              </w:rPr>
              <w:t>专项资金做到专款专用；</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⑦</w:t>
            </w:r>
            <w:r>
              <w:rPr>
                <w:rFonts w:hint="eastAsia" w:ascii="仿宋_GB2312" w:hAnsi="仿宋" w:eastAsia="仿宋_GB2312" w:cs="仿宋"/>
                <w:kern w:val="0"/>
                <w:sz w:val="20"/>
                <w:szCs w:val="20"/>
              </w:rPr>
              <w:t>原始凭证的取得真实有效；</w:t>
            </w:r>
          </w:p>
          <w:p>
            <w:pPr>
              <w:widowControl/>
              <w:jc w:val="left"/>
              <w:rPr>
                <w:rFonts w:hint="eastAsia" w:ascii="仿宋_GB2312" w:hAnsi="仿宋" w:eastAsia="仿宋_GB2312" w:cs="仿宋"/>
                <w:kern w:val="0"/>
                <w:sz w:val="20"/>
                <w:szCs w:val="20"/>
              </w:rPr>
            </w:pPr>
            <w:r>
              <w:rPr>
                <w:rFonts w:hint="eastAsia" w:ascii="仿宋_GB2312" w:hAnsi="微软雅黑" w:eastAsia="仿宋_GB2312" w:cs="微软雅黑"/>
                <w:kern w:val="0"/>
                <w:sz w:val="20"/>
                <w:szCs w:val="20"/>
              </w:rPr>
              <w:t>⑧</w:t>
            </w:r>
            <w:r>
              <w:rPr>
                <w:rFonts w:hint="eastAsia" w:ascii="仿宋_GB2312" w:hAnsi="仿宋" w:eastAsia="仿宋_GB2312" w:cs="仿宋"/>
                <w:kern w:val="0"/>
                <w:sz w:val="20"/>
                <w:szCs w:val="20"/>
              </w:rPr>
              <w:t>无超范围、超预算开支；</w:t>
            </w:r>
          </w:p>
          <w:p>
            <w:pPr>
              <w:widowControl/>
              <w:jc w:val="left"/>
              <w:rPr>
                <w:rFonts w:hint="eastAsia" w:ascii="仿宋_GB2312" w:hAnsi="仿宋" w:eastAsia="仿宋_GB2312" w:cs="仿宋"/>
                <w:kern w:val="0"/>
                <w:sz w:val="20"/>
                <w:szCs w:val="20"/>
                <w:lang w:eastAsia="zh-CN"/>
              </w:rPr>
            </w:pPr>
            <w:r>
              <w:rPr>
                <w:rFonts w:hint="eastAsia" w:ascii="仿宋" w:hAnsi="仿宋" w:eastAsia="仿宋" w:cs="仿宋"/>
                <w:kern w:val="0"/>
                <w:sz w:val="20"/>
                <w:szCs w:val="20"/>
              </w:rPr>
              <w:t>⑨</w:t>
            </w:r>
            <w:r>
              <w:rPr>
                <w:rFonts w:hint="eastAsia" w:ascii="仿宋_GB2312" w:hAnsi="仿宋" w:eastAsia="仿宋_GB2312" w:cs="仿宋"/>
                <w:kern w:val="0"/>
                <w:sz w:val="20"/>
                <w:szCs w:val="20"/>
              </w:rPr>
              <w:t>无超标准发放津补贴、奖金，无用公款支付应由个人支付的款项。</w:t>
            </w:r>
          </w:p>
          <w:p>
            <w:pPr>
              <w:widowControl/>
              <w:jc w:val="left"/>
              <w:rPr>
                <w:rFonts w:ascii="仿宋_GB2312" w:hAnsi="宋体" w:eastAsia="仿宋_GB2312" w:cs="宋体"/>
                <w:kern w:val="0"/>
                <w:sz w:val="20"/>
                <w:szCs w:val="20"/>
              </w:rPr>
            </w:pPr>
            <w:r>
              <w:rPr>
                <w:rFonts w:hint="eastAsia" w:ascii="仿宋_GB2312" w:hAnsi="仿宋" w:eastAsia="仿宋_GB2312" w:cs="仿宋"/>
                <w:kern w:val="0"/>
                <w:sz w:val="20"/>
                <w:szCs w:val="20"/>
              </w:rPr>
              <w:t>以上情况每出现一例不</w:t>
            </w:r>
            <w:r>
              <w:rPr>
                <w:rFonts w:hint="eastAsia" w:ascii="仿宋_GB2312" w:hAnsi="宋体" w:eastAsia="仿宋_GB2312" w:cs="宋体"/>
                <w:kern w:val="0"/>
                <w:sz w:val="20"/>
                <w:szCs w:val="20"/>
              </w:rPr>
              <w:t>符合要求的扣2分，扣完为止。</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部门（单位）使用预算资金是否符合相关的预算财务管理制度的规定，用以反映和考核部门（单位）预算资金的规范运行情况。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6"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851"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预决算信息公开性和完善性</w:t>
            </w:r>
          </w:p>
        </w:tc>
        <w:tc>
          <w:tcPr>
            <w:tcW w:w="567" w:type="dxa"/>
            <w:noWrap w:val="0"/>
            <w:vAlign w:val="center"/>
          </w:tcPr>
          <w:p>
            <w:pPr>
              <w:widowControl/>
              <w:jc w:val="both"/>
              <w:rPr>
                <w:rFonts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3118"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 xml:space="preserve">①按规定内容公开预决算信息，1分；②按规定时限公开预决算信息，1分；③基础数据信息和会计信息资料真实、完整，1分；④基础数据信息和汇集信息资料准确，1分。                                           </w:t>
            </w:r>
          </w:p>
        </w:tc>
        <w:tc>
          <w:tcPr>
            <w:tcW w:w="3472" w:type="dxa"/>
            <w:noWrap w:val="0"/>
            <w:vAlign w:val="center"/>
          </w:tcPr>
          <w:p>
            <w:pPr>
              <w:widowControl/>
              <w:jc w:val="left"/>
              <w:rPr>
                <w:rFonts w:ascii="仿宋_GB2312" w:hAnsi="宋体" w:eastAsia="仿宋_GB2312" w:cs="宋体"/>
                <w:kern w:val="0"/>
                <w:sz w:val="20"/>
                <w:szCs w:val="20"/>
              </w:rPr>
            </w:pPr>
            <w:r>
              <w:rPr>
                <w:rFonts w:hint="eastAsia" w:ascii="仿宋_GB2312" w:hAnsi="宋体" w:eastAsia="仿宋_GB2312" w:cs="宋体"/>
                <w:kern w:val="0"/>
                <w:sz w:val="20"/>
                <w:szCs w:val="20"/>
              </w:rPr>
              <w:t>预决算信息是指与部门预算、执行、决算、监督、绩效等管理相关的信息。</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资产管理</w:t>
            </w:r>
          </w:p>
        </w:tc>
        <w:tc>
          <w:tcPr>
            <w:tcW w:w="567" w:type="dxa"/>
            <w:vMerge w:val="restart"/>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20</w:t>
            </w: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管理  制度</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健全性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①已制定资产管理制度，1分；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 xml:space="preserve">②相关资产管理制度得到有效执行，1分。                                           </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部门（单位）为加强资产管理，规范资产管理行为而制定的管理制度是否健全完整、用以反映和考核部门（单位）资产管理制度对完成主要职责或促进社会发展的保障情况</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3" w:hRule="atLeast"/>
          <w:jc w:val="center"/>
        </w:trPr>
        <w:tc>
          <w:tcPr>
            <w:tcW w:w="411" w:type="dxa"/>
            <w:vMerge w:val="continue"/>
            <w:tcBorders>
              <w:top w:val="nil"/>
            </w:tcBorders>
            <w:noWrap w:val="0"/>
            <w:vAlign w:val="center"/>
          </w:tcPr>
          <w:p>
            <w:pPr>
              <w:widowControl/>
              <w:jc w:val="center"/>
              <w:rPr>
                <w:rFonts w:hint="eastAsia"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资产  管理</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安全性</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16</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 xml:space="preserve">①资产保存完整；②资产配置合理；③资产处置规范； </w:t>
            </w:r>
          </w:p>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④资产账务管理合规，帐实帐卡、账账、账表（决算报表等）相符；⑤资产有偿使用及处置收入及时足额上缴；</w:t>
            </w:r>
            <w:r>
              <w:rPr>
                <w:rFonts w:hint="eastAsia" w:ascii="仿宋_GB2312" w:hAnsi="仿宋" w:eastAsia="仿宋_GB2312" w:cs="仿宋"/>
                <w:kern w:val="0"/>
                <w:sz w:val="20"/>
                <w:szCs w:val="20"/>
              </w:rPr>
              <w:t>⑥清查盘点：每年至少清查盘点一次；⑦产权明晰，权证齐全</w:t>
            </w:r>
            <w:r>
              <w:rPr>
                <w:rFonts w:hint="eastAsia" w:ascii="仿宋_GB2312" w:hAnsi="宋体" w:eastAsia="仿宋_GB2312" w:cs="宋体"/>
                <w:kern w:val="0"/>
                <w:sz w:val="20"/>
                <w:szCs w:val="20"/>
              </w:rPr>
              <w:t>；⑧按标准购置固定资产。</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以上情况每出现一例不符合要求的扣2分；⑨未按时报送2018年行政事业单位资产报表的，每延迟一天，扣1分，扣完为止。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部门（单位）的资产是否保存完整，使用合规、配置合理、处置规范、收入及时足额上缴，用以反映和考核部门（单位）资产安全运行情况。</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固定  资产</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利用率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固定资产利用率,100%,2分,每低于一个百分点扣0.2分，扣完为止。</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固定资产利用率=（实际在用固定资产总额/所有固定资产总额）×100%</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jc w:val="center"/>
        </w:trPr>
        <w:tc>
          <w:tcPr>
            <w:tcW w:w="411" w:type="dxa"/>
            <w:vMerge w:val="continue"/>
            <w:tcBorders>
              <w:top w:val="nil"/>
            </w:tcBorders>
            <w:noWrap w:val="0"/>
            <w:vAlign w:val="center"/>
          </w:tcPr>
          <w:p>
            <w:pPr>
              <w:widowControl/>
              <w:jc w:val="center"/>
              <w:rPr>
                <w:rFonts w:ascii="仿宋_GB2312" w:hAnsi="宋体" w:eastAsia="仿宋_GB2312" w:cs="宋体"/>
                <w:kern w:val="0"/>
                <w:sz w:val="20"/>
                <w:szCs w:val="20"/>
              </w:rPr>
            </w:pPr>
          </w:p>
        </w:tc>
        <w:tc>
          <w:tcPr>
            <w:tcW w:w="429" w:type="dxa"/>
            <w:vMerge w:val="restart"/>
            <w:tcBorders>
              <w:right w:val="single" w:color="auto" w:sz="4" w:space="0"/>
            </w:tcBorders>
            <w:noWrap w:val="0"/>
            <w:vAlign w:val="center"/>
          </w:tcPr>
          <w:p>
            <w:pPr>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绩效管理</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17</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目标 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①本单位所有专项、项目资金均实行目标管理的，各2分,每少一个专项、项目的，扣1分，扣完为止；②编制并报送</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年度部门整体支出绩效目标的，2分；③在规定时间内报送、公开以上目标的，2分，否则不得分。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6" w:hRule="atLeast"/>
          <w:jc w:val="center"/>
        </w:trPr>
        <w:tc>
          <w:tcPr>
            <w:tcW w:w="411" w:type="dxa"/>
            <w:vMerge w:val="continue"/>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绩效 评价</w:t>
            </w:r>
          </w:p>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管理</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7</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 w:hAnsi="仿宋" w:eastAsia="仿宋" w:cs="宋体"/>
                <w:kern w:val="0"/>
                <w:sz w:val="20"/>
                <w:szCs w:val="20"/>
              </w:rPr>
              <w:t>①</w:t>
            </w:r>
            <w:r>
              <w:rPr>
                <w:rFonts w:hint="eastAsia" w:ascii="仿宋_GB2312" w:hAnsi="宋体" w:eastAsia="仿宋_GB2312" w:cs="宋体"/>
                <w:kern w:val="0"/>
                <w:sz w:val="20"/>
                <w:szCs w:val="20"/>
              </w:rPr>
              <w:t>开展</w:t>
            </w:r>
            <w:r>
              <w:rPr>
                <w:rFonts w:hint="eastAsia" w:ascii="仿宋_GB2312" w:hAnsi="宋体" w:eastAsia="仿宋_GB2312" w:cs="宋体"/>
                <w:kern w:val="0"/>
                <w:sz w:val="20"/>
                <w:szCs w:val="20"/>
                <w:lang w:val="en-US" w:eastAsia="zh-CN"/>
              </w:rPr>
              <w:t>2021</w:t>
            </w:r>
            <w:r>
              <w:rPr>
                <w:rFonts w:hint="eastAsia" w:ascii="仿宋_GB2312" w:hAnsi="宋体" w:eastAsia="仿宋_GB2312" w:cs="宋体"/>
                <w:kern w:val="0"/>
                <w:sz w:val="20"/>
                <w:szCs w:val="20"/>
              </w:rPr>
              <w:t>年度专项资金绩效自评的，2分，每少一个专项资金的自评扣1分，扣完为止；</w:t>
            </w:r>
            <w:r>
              <w:rPr>
                <w:rFonts w:hint="eastAsia" w:ascii="仿宋" w:hAnsi="仿宋" w:eastAsia="仿宋" w:cs="宋体"/>
                <w:kern w:val="0"/>
                <w:sz w:val="20"/>
                <w:szCs w:val="20"/>
              </w:rPr>
              <w:t>②</w:t>
            </w:r>
            <w:r>
              <w:rPr>
                <w:rFonts w:hint="eastAsia" w:ascii="仿宋_GB2312" w:hAnsi="宋体" w:eastAsia="仿宋_GB2312" w:cs="宋体"/>
                <w:kern w:val="0"/>
                <w:sz w:val="20"/>
                <w:szCs w:val="20"/>
              </w:rPr>
              <w:t>开展</w:t>
            </w:r>
            <w:r>
              <w:rPr>
                <w:rFonts w:hint="eastAsia" w:ascii="仿宋_GB2312" w:hAnsi="宋体" w:eastAsia="仿宋_GB2312" w:cs="宋体"/>
                <w:kern w:val="0"/>
                <w:sz w:val="20"/>
                <w:szCs w:val="20"/>
                <w:lang w:val="en-US" w:eastAsia="zh-CN"/>
              </w:rPr>
              <w:t>2021</w:t>
            </w:r>
            <w:r>
              <w:rPr>
                <w:rFonts w:hint="eastAsia" w:ascii="仿宋_GB2312" w:hAnsi="宋体" w:eastAsia="仿宋_GB2312" w:cs="宋体"/>
                <w:kern w:val="0"/>
                <w:sz w:val="20"/>
                <w:szCs w:val="20"/>
              </w:rPr>
              <w:t>年度已完工项目绩效自评的，2分，每少一个项目扣1分，扣完为止；</w:t>
            </w:r>
            <w:r>
              <w:rPr>
                <w:rFonts w:hint="eastAsia" w:ascii="仿宋" w:hAnsi="仿宋" w:eastAsia="仿宋" w:cs="宋体"/>
                <w:kern w:val="0"/>
                <w:sz w:val="20"/>
                <w:szCs w:val="20"/>
              </w:rPr>
              <w:t>③</w:t>
            </w:r>
            <w:r>
              <w:rPr>
                <w:rFonts w:hint="eastAsia" w:ascii="仿宋_GB2312" w:hAnsi="宋体" w:eastAsia="仿宋_GB2312" w:cs="宋体"/>
                <w:kern w:val="0"/>
                <w:sz w:val="20"/>
                <w:szCs w:val="20"/>
              </w:rPr>
              <w:t>开展</w:t>
            </w:r>
            <w:r>
              <w:rPr>
                <w:rFonts w:hint="eastAsia" w:ascii="仿宋_GB2312" w:hAnsi="宋体" w:eastAsia="仿宋_GB2312" w:cs="宋体"/>
                <w:kern w:val="0"/>
                <w:sz w:val="20"/>
                <w:szCs w:val="20"/>
                <w:lang w:val="en-US" w:eastAsia="zh-CN"/>
              </w:rPr>
              <w:t>2021</w:t>
            </w:r>
            <w:r>
              <w:rPr>
                <w:rFonts w:hint="eastAsia" w:ascii="仿宋_GB2312" w:hAnsi="宋体" w:eastAsia="仿宋_GB2312" w:cs="宋体"/>
                <w:kern w:val="0"/>
                <w:sz w:val="20"/>
                <w:szCs w:val="20"/>
              </w:rPr>
              <w:t>年度部门整体支出绩效自评的，1分；</w:t>
            </w:r>
            <w:r>
              <w:rPr>
                <w:rFonts w:hint="eastAsia" w:ascii="仿宋" w:hAnsi="仿宋" w:eastAsia="仿宋" w:cs="宋体"/>
                <w:kern w:val="0"/>
                <w:sz w:val="20"/>
                <w:szCs w:val="20"/>
              </w:rPr>
              <w:t>④</w:t>
            </w:r>
            <w:r>
              <w:rPr>
                <w:rFonts w:hint="eastAsia" w:ascii="仿宋_GB2312" w:hAnsi="宋体" w:eastAsia="仿宋_GB2312" w:cs="宋体"/>
                <w:kern w:val="0"/>
                <w:sz w:val="20"/>
                <w:szCs w:val="20"/>
              </w:rPr>
              <w:t>在规定时间内报送、公开以上自评报告材料的，2分。</w:t>
            </w:r>
          </w:p>
        </w:tc>
        <w:tc>
          <w:tcPr>
            <w:tcW w:w="3472" w:type="dxa"/>
            <w:noWrap w:val="0"/>
            <w:vAlign w:val="center"/>
          </w:tcPr>
          <w:p>
            <w:pPr>
              <w:widowControl/>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5" w:hRule="atLeast"/>
          <w:jc w:val="center"/>
        </w:trPr>
        <w:tc>
          <w:tcPr>
            <w:tcW w:w="411" w:type="dxa"/>
            <w:tcBorders>
              <w:top w:val="nil"/>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tcBorders>
              <w:top w:val="nil"/>
              <w:bottom w:val="single" w:color="auto" w:sz="4" w:space="0"/>
              <w:right w:val="single" w:color="auto" w:sz="4" w:space="0"/>
            </w:tcBorders>
            <w:noWrap w:val="0"/>
            <w:vAlign w:val="center"/>
          </w:tcPr>
          <w:p>
            <w:pPr>
              <w:jc w:val="center"/>
              <w:rPr>
                <w:rFonts w:hint="eastAsia" w:ascii="仿宋_GB2312" w:hAnsi="宋体" w:eastAsia="仿宋_GB2312" w:cs="宋体"/>
                <w:kern w:val="0"/>
                <w:sz w:val="20"/>
                <w:szCs w:val="20"/>
              </w:rPr>
            </w:pPr>
          </w:p>
        </w:tc>
        <w:tc>
          <w:tcPr>
            <w:tcW w:w="567" w:type="dxa"/>
            <w:tcBorders>
              <w:top w:val="nil"/>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评价 结果 运用</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 w:hAnsi="仿宋" w:eastAsia="仿宋" w:cs="宋体"/>
                <w:sz w:val="20"/>
                <w:szCs w:val="20"/>
              </w:rPr>
            </w:pPr>
            <w:r>
              <w:rPr>
                <w:rFonts w:hint="eastAsia" w:ascii="仿宋_GB2312" w:hAnsi="宋体" w:eastAsia="仿宋_GB2312" w:cs="宋体"/>
                <w:kern w:val="0"/>
                <w:sz w:val="20"/>
                <w:szCs w:val="20"/>
              </w:rPr>
              <w:t>根据</w:t>
            </w:r>
            <w:r>
              <w:rPr>
                <w:rFonts w:hint="eastAsia" w:ascii="仿宋_GB2312" w:hAnsi="宋体" w:eastAsia="仿宋_GB2312" w:cs="宋体"/>
                <w:kern w:val="0"/>
                <w:sz w:val="20"/>
                <w:szCs w:val="20"/>
                <w:lang w:val="en-US" w:eastAsia="zh-CN"/>
              </w:rPr>
              <w:t>2021</w:t>
            </w:r>
            <w:r>
              <w:rPr>
                <w:rFonts w:hint="eastAsia" w:ascii="仿宋_GB2312" w:hAnsi="宋体" w:eastAsia="仿宋_GB2312" w:cs="宋体"/>
                <w:kern w:val="0"/>
                <w:sz w:val="20"/>
                <w:szCs w:val="20"/>
              </w:rPr>
              <w:t>年度财政重点绩效评价和单位自评情况，向财政报送整改结果并整改到位的，2分，否则不得分。</w:t>
            </w:r>
          </w:p>
        </w:tc>
        <w:tc>
          <w:tcPr>
            <w:tcW w:w="3472" w:type="dxa"/>
            <w:noWrap w:val="0"/>
            <w:vAlign w:val="center"/>
          </w:tcPr>
          <w:p>
            <w:pPr>
              <w:jc w:val="left"/>
              <w:rPr>
                <w:rFonts w:hint="eastAsia" w:ascii="仿宋_GB2312" w:hAnsi="宋体" w:eastAsia="仿宋_GB2312" w:cs="宋体"/>
                <w:kern w:val="0"/>
                <w:sz w:val="20"/>
                <w:szCs w:val="20"/>
              </w:rPr>
            </w:pP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jc w:val="center"/>
        </w:trPr>
        <w:tc>
          <w:tcPr>
            <w:tcW w:w="411" w:type="dxa"/>
            <w:vMerge w:val="restart"/>
            <w:tcBorders>
              <w:top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产   出</w:t>
            </w:r>
          </w:p>
        </w:tc>
        <w:tc>
          <w:tcPr>
            <w:tcW w:w="429" w:type="dxa"/>
            <w:vMerge w:val="restart"/>
            <w:tcBorders>
              <w:top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职责履行</w:t>
            </w:r>
          </w:p>
        </w:tc>
        <w:tc>
          <w:tcPr>
            <w:tcW w:w="567" w:type="dxa"/>
            <w:vMerge w:val="restart"/>
            <w:tcBorders>
              <w:top w:val="single" w:color="auto" w:sz="4" w:space="0"/>
              <w:left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5</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　工作　完成率</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该项得分=重点工作完成率×2</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重点工作为市政府确定的为民办实事和部门重点工程与重点工作。</w:t>
            </w:r>
          </w:p>
        </w:tc>
        <w:tc>
          <w:tcPr>
            <w:tcW w:w="617" w:type="dxa"/>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jc w:val="center"/>
        </w:trPr>
        <w:tc>
          <w:tcPr>
            <w:tcW w:w="411" w:type="dxa"/>
            <w:vMerge w:val="continue"/>
            <w:tcBorders>
              <w:bottom w:val="single" w:color="auto" w:sz="4" w:space="0"/>
            </w:tcBorders>
            <w:noWrap w:val="0"/>
            <w:textDirection w:val="tbRlV"/>
            <w:vAlign w:val="center"/>
          </w:tcPr>
          <w:p>
            <w:pPr>
              <w:widowControl/>
              <w:jc w:val="center"/>
              <w:rPr>
                <w:rFonts w:hint="eastAsia" w:ascii="仿宋_GB2312" w:hAnsi="宋体" w:eastAsia="仿宋_GB2312" w:cs="宋体"/>
                <w:kern w:val="0"/>
                <w:sz w:val="20"/>
                <w:szCs w:val="20"/>
              </w:rPr>
            </w:pPr>
          </w:p>
        </w:tc>
        <w:tc>
          <w:tcPr>
            <w:tcW w:w="429" w:type="dxa"/>
            <w:vMerge w:val="continue"/>
            <w:tcBorders>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left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工作</w:t>
            </w:r>
          </w:p>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质量</w:t>
            </w:r>
          </w:p>
        </w:tc>
        <w:tc>
          <w:tcPr>
            <w:tcW w:w="567" w:type="dxa"/>
            <w:noWrap w:val="0"/>
            <w:vAlign w:val="center"/>
          </w:tcPr>
          <w:p>
            <w:pPr>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3</w:t>
            </w:r>
          </w:p>
        </w:tc>
        <w:tc>
          <w:tcPr>
            <w:tcW w:w="3118" w:type="dxa"/>
            <w:noWrap w:val="0"/>
            <w:vAlign w:val="center"/>
          </w:tcPr>
          <w:p>
            <w:pPr>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以绩效考核评估结果为标准，优秀，计3分；良好，2分；合格，1分；不合格，0分。</w:t>
            </w:r>
          </w:p>
        </w:tc>
        <w:tc>
          <w:tcPr>
            <w:tcW w:w="3472" w:type="dxa"/>
            <w:noWrap w:val="0"/>
            <w:vAlign w:val="center"/>
          </w:tcPr>
          <w:p>
            <w:pPr>
              <w:autoSpaceDN w:val="0"/>
              <w:jc w:val="left"/>
              <w:textAlignment w:val="center"/>
              <w:rPr>
                <w:rFonts w:hint="eastAsia" w:ascii="仿宋_GB2312" w:hAnsi="宋体" w:eastAsia="仿宋_GB2312" w:cs="宋体"/>
                <w:kern w:val="0"/>
                <w:sz w:val="20"/>
                <w:szCs w:val="20"/>
              </w:rPr>
            </w:pPr>
          </w:p>
        </w:tc>
        <w:tc>
          <w:tcPr>
            <w:tcW w:w="617" w:type="dxa"/>
            <w:noWrap w:val="0"/>
            <w:vAlign w:val="center"/>
          </w:tcPr>
          <w:p>
            <w:pPr>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7" w:hRule="atLeast"/>
          <w:jc w:val="center"/>
        </w:trPr>
        <w:tc>
          <w:tcPr>
            <w:tcW w:w="411" w:type="dxa"/>
            <w:vMerge w:val="restart"/>
            <w:tcBorders>
              <w:top w:val="single" w:color="auto" w:sz="4" w:space="0"/>
              <w:bottom w:val="single" w:color="auto" w:sz="4" w:space="0"/>
            </w:tcBorders>
            <w:noWrap w:val="0"/>
            <w:textDirection w:val="tbRlV"/>
            <w:vAlign w:val="center"/>
          </w:tcPr>
          <w:p>
            <w:pPr>
              <w:widowControl/>
              <w:jc w:val="center"/>
              <w:rPr>
                <w:rFonts w:ascii="仿宋_GB2312" w:hAnsi="宋体" w:eastAsia="仿宋_GB2312" w:cs="宋体"/>
                <w:kern w:val="0"/>
                <w:sz w:val="20"/>
                <w:szCs w:val="20"/>
              </w:rPr>
            </w:pPr>
            <w:r>
              <w:rPr>
                <w:rFonts w:hint="eastAsia" w:ascii="仿宋_GB2312" w:hAnsi="宋体" w:eastAsia="仿宋_GB2312" w:cs="宋体"/>
                <w:kern w:val="0"/>
                <w:sz w:val="20"/>
                <w:szCs w:val="20"/>
              </w:rPr>
              <w:t>效  果</w:t>
            </w:r>
          </w:p>
        </w:tc>
        <w:tc>
          <w:tcPr>
            <w:tcW w:w="429"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履职效益</w:t>
            </w:r>
          </w:p>
        </w:tc>
        <w:tc>
          <w:tcPr>
            <w:tcW w:w="567" w:type="dxa"/>
            <w:vMerge w:val="restart"/>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r>
              <w:rPr>
                <w:rFonts w:hint="eastAsia" w:ascii="仿宋_GB2312" w:hAnsi="宋体" w:eastAsia="仿宋_GB2312" w:cs="宋体"/>
                <w:kern w:val="0"/>
                <w:sz w:val="20"/>
                <w:szCs w:val="20"/>
              </w:rPr>
              <w:t>4</w:t>
            </w: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经济  效益</w:t>
            </w:r>
          </w:p>
        </w:tc>
        <w:tc>
          <w:tcPr>
            <w:tcW w:w="567" w:type="dxa"/>
            <w:vMerge w:val="restart"/>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6590" w:type="dxa"/>
            <w:gridSpan w:val="2"/>
            <w:vMerge w:val="restart"/>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此三项指标可根据部门实际并结合</w:t>
            </w:r>
            <w:r>
              <w:rPr>
                <w:rFonts w:hint="eastAsia" w:ascii="仿宋_GB2312" w:hAnsi="宋体" w:eastAsia="仿宋_GB2312" w:cs="宋体"/>
                <w:kern w:val="0"/>
                <w:sz w:val="20"/>
                <w:szCs w:val="20"/>
                <w:lang w:eastAsia="zh-CN"/>
              </w:rPr>
              <w:t>2021</w:t>
            </w:r>
            <w:r>
              <w:rPr>
                <w:rFonts w:hint="eastAsia" w:ascii="仿宋_GB2312" w:hAnsi="宋体" w:eastAsia="仿宋_GB2312" w:cs="宋体"/>
                <w:kern w:val="0"/>
                <w:sz w:val="20"/>
                <w:szCs w:val="20"/>
              </w:rPr>
              <w:t>年度部门整体支出绩效目标设立情况有选择的进行评价。</w:t>
            </w:r>
          </w:p>
        </w:tc>
        <w:tc>
          <w:tcPr>
            <w:tcW w:w="617" w:type="dxa"/>
            <w:vMerge w:val="restart"/>
            <w:noWrap w:val="0"/>
            <w:vAlign w:val="center"/>
          </w:tcPr>
          <w:p>
            <w:pPr>
              <w:widowControl/>
              <w:jc w:val="center"/>
              <w:rPr>
                <w:rFonts w:hint="eastAsia"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8"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生态  效益</w:t>
            </w:r>
          </w:p>
        </w:tc>
        <w:tc>
          <w:tcPr>
            <w:tcW w:w="567" w:type="dxa"/>
            <w:vMerge w:val="continue"/>
            <w:noWrap w:val="0"/>
            <w:vAlign w:val="center"/>
          </w:tcPr>
          <w:p>
            <w:pPr>
              <w:widowControl/>
              <w:jc w:val="both"/>
              <w:rPr>
                <w:rFonts w:hint="eastAsia" w:ascii="仿宋_GB2312" w:hAnsi="宋体" w:eastAsia="仿宋_GB2312" w:cs="宋体"/>
                <w:kern w:val="0"/>
                <w:sz w:val="20"/>
                <w:szCs w:val="20"/>
              </w:rPr>
            </w:pPr>
          </w:p>
        </w:tc>
        <w:tc>
          <w:tcPr>
            <w:tcW w:w="6590" w:type="dxa"/>
            <w:gridSpan w:val="2"/>
            <w:vMerge w:val="continue"/>
            <w:noWrap w:val="0"/>
            <w:vAlign w:val="center"/>
          </w:tcPr>
          <w:p>
            <w:pPr>
              <w:widowControl/>
              <w:jc w:val="left"/>
              <w:rPr>
                <w:rFonts w:hint="eastAsia" w:ascii="仿宋_GB2312" w:hAnsi="宋体" w:eastAsia="仿宋_GB2312" w:cs="宋体"/>
                <w:kern w:val="0"/>
                <w:sz w:val="20"/>
                <w:szCs w:val="20"/>
              </w:rPr>
            </w:pPr>
          </w:p>
        </w:tc>
        <w:tc>
          <w:tcPr>
            <w:tcW w:w="617" w:type="dxa"/>
            <w:vMerge w:val="continue"/>
            <w:noWrap w:val="0"/>
            <w:vAlign w:val="center"/>
          </w:tcPr>
          <w:p>
            <w:pPr>
              <w:widowControl/>
              <w:jc w:val="center"/>
              <w:rPr>
                <w:rFonts w:hint="eastAsia" w:ascii="宋体" w:hAnsi="宋体" w:eastAsia="宋体" w:cs="宋体"/>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0" w:hRule="atLeast"/>
          <w:jc w:val="center"/>
        </w:trPr>
        <w:tc>
          <w:tcPr>
            <w:tcW w:w="411" w:type="dxa"/>
            <w:vMerge w:val="continue"/>
            <w:tcBorders>
              <w:top w:val="single" w:color="auto" w:sz="4" w:space="0"/>
              <w:bottom w:val="single" w:color="auto" w:sz="4" w:space="0"/>
            </w:tcBorders>
            <w:noWrap w:val="0"/>
            <w:vAlign w:val="center"/>
          </w:tcPr>
          <w:p>
            <w:pPr>
              <w:widowControl/>
              <w:jc w:val="center"/>
              <w:rPr>
                <w:rFonts w:ascii="仿宋_GB2312" w:hAnsi="宋体" w:eastAsia="仿宋_GB2312" w:cs="宋体"/>
                <w:kern w:val="0"/>
                <w:sz w:val="20"/>
                <w:szCs w:val="20"/>
              </w:rPr>
            </w:pPr>
          </w:p>
        </w:tc>
        <w:tc>
          <w:tcPr>
            <w:tcW w:w="429"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567" w:type="dxa"/>
            <w:vMerge w:val="continue"/>
            <w:tcBorders>
              <w:top w:val="single" w:color="auto" w:sz="4" w:space="0"/>
              <w:bottom w:val="single" w:color="auto" w:sz="4" w:space="0"/>
            </w:tcBorders>
            <w:noWrap w:val="0"/>
            <w:vAlign w:val="center"/>
          </w:tcPr>
          <w:p>
            <w:pPr>
              <w:widowControl/>
              <w:jc w:val="center"/>
              <w:rPr>
                <w:rFonts w:hint="eastAsia" w:ascii="仿宋_GB2312" w:hAnsi="宋体" w:eastAsia="仿宋_GB2312" w:cs="宋体"/>
                <w:kern w:val="0"/>
                <w:sz w:val="20"/>
                <w:szCs w:val="20"/>
              </w:rPr>
            </w:pPr>
          </w:p>
        </w:tc>
        <w:tc>
          <w:tcPr>
            <w:tcW w:w="851"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社会公众或服务对象满意度</w:t>
            </w:r>
          </w:p>
        </w:tc>
        <w:tc>
          <w:tcPr>
            <w:tcW w:w="567" w:type="dxa"/>
            <w:noWrap w:val="0"/>
            <w:vAlign w:val="center"/>
          </w:tcPr>
          <w:p>
            <w:pPr>
              <w:widowControl/>
              <w:jc w:val="both"/>
              <w:rPr>
                <w:rFonts w:hint="eastAsia" w:ascii="仿宋_GB2312" w:hAnsi="宋体" w:eastAsia="仿宋_GB2312" w:cs="宋体"/>
                <w:kern w:val="0"/>
                <w:sz w:val="20"/>
                <w:szCs w:val="20"/>
              </w:rPr>
            </w:pPr>
            <w:r>
              <w:rPr>
                <w:rFonts w:hint="eastAsia" w:ascii="仿宋_GB2312" w:hAnsi="宋体" w:eastAsia="仿宋_GB2312" w:cs="宋体"/>
                <w:kern w:val="0"/>
                <w:sz w:val="20"/>
                <w:szCs w:val="20"/>
              </w:rPr>
              <w:t>2</w:t>
            </w:r>
          </w:p>
        </w:tc>
        <w:tc>
          <w:tcPr>
            <w:tcW w:w="3118" w:type="dxa"/>
            <w:noWrap w:val="0"/>
            <w:vAlign w:val="center"/>
          </w:tcPr>
          <w:p>
            <w:pPr>
              <w:widowControl/>
              <w:jc w:val="left"/>
              <w:rPr>
                <w:rFonts w:hint="eastAsia" w:ascii="仿宋_GB2312" w:hAnsi="宋体" w:eastAsia="仿宋_GB2312" w:cs="宋体"/>
                <w:kern w:val="0"/>
                <w:sz w:val="20"/>
                <w:szCs w:val="20"/>
                <w:lang w:eastAsia="zh-CN"/>
              </w:rPr>
            </w:pPr>
            <w:r>
              <w:rPr>
                <w:rFonts w:hint="eastAsia" w:ascii="仿宋_GB2312" w:hAnsi="宋体" w:eastAsia="仿宋_GB2312" w:cs="宋体"/>
                <w:kern w:val="0"/>
                <w:sz w:val="20"/>
                <w:szCs w:val="20"/>
              </w:rPr>
              <w:t>90%（含）以上计2分；</w:t>
            </w:r>
          </w:p>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80%（含）-90%，计1分；70%（含）-80%，计0.5分；低于70%,计0分。</w:t>
            </w:r>
          </w:p>
        </w:tc>
        <w:tc>
          <w:tcPr>
            <w:tcW w:w="3472" w:type="dxa"/>
            <w:noWrap w:val="0"/>
            <w:vAlign w:val="center"/>
          </w:tcPr>
          <w:p>
            <w:pPr>
              <w:widowControl/>
              <w:jc w:val="left"/>
              <w:rPr>
                <w:rFonts w:hint="eastAsia" w:ascii="仿宋_GB2312" w:hAnsi="宋体" w:eastAsia="仿宋_GB2312" w:cs="宋体"/>
                <w:kern w:val="0"/>
                <w:sz w:val="20"/>
                <w:szCs w:val="20"/>
              </w:rPr>
            </w:pPr>
            <w:r>
              <w:rPr>
                <w:rFonts w:hint="eastAsia" w:ascii="仿宋_GB2312" w:hAnsi="宋体" w:eastAsia="仿宋_GB2312" w:cs="宋体"/>
                <w:kern w:val="0"/>
                <w:sz w:val="20"/>
                <w:szCs w:val="20"/>
              </w:rPr>
              <w:t>社会公众或服务对象是指部门（单位）履行职责而影响到的部门，群体或个人，一般采取社会调查的方式(不少于30份)。</w:t>
            </w:r>
          </w:p>
        </w:tc>
        <w:tc>
          <w:tcPr>
            <w:tcW w:w="617" w:type="dxa"/>
            <w:noWrap w:val="0"/>
            <w:vAlign w:val="center"/>
          </w:tcPr>
          <w:p>
            <w:pPr>
              <w:widowControl/>
              <w:jc w:val="center"/>
              <w:rPr>
                <w:rFonts w:hint="default" w:ascii="宋体" w:hAnsi="宋体" w:eastAsia="宋体" w:cs="宋体"/>
                <w:kern w:val="0"/>
                <w:sz w:val="24"/>
                <w:szCs w:val="24"/>
                <w:lang w:val="en-US" w:eastAsia="zh-CN"/>
              </w:rPr>
            </w:pPr>
            <w:r>
              <w:rPr>
                <w:rFonts w:hint="eastAsia" w:ascii="宋体" w:hAnsi="宋体" w:eastAsia="宋体" w:cs="宋体"/>
                <w:kern w:val="0"/>
                <w:sz w:val="24"/>
                <w:szCs w:val="24"/>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840" w:type="dxa"/>
            <w:gridSpan w:val="2"/>
            <w:noWrap w:val="0"/>
            <w:vAlign w:val="center"/>
          </w:tcPr>
          <w:p>
            <w:pPr>
              <w:widowControl/>
              <w:jc w:val="center"/>
              <w:rPr>
                <w:rFonts w:hint="eastAsia" w:ascii="仿宋_GB2312" w:hAnsi="宋体" w:eastAsia="仿宋_GB2312" w:cs="宋体"/>
                <w:kern w:val="0"/>
                <w:sz w:val="22"/>
                <w:szCs w:val="22"/>
              </w:rPr>
            </w:pPr>
            <w:r>
              <w:rPr>
                <w:rFonts w:hint="eastAsia" w:ascii="仿宋_GB2312" w:hAnsi="宋体" w:eastAsia="仿宋_GB2312" w:cs="宋体"/>
                <w:kern w:val="0"/>
                <w:sz w:val="22"/>
                <w:szCs w:val="22"/>
              </w:rPr>
              <w:t>合计</w:t>
            </w:r>
          </w:p>
        </w:tc>
        <w:tc>
          <w:tcPr>
            <w:tcW w:w="8575" w:type="dxa"/>
            <w:gridSpan w:val="5"/>
            <w:noWrap w:val="0"/>
            <w:vAlign w:val="center"/>
          </w:tcPr>
          <w:p>
            <w:pPr>
              <w:widowControl/>
              <w:jc w:val="left"/>
              <w:rPr>
                <w:rFonts w:hint="default" w:ascii="仿宋_GB2312" w:hAnsi="宋体" w:eastAsia="仿宋_GB2312" w:cs="宋体"/>
                <w:kern w:val="0"/>
                <w:sz w:val="20"/>
                <w:szCs w:val="20"/>
                <w:lang w:val="en-US" w:eastAsia="zh-CN"/>
              </w:rPr>
            </w:pPr>
            <w:r>
              <w:rPr>
                <w:rFonts w:hint="eastAsia" w:ascii="仿宋_GB2312" w:hAnsi="宋体" w:eastAsia="仿宋_GB2312" w:cs="宋体"/>
                <w:kern w:val="0"/>
                <w:sz w:val="20"/>
                <w:szCs w:val="20"/>
                <w:lang w:val="en-US" w:eastAsia="zh-CN"/>
              </w:rPr>
              <w:t>87</w:t>
            </w:r>
          </w:p>
        </w:tc>
        <w:tc>
          <w:tcPr>
            <w:tcW w:w="617" w:type="dxa"/>
            <w:noWrap w:val="0"/>
            <w:vAlign w:val="center"/>
          </w:tcPr>
          <w:p>
            <w:pPr>
              <w:widowControl/>
              <w:jc w:val="center"/>
              <w:rPr>
                <w:rFonts w:hint="eastAsia" w:ascii="宋体" w:hAnsi="宋体" w:eastAsia="宋体" w:cs="宋体"/>
                <w:kern w:val="0"/>
                <w:sz w:val="24"/>
                <w:szCs w:val="24"/>
                <w:lang w:val="en-US" w:eastAsia="zh-CN"/>
              </w:rPr>
            </w:pPr>
          </w:p>
        </w:tc>
      </w:tr>
    </w:tbl>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bookmarkStart w:id="1" w:name="_GoBack"/>
      <w:bookmarkEnd w:id="1"/>
    </w:p>
    <w:p>
      <w:pPr>
        <w:pStyle w:val="8"/>
        <w:ind w:firstLine="560" w:firstLineChars="200"/>
        <w:rPr>
          <w:rFonts w:hint="eastAsia" w:ascii="宋体" w:hAnsi="宋体" w:eastAsia="宋体" w:cs="宋体"/>
          <w:i w:val="0"/>
          <w:iCs w:val="0"/>
          <w:caps w:val="0"/>
          <w:color w:val="444444"/>
          <w:spacing w:val="0"/>
          <w:kern w:val="2"/>
          <w:sz w:val="28"/>
          <w:szCs w:val="28"/>
          <w:shd w:val="clear" w:fill="FFFFFF"/>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8C2C65"/>
    <w:multiLevelType w:val="singleLevel"/>
    <w:tmpl w:val="BA8C2C65"/>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zOGMzM2Y1OWYzYzdhMzQ0ZjU5ZmZlZjYzN2FhNzYifQ=="/>
  </w:docVars>
  <w:rsids>
    <w:rsidRoot w:val="00000000"/>
    <w:rsid w:val="00554C33"/>
    <w:rsid w:val="00D51644"/>
    <w:rsid w:val="025D08EA"/>
    <w:rsid w:val="02A74CAA"/>
    <w:rsid w:val="05213482"/>
    <w:rsid w:val="09E17252"/>
    <w:rsid w:val="0D5E3707"/>
    <w:rsid w:val="11E84674"/>
    <w:rsid w:val="126C42B4"/>
    <w:rsid w:val="17042185"/>
    <w:rsid w:val="17C84600"/>
    <w:rsid w:val="1AD95054"/>
    <w:rsid w:val="1C043571"/>
    <w:rsid w:val="1F010C8F"/>
    <w:rsid w:val="20F63895"/>
    <w:rsid w:val="2511616C"/>
    <w:rsid w:val="26166273"/>
    <w:rsid w:val="2B032004"/>
    <w:rsid w:val="2C7529D1"/>
    <w:rsid w:val="2D6C05C8"/>
    <w:rsid w:val="3619015E"/>
    <w:rsid w:val="36E22B02"/>
    <w:rsid w:val="37A26170"/>
    <w:rsid w:val="388F698F"/>
    <w:rsid w:val="3B9303B2"/>
    <w:rsid w:val="3C8416D7"/>
    <w:rsid w:val="3FAB09ED"/>
    <w:rsid w:val="44AF5D78"/>
    <w:rsid w:val="45833892"/>
    <w:rsid w:val="45CB4E15"/>
    <w:rsid w:val="4ACA7AAB"/>
    <w:rsid w:val="4B991F60"/>
    <w:rsid w:val="4D113C42"/>
    <w:rsid w:val="4E58558A"/>
    <w:rsid w:val="4F3501F1"/>
    <w:rsid w:val="52C04276"/>
    <w:rsid w:val="53202F66"/>
    <w:rsid w:val="55C776C9"/>
    <w:rsid w:val="575435C3"/>
    <w:rsid w:val="58CA4CA4"/>
    <w:rsid w:val="59A70B1E"/>
    <w:rsid w:val="59E60318"/>
    <w:rsid w:val="5B853FE3"/>
    <w:rsid w:val="5CBC5F90"/>
    <w:rsid w:val="5D762C66"/>
    <w:rsid w:val="5E6D1153"/>
    <w:rsid w:val="5F83500A"/>
    <w:rsid w:val="60745B56"/>
    <w:rsid w:val="641F097E"/>
    <w:rsid w:val="65236940"/>
    <w:rsid w:val="664A41B0"/>
    <w:rsid w:val="66D16D4F"/>
    <w:rsid w:val="66FE6113"/>
    <w:rsid w:val="6B874FA2"/>
    <w:rsid w:val="6FD52562"/>
    <w:rsid w:val="70514092"/>
    <w:rsid w:val="70852420"/>
    <w:rsid w:val="73125FD0"/>
    <w:rsid w:val="76DC35F5"/>
    <w:rsid w:val="7832658D"/>
    <w:rsid w:val="79074D5F"/>
    <w:rsid w:val="7AF745AA"/>
    <w:rsid w:val="7B7D06A6"/>
    <w:rsid w:val="7D611B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semiHidden/>
    <w:qFormat/>
    <w:uiPriority w:val="99"/>
    <w:pPr>
      <w:ind w:firstLine="420" w:firstLineChars="200"/>
    </w:pPr>
  </w:style>
  <w:style w:type="paragraph" w:styleId="3">
    <w:name w:val="Body Text Indent"/>
    <w:basedOn w:val="1"/>
    <w:semiHidden/>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8">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2394</Words>
  <Characters>2540</Characters>
  <Lines>0</Lines>
  <Paragraphs>0</Paragraphs>
  <TotalTime>0</TotalTime>
  <ScaleCrop>false</ScaleCrop>
  <LinksUpToDate>false</LinksUpToDate>
  <CharactersWithSpaces>2541</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2022-06-28T09:10:00Z</dcterms:created>
  <dc:creator>Administrator</dc:creator>
  <cp:lastModifiedBy>Administrator</cp:lastModifiedBy>
  <dcterms:modified xsi:type="dcterms:W3CDTF">2023-12-13T09:25:59Z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4389511D49B54F8AA3162884867D1BAD_13</vt:lpwstr>
  </property>
</Properties>
</file>