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w:t>
      </w:r>
      <w:r>
        <w:rPr>
          <w:rFonts w:hint="eastAsia" w:cs="宋体"/>
          <w:i w:val="0"/>
          <w:iCs w:val="0"/>
          <w:caps w:val="0"/>
          <w:color w:val="000000"/>
          <w:spacing w:val="0"/>
          <w:sz w:val="31"/>
          <w:szCs w:val="31"/>
          <w:shd w:val="clear" w:fill="FFFFFF"/>
          <w:lang w:eastAsia="zh-CN"/>
        </w:rPr>
        <w:t>疾病预防控制中心</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pStyle w:val="4"/>
        <w:widowControl/>
        <w:shd w:val="clear" w:color="auto" w:fill="FFFFFF"/>
        <w:spacing w:before="0" w:beforeAutospacing="0" w:after="0" w:afterAutospacing="0" w:line="450" w:lineRule="atLeast"/>
        <w:ind w:firstLine="420" w:firstLineChars="150"/>
        <w:jc w:val="both"/>
        <w:rPr>
          <w:rFonts w:ascii="微软雅黑" w:hAnsi="微软雅黑" w:eastAsia="微软雅黑" w:cs="仿宋"/>
          <w:sz w:val="28"/>
          <w:szCs w:val="28"/>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北塔区疾病预防控制中心是全额拨款事业单位，贯彻执行党和国家、省、市、区关于疾病预防控制工作法律法规和方针政策，负责全区疾病预防控制具体工作的管理和落实。</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内设14个职能科室，全部纳入事业单位2021年部门预算编制范围，单独公开2021年部门预算编制情况。内设科室分别是综合办公室、财务及后勤保障科、疫情报告及应急办、计划免疫科、流行病科、结核病防治科、艾滋病防治科、学校传染病防控科、公共卫生监督科、健康教育及健康促进科、检验科、慢性病防治科、职业病防治科、接种门诊。</w:t>
      </w:r>
      <w:r>
        <w:rPr>
          <w:rFonts w:hint="eastAsia" w:ascii="微软雅黑" w:hAnsi="MS Mincho" w:eastAsia="MS Mincho" w:cs="MS Mincho"/>
          <w:sz w:val="28"/>
          <w:szCs w:val="28"/>
          <w:shd w:val="clear" w:color="auto" w:fill="FFFFFF"/>
        </w:rPr>
        <w:t>  </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numPr>
          <w:ilvl w:val="0"/>
          <w:numId w:val="0"/>
        </w:numPr>
        <w:spacing w:line="320" w:lineRule="exact"/>
        <w:ind w:firstLine="840" w:firstLineChars="300"/>
        <w:rPr>
          <w:rFonts w:hint="eastAsia" w:ascii="微软雅黑" w:hAnsi="微软雅黑" w:eastAsia="微软雅黑" w:cs="微软雅黑"/>
          <w:color w:val="232323"/>
          <w:kern w:val="0"/>
          <w:sz w:val="28"/>
          <w:szCs w:val="28"/>
          <w:shd w:val="clear" w:color="auto" w:fill="FFFFFF"/>
          <w:lang w:bidi="ar"/>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北塔区疾病预防控制中心事业编制14名，在岗职工13人。设主任1名，实际人数13人，离退休2人。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br w:type="textWrapping"/>
      </w:r>
      <w:r>
        <w:rPr>
          <w:rFonts w:hint="eastAsia" w:ascii="微软雅黑" w:hAnsi="微软雅黑" w:eastAsia="微软雅黑" w:cs="微软雅黑"/>
          <w:color w:val="232323"/>
          <w:kern w:val="0"/>
          <w:sz w:val="28"/>
          <w:szCs w:val="28"/>
          <w:shd w:val="clear" w:color="auto" w:fill="FFFFFF"/>
          <w:lang w:bidi="ar"/>
        </w:rPr>
        <w:t>  </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（1）完成上级下达的疾病预防控制任务，负责全区疾病预防控制具体工作的管理和落实；负责全区疫苗使用管理，组织实施免疫、消毒、控制病媒生物的危害。</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（2）负责实施全区传染病、慢性非传染病的防治规划。</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（3）负责中毒事故等公共卫生突发事件的现场流行病学、卫生学调查，采样检验和预防控制工作。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（4）负责健康相关场所从业人员预防性健康检查和健康相关产品卫生评价。</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（5）承担卫生行政部门和卫生监督机构及有关部门委托的卫生检测检验任务。</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（6）负责全区健康教育及疾病预防控制知识的普及及宣传工作等。</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（7）负责全区幼儿园和学校新生入校结核病初筛工作。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（8）指导全区内医疗卫生机构、城市社区卫生组织和乡镇卫生院开展卫生防病工作，负责考核和评价，对从事疾病预防控制相关工作是人员进行培训。</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（9）负责疫情和公共卫生健康危害因素监测、报告、指导乡、村和有关部门收集、报告疫情。</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（10）开展病原微生物常规检验和常见污染物的检验。</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（11）负责全区的免疫规划工作及全区的入托、入学儿童预防接种证查验工作。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（12）负责全区的艾滋病防治工作及职业病防治工作。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2022年度北塔区疾病预防控制中心支出年初预算安排为210.68万元，本年实际支出为1179.34万元，预算执行率为559.78%，主要为疫情防控支出。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区疾病预防控制中心基本支出年初预算安排为152.88万元，本年实际支出为899.09万元，主要为人员经费支出和公用经费支出，其中人员经费支出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179.13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719.96</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yellow"/>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本年项目支出年初预算安排为57.8万元，本年实际支出为0万元，因未设置专项账目处理，实际支出57.8</w:t>
      </w:r>
      <w:bookmarkStart w:id="0" w:name="_GoBack"/>
      <w:bookmarkEnd w:id="0"/>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疾病预防控制中心支出年初预算安排为210.68万元，本年实际支出为1179.34万元，预算执行率为559.78%，当年预算有超支968.66万元；⑵公用经费预算0万元，实际支出719.96万元，1；（3）“三公经费”年初预算安排1.4万元，实际支出0.59万元，“三公经费”控制率为42.14%。（4）政府采购年初预算0万元，实际政府采购金额0万元，政府采购执行率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北塔区疾病预防控制中心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截止2022年12月31日，北塔区疾病预防控制中心拥有各类资产总额276.35万元，其中流动资产108万元，固定资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产168.35万元。单位为加强资产管理，内部制定了资产管理制度，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本单位1179.34基本支出万元，主要用于保障人员的工资和福利支出、正常办公所需的商品和服务支出及对个人和家庭的补助支出。按支出经济分类：其中工资福利支出177.41万元，占基本支出的15.04%；商品服务支出637.11万元，占基本支出的54.02%；对个人家庭补助支出1.71万元，占基本支出的0.14%；资本性支出82.84万元，占基本支出的7.02%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2022年我局“三公”经费决算支出数0.59万元。其中：因公出国(境)费0万元、公务接待费0.59万元（同比2021年减少了4.2万元）、公务用车费0万元。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2022年我局决算支出日常公用经费719.96万元。主要包括：办公费、差旅费、招待费、水电费、维修费、租赁费、会议费、培训费等支出。具体明细如下（单位：万元）：</w:t>
      </w:r>
    </w:p>
    <w:p>
      <w:pPr>
        <w:pStyle w:val="5"/>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9.46</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1.31</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29.99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4.17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水费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电费</w:t>
            </w:r>
          </w:p>
        </w:tc>
        <w:tc>
          <w:tcPr>
            <w:tcW w:w="2580" w:type="dxa"/>
            <w:noWrap w:val="0"/>
            <w:vAlign w:val="center"/>
          </w:tcPr>
          <w:p>
            <w:pPr>
              <w:tabs>
                <w:tab w:val="left" w:pos="242"/>
              </w:tabs>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1.61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0.09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0.72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0.11</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0.59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447.33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62.13</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9.45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39.77</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5.52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公务用车运行维护费</w:t>
            </w:r>
          </w:p>
        </w:tc>
        <w:tc>
          <w:tcPr>
            <w:tcW w:w="2580" w:type="dxa"/>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3.06</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8.58</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85.13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11.82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bidi="ar"/>
              </w:rPr>
            </w:pPr>
            <w:r>
              <w:rPr>
                <w:rFonts w:ascii="宋体" w:hAnsi="宋体" w:eastAsia="宋体" w:cs="宋体"/>
                <w:i w:val="0"/>
                <w:iCs w:val="0"/>
                <w:color w:val="000000"/>
                <w:kern w:val="0"/>
                <w:sz w:val="20"/>
                <w:szCs w:val="20"/>
                <w:u w:val="none"/>
                <w:lang w:val="en-US" w:eastAsia="zh-CN" w:bidi="ar"/>
              </w:rPr>
              <w:t>办公设备购置</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7.85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1.09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基础设施建设</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合 计：</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719.96</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N2NiYzJkYmVkMjgyNGUxM2Q0NGZmOTAzNDNlMmIifQ=="/>
  </w:docVars>
  <w:rsids>
    <w:rsidRoot w:val="00000000"/>
    <w:rsid w:val="00554C33"/>
    <w:rsid w:val="00D51644"/>
    <w:rsid w:val="025D08EA"/>
    <w:rsid w:val="02A74CAA"/>
    <w:rsid w:val="05213482"/>
    <w:rsid w:val="09E17252"/>
    <w:rsid w:val="0D5E3707"/>
    <w:rsid w:val="11E84674"/>
    <w:rsid w:val="126C42B4"/>
    <w:rsid w:val="17042185"/>
    <w:rsid w:val="17C84600"/>
    <w:rsid w:val="1F010C8F"/>
    <w:rsid w:val="20F63895"/>
    <w:rsid w:val="22736A7A"/>
    <w:rsid w:val="2511616C"/>
    <w:rsid w:val="25D54AB7"/>
    <w:rsid w:val="26166273"/>
    <w:rsid w:val="29D4035D"/>
    <w:rsid w:val="2B032004"/>
    <w:rsid w:val="2C7529D1"/>
    <w:rsid w:val="2D6C05C8"/>
    <w:rsid w:val="3619015E"/>
    <w:rsid w:val="36E22B02"/>
    <w:rsid w:val="37A26170"/>
    <w:rsid w:val="3B9303B2"/>
    <w:rsid w:val="3C8416D7"/>
    <w:rsid w:val="3FAB09ED"/>
    <w:rsid w:val="44AF5D78"/>
    <w:rsid w:val="45833892"/>
    <w:rsid w:val="45CB4E15"/>
    <w:rsid w:val="481F38F3"/>
    <w:rsid w:val="4ACA7AAB"/>
    <w:rsid w:val="4B991F60"/>
    <w:rsid w:val="4D113C42"/>
    <w:rsid w:val="4E58558A"/>
    <w:rsid w:val="4F3501F1"/>
    <w:rsid w:val="52C04276"/>
    <w:rsid w:val="53202F66"/>
    <w:rsid w:val="55C776C9"/>
    <w:rsid w:val="575435C3"/>
    <w:rsid w:val="58CA4CA4"/>
    <w:rsid w:val="59A70B1E"/>
    <w:rsid w:val="59E60318"/>
    <w:rsid w:val="5B853FE3"/>
    <w:rsid w:val="5CBC5F90"/>
    <w:rsid w:val="5D762C66"/>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6F0D2E"/>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semiHidden/>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semiHidden/>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真实</cp:lastModifiedBy>
  <cp:lastPrinted>2023-09-25T01:58:00Z</cp:lastPrinted>
  <dcterms:modified xsi:type="dcterms:W3CDTF">2023-09-25T08:34:02Z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DF28F90F22C7421D96D9BE0FFA003493_13</vt:lpwstr>
  </property>
</Properties>
</file>