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宋体" w:hAnsi="宋体" w:eastAsia="宋体" w:cs="宋体"/>
          <w:i w:val="0"/>
          <w:iCs w:val="0"/>
          <w:caps w:val="0"/>
          <w:color w:val="000000"/>
          <w:spacing w:val="0"/>
          <w:sz w:val="31"/>
          <w:szCs w:val="31"/>
          <w:shd w:val="clear" w:fill="FFFFFF"/>
        </w:rPr>
        <w:t>北塔区</w:t>
      </w:r>
      <w:r>
        <w:rPr>
          <w:rFonts w:hint="eastAsia" w:cs="宋体"/>
          <w:i w:val="0"/>
          <w:iCs w:val="0"/>
          <w:caps w:val="0"/>
          <w:color w:val="000000"/>
          <w:spacing w:val="0"/>
          <w:sz w:val="31"/>
          <w:szCs w:val="31"/>
          <w:shd w:val="clear" w:fill="FFFFFF"/>
          <w:lang w:eastAsia="zh-CN"/>
        </w:rPr>
        <w:t>疾病预防控制中心</w:t>
      </w:r>
      <w:r>
        <w:rPr>
          <w:rFonts w:ascii="宋体" w:hAnsi="宋体" w:eastAsia="宋体" w:cs="宋体"/>
          <w:i w:val="0"/>
          <w:iCs w:val="0"/>
          <w:caps w:val="0"/>
          <w:color w:val="000000"/>
          <w:spacing w:val="0"/>
          <w:sz w:val="31"/>
          <w:szCs w:val="31"/>
          <w:shd w:val="clear" w:fill="FFFFFF"/>
        </w:rPr>
        <w:t>2</w:t>
      </w:r>
      <w:r>
        <w:rPr>
          <w:i w:val="0"/>
          <w:iCs w:val="0"/>
          <w:caps w:val="0"/>
          <w:color w:val="000000"/>
          <w:spacing w:val="0"/>
          <w:sz w:val="31"/>
          <w:szCs w:val="31"/>
          <w:shd w:val="clear" w:fill="FFFFFF"/>
        </w:rPr>
        <w:t>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1、基本情况</w:t>
      </w:r>
    </w:p>
    <w:p>
      <w:pPr>
        <w:pStyle w:val="4"/>
        <w:widowControl/>
        <w:shd w:val="clear" w:color="auto" w:fill="FFFFFF"/>
        <w:spacing w:before="0" w:beforeAutospacing="0" w:after="0" w:afterAutospacing="0" w:line="450" w:lineRule="atLeast"/>
        <w:ind w:firstLine="420" w:firstLineChars="150"/>
        <w:jc w:val="both"/>
        <w:rPr>
          <w:rFonts w:ascii="微软雅黑" w:hAnsi="微软雅黑" w:eastAsia="微软雅黑" w:cs="仿宋"/>
          <w:sz w:val="28"/>
          <w:szCs w:val="28"/>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北塔区疾病预防控制中心是全额拨款事业单位，贯彻执行党和国家、省、市、区关于疾病预防控制工作法律法规和方针政策，负责全区疾病预防控制具体工作的管理和落实。</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2、机构情况</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内设14个职能科室，全部纳入事业单位2021年部门预算编制范围，单独公开2021年部门预算编制情况。内设科室分别是综合办公室、财务及后勤保障科、疫情报告及应急办、计划免疫科、流行病科、结核病防治科、艾滋病防治科、学校传染病防控科、公共卫生监督科、健康教育及健康促进科、检验科、慢性病防治科、职业病防治科、接种门诊。</w:t>
      </w:r>
      <w:r>
        <w:rPr>
          <w:rFonts w:hint="eastAsia" w:ascii="微软雅黑" w:hAnsi="MS Mincho" w:eastAsia="MS Mincho" w:cs="MS Mincho"/>
          <w:sz w:val="28"/>
          <w:szCs w:val="28"/>
          <w:shd w:val="clear" w:color="auto" w:fill="FFFFFF"/>
        </w:rPr>
        <w:t>  </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 </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3、人员情况   </w:t>
      </w:r>
    </w:p>
    <w:p>
      <w:pPr>
        <w:numPr>
          <w:ilvl w:val="0"/>
          <w:numId w:val="0"/>
        </w:numPr>
        <w:spacing w:line="320" w:lineRule="exact"/>
        <w:ind w:firstLine="840" w:firstLineChars="300"/>
        <w:rPr>
          <w:rFonts w:hint="eastAsia" w:ascii="微软雅黑" w:hAnsi="微软雅黑" w:eastAsia="微软雅黑" w:cs="微软雅黑"/>
          <w:color w:val="232323"/>
          <w:kern w:val="0"/>
          <w:sz w:val="28"/>
          <w:szCs w:val="28"/>
          <w:shd w:val="clear" w:color="auto" w:fill="FFFFFF"/>
          <w:lang w:bidi="ar"/>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北塔区疾病预防控制中心事业编制14名，在岗职工13人。设主任1名，实际人数13人，离退休2人。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br w:type="textWrapping"/>
      </w:r>
      <w:r>
        <w:rPr>
          <w:rFonts w:hint="eastAsia" w:ascii="微软雅黑" w:hAnsi="微软雅黑" w:eastAsia="微软雅黑" w:cs="微软雅黑"/>
          <w:color w:val="232323"/>
          <w:kern w:val="0"/>
          <w:sz w:val="28"/>
          <w:szCs w:val="28"/>
          <w:shd w:val="clear" w:color="auto" w:fill="FFFFFF"/>
          <w:lang w:bidi="ar"/>
        </w:rPr>
        <w:t>  </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（1）完成上级下达的疾病预防控制任务，负责全区疾病预防控制具体工作的管理和落实；负责全区疫苗使用管理，组织实施免疫、消毒、控制病媒生物的危害。</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（2）负责实施全区传染病、慢性非传染病的防治规划。</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（3）负责中毒事故等公共卫生突发事件的现场流行病学、卫生学调查，采样检验和预防控制工作。</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（4）负责健康相关场所从业人员预防性健康检查和健康相关产品卫生评价。</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（5）承担卫生行政部门和卫生监督机构及有关部门委托的卫生检测检验任务。</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（6）负责全区健康教育及疾病预防控制知识的普及及宣传工作等。</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（7）负责全区幼儿园和学校新生入校结核病初筛工作。</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（8）指导全区内医疗卫生机构、城市社区卫生组织和乡镇卫生院开展卫生防病工作，负责考核和评价，对从事疾病预防控制相关工作是人员进行培训。</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（9）负责疫情和公共卫生健康危害因素监测、报告、指导乡、村和有关部门收集、报告疫情。</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（10）开展病原微生物常规检验和常见污染物的检验。</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（11）负责全区的免疫规划工作及全区的入托、入学儿童预防接种证查验工作。</w:t>
      </w:r>
    </w:p>
    <w:p>
      <w:pPr>
        <w:pStyle w:val="4"/>
        <w:widowControl/>
        <w:shd w:val="clear" w:color="auto" w:fill="FFFFFF"/>
        <w:spacing w:before="0" w:beforeAutospacing="0" w:after="0" w:afterAutospacing="0" w:line="450" w:lineRule="atLeast"/>
        <w:ind w:firstLine="420" w:firstLineChars="15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（12）负责全区的艾滋病防治工作及职业病防治工作。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highlight w:val="none"/>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2022年度北塔区疾病预防控制中心支出年初预算安排为210.68万元，本年实际支出为1179.34万元，预算执行率为559.78%，主要为疫情防控支出。</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w:t>
      </w:r>
      <w:r>
        <w:rPr>
          <w:rFonts w:hint="eastAsia" w:ascii="宋体" w:hAnsi="宋体" w:eastAsia="宋体" w:cs="宋体"/>
          <w:i w:val="0"/>
          <w:iCs w:val="0"/>
          <w:caps w:val="0"/>
          <w:color w:val="444444"/>
          <w:spacing w:val="0"/>
          <w:kern w:val="2"/>
          <w:sz w:val="28"/>
          <w:szCs w:val="28"/>
          <w:shd w:val="clear" w:fill="FFFFFF"/>
          <w:lang w:val="en-US" w:eastAsia="zh-CN" w:bidi="ar-SA"/>
        </w:rPr>
        <w:t>北塔</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区疾病预防控制中心基本支出年初预算安排为152.88万元，本年实际支出为899.09万元，主要为人员经费支出和公用经费支出，其中人员经费支出</w:t>
      </w:r>
      <w:r>
        <w:rPr>
          <w:rFonts w:hint="eastAsia" w:ascii="宋体" w:hAnsi="宋体" w:cs="宋体"/>
          <w:color w:val="232323"/>
          <w:kern w:val="0"/>
          <w:sz w:val="24"/>
          <w:szCs w:val="24"/>
          <w:highlight w:val="none"/>
          <w:shd w:val="clear" w:color="auto" w:fill="FFFFFF"/>
          <w:lang w:val="en-US" w:eastAsia="zh-CN" w:bidi="ar"/>
        </w:rPr>
        <w:t>179.13</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万元、公用经费支出</w:t>
      </w:r>
      <w:r>
        <w:rPr>
          <w:rFonts w:hint="eastAsia" w:ascii="宋体" w:hAnsi="宋体" w:cs="宋体"/>
          <w:color w:val="232323"/>
          <w:kern w:val="0"/>
          <w:sz w:val="24"/>
          <w:szCs w:val="24"/>
          <w:highlight w:val="none"/>
          <w:shd w:val="clear" w:color="auto" w:fill="FFFFFF"/>
          <w:lang w:val="en-US" w:eastAsia="zh-CN" w:bidi="ar"/>
        </w:rPr>
        <w:t>719.96</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yellow"/>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本年项目支出年初预算安排为57.8万元，本年实际支出为0万元，因未设置专项账目处理，实际支出57.8</w:t>
      </w:r>
      <w:bookmarkStart w:id="0" w:name="_GoBack"/>
      <w:bookmarkEnd w:id="0"/>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spacing w:line="480" w:lineRule="auto"/>
        <w:ind w:firstLine="643"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疾病预防控制中心支出年初预算安排为210.68万元，本年实际支出为1179.34万元，预算执行率为559.78%，当年预算有超支968.66万元；⑵公用经费预算0万元，实际支出719.96万元，1；（3）“三公经费”年初预算安排1.4万元，实际支出0.59万元，“三公经费”控制率为42.14%。（4）政府采购年初预算0万元，实际政府采购金额0万元，政府采购执行率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北塔区疾病预防控制中心</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截止2022年12月31日，北塔区疾病预防控制中心拥有各类资产总额276.35万元，其中流动资产108万元，固定资</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产168.35万元。单位为加强资产管理，内部制定了资产管理制度，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本单位1179.34基本支出万元，主要用于保障人员的工资和福利支出、正常办公所需的商品和服务支出及对个人和家庭的补助支出。按支出经济分类：其中工资福利支出177.41万元，占基本支出的15.04%；商品服务支出637.11万元，占基本支出的54.02%；对个人家庭补助支出1.71万元，占基本支出的0.14%；资本性支出82.84万元，占基本支出的7.02%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2022年我局“三公”经费决算支出数0.59万元。其中：因公出国(境)费0万元、公务接待费0.59万元（同比2021年减少了4.2万元）、公务用车费0万元。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2022年我局决算支出日常公用经费719.96万元。主要包括：办公费、差旅费、招待费、水电费、维修费、租赁费、会议费、培训费等支出。具体明细如下（单位：万元）：</w:t>
      </w:r>
    </w:p>
    <w:p>
      <w:pPr>
        <w:pStyle w:val="5"/>
        <w:rPr>
          <w:rFonts w:hint="eastAsia" w:ascii="宋体" w:hAnsi="宋体" w:eastAsia="宋体" w:cs="宋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9.46</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1.31</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29.99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4.17</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水费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0.03</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电费</w:t>
            </w:r>
          </w:p>
        </w:tc>
        <w:tc>
          <w:tcPr>
            <w:tcW w:w="2580" w:type="dxa"/>
            <w:noWrap w:val="0"/>
            <w:vAlign w:val="center"/>
          </w:tcPr>
          <w:p>
            <w:pPr>
              <w:tabs>
                <w:tab w:val="left" w:pos="242"/>
              </w:tabs>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1.61</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0.09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0.0</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0.4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06</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0.72</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0.8</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0.11</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0.59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cs="宋体"/>
                <w:i w:val="0"/>
                <w:iCs w:val="0"/>
                <w:color w:val="000000"/>
                <w:kern w:val="0"/>
                <w:sz w:val="20"/>
                <w:szCs w:val="20"/>
                <w:u w:val="none"/>
                <w:lang w:val="en-US" w:eastAsia="zh-CN" w:bidi="ar"/>
              </w:rPr>
              <w:t>447.33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cs="宋体"/>
                <w:i w:val="0"/>
                <w:iCs w:val="0"/>
                <w:color w:val="000000"/>
                <w:kern w:val="0"/>
                <w:sz w:val="22"/>
                <w:szCs w:val="22"/>
                <w:u w:val="none"/>
                <w:lang w:val="en-US" w:eastAsia="zh-CN" w:bidi="ar"/>
              </w:rPr>
              <w:t>62.13</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2580" w:type="dxa"/>
            <w:noWrap w:val="0"/>
            <w:vAlign w:val="center"/>
          </w:tcPr>
          <w:p>
            <w:pPr>
              <w:jc w:val="center"/>
              <w:rPr>
                <w:rFonts w:hint="default" w:ascii="宋体" w:hAnsi="宋体" w:eastAsia="宋体" w:cs="宋体"/>
                <w:color w:val="232323"/>
                <w:kern w:val="0"/>
                <w:sz w:val="24"/>
                <w:szCs w:val="24"/>
                <w:shd w:val="clear" w:color="auto" w:fill="FFFFFF"/>
                <w:lang w:val="en-US" w:eastAsia="zh-CN" w:bidi="ar"/>
              </w:rPr>
            </w:pP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9.45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39.77</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5.52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公务用车运行维护费</w:t>
            </w:r>
          </w:p>
        </w:tc>
        <w:tc>
          <w:tcPr>
            <w:tcW w:w="2580" w:type="dxa"/>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3.06</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8.58</w:t>
            </w:r>
          </w:p>
        </w:tc>
        <w:tc>
          <w:tcPr>
            <w:tcW w:w="234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85.13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11.82</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232323"/>
                <w:kern w:val="0"/>
                <w:sz w:val="24"/>
                <w:szCs w:val="24"/>
                <w:shd w:val="clear" w:color="auto" w:fill="FFFFFF"/>
                <w:lang w:bidi="ar"/>
              </w:rPr>
            </w:pPr>
            <w:r>
              <w:rPr>
                <w:rFonts w:ascii="宋体" w:hAnsi="宋体" w:eastAsia="宋体" w:cs="宋体"/>
                <w:i w:val="0"/>
                <w:iCs w:val="0"/>
                <w:color w:val="000000"/>
                <w:kern w:val="0"/>
                <w:sz w:val="20"/>
                <w:szCs w:val="20"/>
                <w:u w:val="none"/>
                <w:lang w:val="en-US" w:eastAsia="zh-CN" w:bidi="ar"/>
              </w:rPr>
              <w:t>办公设备购置</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0"/>
                <w:szCs w:val="20"/>
                <w:u w:val="none"/>
                <w:lang w:val="en-US" w:eastAsia="zh-CN" w:bidi="ar"/>
              </w:rPr>
              <w:t>7.85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cs="宋体"/>
                <w:i w:val="0"/>
                <w:iCs w:val="0"/>
                <w:color w:val="000000"/>
                <w:kern w:val="0"/>
                <w:sz w:val="22"/>
                <w:szCs w:val="22"/>
                <w:u w:val="none"/>
                <w:lang w:val="en-US" w:eastAsia="zh-CN" w:bidi="ar"/>
              </w:rPr>
              <w:t>1.09</w:t>
            </w:r>
            <w:r>
              <w:rPr>
                <w:rFonts w:hint="eastAsia" w:ascii="宋体" w:hAnsi="宋体" w:eastAsia="宋体" w:cs="宋体"/>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基础设施建设</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75</w:t>
            </w:r>
          </w:p>
        </w:tc>
        <w:tc>
          <w:tcPr>
            <w:tcW w:w="234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719.96</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为加强对预算资金的支出管理，我局财务实行统一核算，统一账户，统一管理。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进一步规范资金使用，把好“支出关”。经费开支按预算执行，基本支出的日常财务管理工作由局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444444"/>
          <w:spacing w:val="0"/>
          <w:kern w:val="2"/>
          <w:sz w:val="28"/>
          <w:szCs w:val="28"/>
          <w:shd w:val="clear" w:fill="FFFFFF"/>
          <w:lang w:val="en-US" w:eastAsia="zh-CN" w:bidi="ar-SA"/>
        </w:rPr>
        <w:t>（5）进一步推进预决算等重要信息的公开透明。2022年度北塔区卫生计生综合监督执法局按时按要求在政务网站上公开了部门预算、决算报表的相关信息。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是预算安排经费不够精准，使一些费用明细项实际开支时存在超支或节余的问题，导致费用调剂使用金额较大。二是专项资金监管力度不够，没有制定出高质量的专项资金考核指标。三是近两年由于新冠肺炎疫情的影响，使极个别项目实施进展缓慢。今年我们会进一步加强对各项目的督导和管理，力争每个项目都在规定时间内高质高效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1、加强资金管理力度，科学编制预算，提高预算安排的准确性。</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2、要建立健全科学合理的绩效评价指标体系，进一步完善部门绩效评价的管理制度。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3、加大对专项资金的监管力度，切实提高专项资金的使用效益。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C2C65"/>
    <w:multiLevelType w:val="singleLevel"/>
    <w:tmpl w:val="BA8C2C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2NiYzJkYmVkMjgyNGUxM2Q0NGZmOTAzNDNlMmIifQ=="/>
  </w:docVars>
  <w:rsids>
    <w:rsidRoot w:val="00000000"/>
    <w:rsid w:val="00554C33"/>
    <w:rsid w:val="00D51644"/>
    <w:rsid w:val="025D08EA"/>
    <w:rsid w:val="02A74CAA"/>
    <w:rsid w:val="05213482"/>
    <w:rsid w:val="09E17252"/>
    <w:rsid w:val="0D5E3707"/>
    <w:rsid w:val="11E84674"/>
    <w:rsid w:val="126C42B4"/>
    <w:rsid w:val="17042185"/>
    <w:rsid w:val="17C84600"/>
    <w:rsid w:val="1F010C8F"/>
    <w:rsid w:val="20F63895"/>
    <w:rsid w:val="22736A7A"/>
    <w:rsid w:val="2511616C"/>
    <w:rsid w:val="25D54AB7"/>
    <w:rsid w:val="26166273"/>
    <w:rsid w:val="29D4035D"/>
    <w:rsid w:val="2B032004"/>
    <w:rsid w:val="2C7529D1"/>
    <w:rsid w:val="2D6C05C8"/>
    <w:rsid w:val="3619015E"/>
    <w:rsid w:val="36E22B02"/>
    <w:rsid w:val="37A26170"/>
    <w:rsid w:val="3B9303B2"/>
    <w:rsid w:val="3C8416D7"/>
    <w:rsid w:val="3FAB09ED"/>
    <w:rsid w:val="44AF5D78"/>
    <w:rsid w:val="45833892"/>
    <w:rsid w:val="45CB4E15"/>
    <w:rsid w:val="481F38F3"/>
    <w:rsid w:val="4ACA7AAB"/>
    <w:rsid w:val="4B991F60"/>
    <w:rsid w:val="4D113C42"/>
    <w:rsid w:val="4E58558A"/>
    <w:rsid w:val="4F3501F1"/>
    <w:rsid w:val="52C04276"/>
    <w:rsid w:val="53202F66"/>
    <w:rsid w:val="55C776C9"/>
    <w:rsid w:val="575435C3"/>
    <w:rsid w:val="58CA4CA4"/>
    <w:rsid w:val="59A70B1E"/>
    <w:rsid w:val="59E60318"/>
    <w:rsid w:val="5B853FE3"/>
    <w:rsid w:val="5CBC5F90"/>
    <w:rsid w:val="5D762C66"/>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6F0D2E"/>
    <w:rsid w:val="7B7D06A6"/>
    <w:rsid w:val="7D6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semiHidden/>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真实</cp:lastModifiedBy>
  <cp:lastPrinted>2023-09-25T01:58:00Z</cp:lastPrinted>
  <dcterms:modified xsi:type="dcterms:W3CDTF">2023-09-25T08:34:02Z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DF28F90F22C7421D96D9BE0FFA003493_13</vt:lpwstr>
  </property>
</Properties>
</file>