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微软雅黑" w:hAnsi="微软雅黑" w:eastAsia="微软雅黑" w:cs="微软雅黑"/>
          <w:i w:val="0"/>
          <w:iCs w:val="0"/>
          <w:caps w:val="0"/>
          <w:color w:val="1E1E1E"/>
          <w:spacing w:val="0"/>
          <w:sz w:val="43"/>
          <w:szCs w:val="43"/>
          <w:shd w:val="clear" w:fill="FFFFFF"/>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szCs w:val="24"/>
        </w:rPr>
      </w:pPr>
      <w:r>
        <w:rPr>
          <w:rFonts w:hint="eastAsia" w:ascii="微软雅黑" w:hAnsi="微软雅黑" w:eastAsia="微软雅黑" w:cs="微软雅黑"/>
          <w:i w:val="0"/>
          <w:iCs w:val="0"/>
          <w:caps w:val="0"/>
          <w:color w:val="1E1E1E"/>
          <w:spacing w:val="0"/>
          <w:sz w:val="43"/>
          <w:szCs w:val="43"/>
          <w:shd w:val="clear" w:fill="FFFFFF"/>
        </w:rPr>
        <w:t>北塔区卫生计生综合监督执法局</w:t>
      </w:r>
      <w:r>
        <w:rPr>
          <w:rFonts w:ascii="微软雅黑" w:hAnsi="微软雅黑" w:eastAsia="微软雅黑" w:cs="微软雅黑"/>
          <w:i w:val="0"/>
          <w:iCs w:val="0"/>
          <w:caps w:val="0"/>
          <w:color w:val="1E1E1E"/>
          <w:spacing w:val="0"/>
          <w:sz w:val="43"/>
          <w:szCs w:val="43"/>
          <w:shd w:val="clear" w:fill="FFFFFF"/>
        </w:rPr>
        <w:t>202</w:t>
      </w:r>
      <w:r>
        <w:rPr>
          <w:rFonts w:hint="eastAsia" w:ascii="微软雅黑" w:hAnsi="微软雅黑" w:eastAsia="微软雅黑" w:cs="微软雅黑"/>
          <w:i w:val="0"/>
          <w:iCs w:val="0"/>
          <w:caps w:val="0"/>
          <w:color w:val="1E1E1E"/>
          <w:spacing w:val="0"/>
          <w:sz w:val="43"/>
          <w:szCs w:val="43"/>
          <w:shd w:val="clear" w:fill="FFFFFF"/>
          <w:lang w:val="en-US" w:eastAsia="zh-CN"/>
        </w:rPr>
        <w:t>1</w:t>
      </w:r>
      <w:r>
        <w:rPr>
          <w:rFonts w:ascii="微软雅黑" w:hAnsi="微软雅黑" w:eastAsia="微软雅黑" w:cs="微软雅黑"/>
          <w:i w:val="0"/>
          <w:iCs w:val="0"/>
          <w:caps w:val="0"/>
          <w:color w:val="1E1E1E"/>
          <w:spacing w:val="0"/>
          <w:sz w:val="43"/>
          <w:szCs w:val="43"/>
          <w:shd w:val="clear" w:fill="FFFFFF"/>
        </w:rPr>
        <w:t>年整体支出绩效评价报告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根据《邵阳市北塔区财政局关于开展202</w:t>
      </w:r>
      <w:r>
        <w:rPr>
          <w:rFonts w:hint="eastAsia" w:ascii="宋体" w:hAnsi="宋体" w:eastAsia="宋体" w:cs="宋体"/>
          <w:sz w:val="24"/>
          <w:szCs w:val="24"/>
          <w:lang w:val="en-US" w:eastAsia="zh-CN"/>
        </w:rPr>
        <w:t>1</w:t>
      </w:r>
      <w:r>
        <w:rPr>
          <w:rFonts w:hint="eastAsia" w:ascii="宋体" w:hAnsi="宋体" w:eastAsia="宋体" w:cs="宋体"/>
          <w:sz w:val="24"/>
          <w:szCs w:val="24"/>
        </w:rPr>
        <w:t>年度项目和整体支出绩效自评的通知》（邵北财绩〔202</w:t>
      </w:r>
      <w:r>
        <w:rPr>
          <w:rFonts w:hint="eastAsia" w:ascii="宋体" w:hAnsi="宋体" w:eastAsia="宋体" w:cs="宋体"/>
          <w:sz w:val="24"/>
          <w:szCs w:val="24"/>
          <w:lang w:val="en-US" w:eastAsia="zh-CN"/>
        </w:rPr>
        <w:t>2</w:t>
      </w:r>
      <w:r>
        <w:rPr>
          <w:rFonts w:hint="eastAsia" w:ascii="宋体" w:hAnsi="宋体" w:eastAsia="宋体" w:cs="宋体"/>
          <w:sz w:val="24"/>
          <w:szCs w:val="24"/>
        </w:rPr>
        <w:t>〕3号）文件精神，我</w:t>
      </w:r>
      <w:r>
        <w:rPr>
          <w:rFonts w:hint="eastAsia" w:ascii="宋体" w:hAnsi="宋体" w:cs="宋体"/>
          <w:sz w:val="24"/>
          <w:szCs w:val="24"/>
          <w:lang w:val="en-US" w:eastAsia="zh-CN"/>
        </w:rPr>
        <w:t>局</w:t>
      </w:r>
      <w:r>
        <w:rPr>
          <w:rFonts w:hint="eastAsia" w:ascii="宋体" w:hAnsi="宋体" w:eastAsia="宋体" w:cs="宋体"/>
          <w:sz w:val="24"/>
          <w:szCs w:val="24"/>
        </w:rPr>
        <w:t>对202</w:t>
      </w:r>
      <w:r>
        <w:rPr>
          <w:rFonts w:hint="eastAsia" w:ascii="宋体" w:hAnsi="宋体" w:eastAsia="宋体" w:cs="宋体"/>
          <w:sz w:val="24"/>
          <w:szCs w:val="24"/>
          <w:lang w:val="en-US" w:eastAsia="zh-CN"/>
        </w:rPr>
        <w:t>1</w:t>
      </w:r>
      <w:r>
        <w:rPr>
          <w:rFonts w:hint="eastAsia" w:ascii="宋体" w:hAnsi="宋体" w:eastAsia="宋体" w:cs="宋体"/>
          <w:sz w:val="24"/>
          <w:szCs w:val="24"/>
        </w:rPr>
        <w:t>年度部门整体支出绩效进行了全面综合评价。整体支出分基本支出和项目支出两部分，基本支出的评价重点是厉行节约保运转，降低行政运行成本；项目支出的评价重点是规范管理促发展，专款专用，提高资金使用效益。现将绩效评价情况及评价结果报告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部门概况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（一）机构、人员构成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北塔区卫生计生综合监督执法局是财政全额拨款事业单位，编制12名，在岗职工10人，设局长1名，副局长2名。我局内设科室7股，内设科室分别是办公室、公共场所卫生监督股、医疗职业卫生综合卫生监督股、传染病学校卫生和饮用水综合卫生监督股、职业病防治、计划生育和社会抚养费征收股和政策法规宣传和稽查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（二）单位主要职责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1．负责实施卫生专项整治和日常监督检查。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2．对公共场所卫生、生活饮用水卫生、学校卫生及消毒产品和涉及饮用水安全产品进行监督检查。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3．对医疗机构、采供血机构及其从业人员的执法活动进行监督检查，查处违法行为。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4．打击非法行医和非法采供血。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5．整顿和规范医疗服务秩序，负责医疗事故、纠纷的调处。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对医疗卫生机构的放射诊疗、职业健康检查和职业病的诊断工作进行监督检查，查处违法行为，对医疗机构、采供血机构、疾病预防控制机构的传染病疫情报告、疫情控制措施、消毒隔离制度执行情况、医疗废物处置情况和菌（毒）种管理情况等进行监督检查，查处违法行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7．对母婴保健机构、计划生育技术服务机构服务内容和从业人员的行为规范进行监督。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8．对乡镇（街道）卫生计生综合监督执法进行指导和督查，对监督协管员进行培训、业务指导；负责行政区域内卫生计生监督信息的收集、核实和上报。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9．受理对违法行为的投诉、举报，群众来信来访调查。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10.开展卫生法律法规宣传教育和执法检查。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rPr>
      </w:pPr>
      <w:r>
        <w:rPr>
          <w:rFonts w:hint="eastAsia" w:ascii="宋体" w:hAnsi="宋体" w:eastAsia="宋体" w:cs="宋体"/>
          <w:sz w:val="24"/>
          <w:szCs w:val="24"/>
          <w:lang w:val="en-US" w:eastAsia="zh-CN"/>
        </w:rPr>
        <w:t>11．完成局机关交办的其它工作。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（三）整体支出情况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1、整体收支决算情况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1</w:t>
      </w:r>
      <w:r>
        <w:rPr>
          <w:rFonts w:hint="eastAsia" w:ascii="宋体" w:hAnsi="宋体" w:eastAsia="宋体" w:cs="宋体"/>
          <w:sz w:val="24"/>
          <w:szCs w:val="24"/>
        </w:rPr>
        <w:t>年决算收入</w:t>
      </w:r>
      <w:r>
        <w:rPr>
          <w:rFonts w:hint="eastAsia" w:ascii="宋体" w:hAnsi="宋体" w:cs="宋体"/>
          <w:sz w:val="24"/>
          <w:szCs w:val="24"/>
          <w:lang w:val="en-US" w:eastAsia="zh-CN"/>
        </w:rPr>
        <w:t>185.47</w:t>
      </w:r>
      <w:r>
        <w:rPr>
          <w:rFonts w:hint="eastAsia" w:ascii="宋体" w:hAnsi="宋体" w:eastAsia="宋体" w:cs="宋体"/>
          <w:sz w:val="24"/>
          <w:szCs w:val="24"/>
        </w:rPr>
        <w:t>万元，财政拨款</w:t>
      </w:r>
      <w:r>
        <w:rPr>
          <w:rFonts w:hint="eastAsia" w:ascii="宋体" w:hAnsi="宋体" w:cs="宋体"/>
          <w:sz w:val="24"/>
          <w:szCs w:val="24"/>
          <w:lang w:val="en-US" w:eastAsia="zh-CN"/>
        </w:rPr>
        <w:t>181.57</w:t>
      </w:r>
      <w:r>
        <w:rPr>
          <w:rFonts w:hint="eastAsia" w:ascii="宋体" w:hAnsi="宋体" w:eastAsia="宋体" w:cs="宋体"/>
          <w:sz w:val="24"/>
          <w:szCs w:val="24"/>
        </w:rPr>
        <w:t>万元，其他收入</w:t>
      </w:r>
      <w:r>
        <w:rPr>
          <w:rFonts w:hint="eastAsia" w:ascii="宋体" w:hAnsi="宋体" w:cs="宋体"/>
          <w:sz w:val="24"/>
          <w:szCs w:val="24"/>
          <w:lang w:val="en-US" w:eastAsia="zh-CN"/>
        </w:rPr>
        <w:t>3.9</w:t>
      </w:r>
      <w:r>
        <w:rPr>
          <w:rFonts w:hint="eastAsia" w:ascii="宋体" w:hAnsi="宋体" w:eastAsia="宋体" w:cs="宋体"/>
          <w:sz w:val="24"/>
          <w:szCs w:val="24"/>
        </w:rPr>
        <w:t>万元；决算支出</w:t>
      </w:r>
      <w:r>
        <w:rPr>
          <w:rFonts w:hint="eastAsia" w:ascii="宋体" w:hAnsi="宋体" w:cs="宋体"/>
          <w:sz w:val="24"/>
          <w:szCs w:val="24"/>
          <w:lang w:val="en-US" w:eastAsia="zh-CN"/>
        </w:rPr>
        <w:t>185.47</w:t>
      </w:r>
      <w:r>
        <w:rPr>
          <w:rFonts w:hint="eastAsia" w:ascii="宋体" w:hAnsi="宋体" w:eastAsia="宋体" w:cs="宋体"/>
          <w:sz w:val="24"/>
          <w:szCs w:val="24"/>
        </w:rPr>
        <w:t>万元，年末结转和结余累计0万元。202</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年预、决算收入、支出及年末结转和结余明细如下（单位：万元）：                             </w:t>
      </w:r>
    </w:p>
    <w:tbl>
      <w:tblPr>
        <w:tblStyle w:val="7"/>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079"/>
        <w:gridCol w:w="850"/>
        <w:gridCol w:w="1113"/>
        <w:gridCol w:w="1215"/>
        <w:gridCol w:w="1125"/>
        <w:gridCol w:w="1134"/>
        <w:gridCol w:w="1125"/>
        <w:gridCol w:w="756"/>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项目</w:t>
            </w:r>
          </w:p>
        </w:tc>
        <w:tc>
          <w:tcPr>
            <w:tcW w:w="1079"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合计</w:t>
            </w:r>
          </w:p>
        </w:tc>
        <w:tc>
          <w:tcPr>
            <w:tcW w:w="3178"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收入</w:t>
            </w:r>
          </w:p>
        </w:tc>
        <w:tc>
          <w:tcPr>
            <w:tcW w:w="4140" w:type="dxa"/>
            <w:gridSpan w:val="4"/>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支出</w:t>
            </w:r>
          </w:p>
        </w:tc>
        <w:tc>
          <w:tcPr>
            <w:tcW w:w="869"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Merge w:val="continue"/>
            <w:noWrap w:val="0"/>
            <w:vAlign w:val="center"/>
          </w:tcPr>
          <w:p>
            <w:pPr>
              <w:jc w:val="center"/>
              <w:rPr>
                <w:rFonts w:hint="eastAsia" w:ascii="宋体" w:hAnsi="宋体" w:eastAsia="宋体" w:cs="宋体"/>
                <w:b/>
                <w:bCs/>
                <w:vertAlign w:val="baseline"/>
              </w:rPr>
            </w:pPr>
          </w:p>
        </w:tc>
        <w:tc>
          <w:tcPr>
            <w:tcW w:w="1079" w:type="dxa"/>
            <w:vMerge w:val="continue"/>
            <w:noWrap w:val="0"/>
            <w:vAlign w:val="center"/>
          </w:tcPr>
          <w:p>
            <w:pPr>
              <w:jc w:val="center"/>
              <w:rPr>
                <w:rFonts w:hint="eastAsia" w:ascii="宋体" w:hAnsi="宋体" w:eastAsia="宋体" w:cs="宋体"/>
                <w:b/>
                <w:bCs/>
                <w:vertAlign w:val="baseline"/>
              </w:rPr>
            </w:pPr>
          </w:p>
        </w:tc>
        <w:tc>
          <w:tcPr>
            <w:tcW w:w="85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年初结转、结余</w:t>
            </w:r>
          </w:p>
        </w:tc>
        <w:tc>
          <w:tcPr>
            <w:tcW w:w="1113"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财政拨款</w:t>
            </w:r>
          </w:p>
        </w:tc>
        <w:tc>
          <w:tcPr>
            <w:tcW w:w="1215"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其他收入</w:t>
            </w:r>
          </w:p>
        </w:tc>
        <w:tc>
          <w:tcPr>
            <w:tcW w:w="1125"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小计</w:t>
            </w:r>
          </w:p>
        </w:tc>
        <w:tc>
          <w:tcPr>
            <w:tcW w:w="2259" w:type="dxa"/>
            <w:gridSpan w:val="2"/>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基本支出</w:t>
            </w:r>
          </w:p>
        </w:tc>
        <w:tc>
          <w:tcPr>
            <w:tcW w:w="756"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项目支出</w:t>
            </w:r>
          </w:p>
        </w:tc>
        <w:tc>
          <w:tcPr>
            <w:tcW w:w="869" w:type="dxa"/>
            <w:vMerge w:val="continue"/>
            <w:noWrap w:val="0"/>
            <w:vAlign w:val="center"/>
          </w:tcPr>
          <w:p>
            <w:pPr>
              <w:jc w:val="center"/>
              <w:rPr>
                <w:rFonts w:hint="eastAsia" w:ascii="宋体" w:hAnsi="宋体" w:eastAsia="宋体" w:cs="宋体"/>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Merge w:val="continue"/>
            <w:noWrap w:val="0"/>
            <w:vAlign w:val="center"/>
          </w:tcPr>
          <w:p>
            <w:pPr>
              <w:jc w:val="center"/>
              <w:rPr>
                <w:rFonts w:hint="eastAsia" w:ascii="宋体" w:hAnsi="宋体" w:eastAsia="宋体" w:cs="宋体"/>
                <w:b/>
                <w:bCs/>
                <w:vertAlign w:val="baseline"/>
              </w:rPr>
            </w:pPr>
          </w:p>
        </w:tc>
        <w:tc>
          <w:tcPr>
            <w:tcW w:w="1079" w:type="dxa"/>
            <w:vMerge w:val="continue"/>
            <w:noWrap w:val="0"/>
            <w:vAlign w:val="center"/>
          </w:tcPr>
          <w:p>
            <w:pPr>
              <w:jc w:val="center"/>
              <w:rPr>
                <w:rFonts w:hint="eastAsia" w:ascii="宋体" w:hAnsi="宋体" w:eastAsia="宋体" w:cs="宋体"/>
                <w:b/>
                <w:bCs/>
                <w:vertAlign w:val="baseline"/>
              </w:rPr>
            </w:pPr>
          </w:p>
        </w:tc>
        <w:tc>
          <w:tcPr>
            <w:tcW w:w="850" w:type="dxa"/>
            <w:vMerge w:val="continue"/>
            <w:noWrap w:val="0"/>
            <w:vAlign w:val="center"/>
          </w:tcPr>
          <w:p>
            <w:pPr>
              <w:jc w:val="center"/>
              <w:rPr>
                <w:rFonts w:hint="eastAsia" w:ascii="宋体" w:hAnsi="宋体" w:eastAsia="宋体" w:cs="宋体"/>
                <w:b/>
                <w:bCs/>
                <w:vertAlign w:val="baseline"/>
              </w:rPr>
            </w:pPr>
          </w:p>
        </w:tc>
        <w:tc>
          <w:tcPr>
            <w:tcW w:w="1113" w:type="dxa"/>
            <w:vMerge w:val="continue"/>
            <w:noWrap w:val="0"/>
            <w:vAlign w:val="center"/>
          </w:tcPr>
          <w:p>
            <w:pPr>
              <w:jc w:val="center"/>
              <w:rPr>
                <w:rFonts w:hint="eastAsia" w:ascii="宋体" w:hAnsi="宋体" w:eastAsia="宋体" w:cs="宋体"/>
                <w:b/>
                <w:bCs/>
                <w:vertAlign w:val="baseline"/>
              </w:rPr>
            </w:pPr>
          </w:p>
        </w:tc>
        <w:tc>
          <w:tcPr>
            <w:tcW w:w="1215" w:type="dxa"/>
            <w:vMerge w:val="continue"/>
            <w:noWrap w:val="0"/>
            <w:vAlign w:val="center"/>
          </w:tcPr>
          <w:p>
            <w:pPr>
              <w:jc w:val="center"/>
              <w:rPr>
                <w:rFonts w:hint="eastAsia" w:ascii="宋体" w:hAnsi="宋体" w:eastAsia="宋体" w:cs="宋体"/>
                <w:b/>
                <w:bCs/>
                <w:vertAlign w:val="baseline"/>
              </w:rPr>
            </w:pPr>
          </w:p>
        </w:tc>
        <w:tc>
          <w:tcPr>
            <w:tcW w:w="1125" w:type="dxa"/>
            <w:vMerge w:val="continue"/>
            <w:noWrap w:val="0"/>
            <w:vAlign w:val="center"/>
          </w:tcPr>
          <w:p>
            <w:pPr>
              <w:jc w:val="center"/>
              <w:rPr>
                <w:rFonts w:hint="eastAsia" w:ascii="宋体" w:hAnsi="宋体" w:eastAsia="宋体" w:cs="宋体"/>
                <w:b/>
                <w:bCs/>
                <w:vertAlign w:val="baseline"/>
              </w:rPr>
            </w:pPr>
          </w:p>
        </w:tc>
        <w:tc>
          <w:tcPr>
            <w:tcW w:w="1134" w:type="dxa"/>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人员经费</w:t>
            </w:r>
          </w:p>
        </w:tc>
        <w:tc>
          <w:tcPr>
            <w:tcW w:w="1125" w:type="dxa"/>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公用经费</w:t>
            </w:r>
          </w:p>
        </w:tc>
        <w:tc>
          <w:tcPr>
            <w:tcW w:w="756" w:type="dxa"/>
            <w:vMerge w:val="continue"/>
            <w:noWrap w:val="0"/>
            <w:vAlign w:val="center"/>
          </w:tcPr>
          <w:p>
            <w:pPr>
              <w:jc w:val="center"/>
              <w:rPr>
                <w:rFonts w:hint="eastAsia" w:ascii="宋体" w:hAnsi="宋体" w:eastAsia="宋体" w:cs="宋体"/>
                <w:b/>
                <w:bCs/>
                <w:vertAlign w:val="baseline"/>
              </w:rPr>
            </w:pPr>
          </w:p>
        </w:tc>
        <w:tc>
          <w:tcPr>
            <w:tcW w:w="869" w:type="dxa"/>
            <w:vMerge w:val="continue"/>
            <w:noWrap w:val="0"/>
            <w:vAlign w:val="center"/>
          </w:tcPr>
          <w:p>
            <w:pPr>
              <w:jc w:val="center"/>
              <w:rPr>
                <w:rFonts w:hint="eastAsia" w:ascii="宋体" w:hAnsi="宋体" w:eastAsia="宋体" w:cs="宋体"/>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2"/>
                <w:szCs w:val="22"/>
                <w:u w:val="none"/>
                <w:lang w:val="en-US" w:eastAsia="zh-CN" w:bidi="ar"/>
              </w:rPr>
              <w:t>预算</w:t>
            </w:r>
          </w:p>
        </w:tc>
        <w:tc>
          <w:tcPr>
            <w:tcW w:w="1079"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149.63</w:t>
            </w:r>
          </w:p>
        </w:tc>
        <w:tc>
          <w:tcPr>
            <w:tcW w:w="85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1113"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149.63</w:t>
            </w:r>
          </w:p>
        </w:tc>
        <w:tc>
          <w:tcPr>
            <w:tcW w:w="121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11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123.63</w:t>
            </w:r>
          </w:p>
        </w:tc>
        <w:tc>
          <w:tcPr>
            <w:tcW w:w="1134"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112.99</w:t>
            </w:r>
          </w:p>
        </w:tc>
        <w:tc>
          <w:tcPr>
            <w:tcW w:w="11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10.64</w:t>
            </w:r>
          </w:p>
        </w:tc>
        <w:tc>
          <w:tcPr>
            <w:tcW w:w="756"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869"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2"/>
                <w:szCs w:val="22"/>
                <w:u w:val="none"/>
                <w:lang w:val="en-US" w:eastAsia="zh-CN" w:bidi="ar"/>
              </w:rPr>
              <w:t>决算</w:t>
            </w:r>
          </w:p>
        </w:tc>
        <w:tc>
          <w:tcPr>
            <w:tcW w:w="1079"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185.47</w:t>
            </w:r>
          </w:p>
        </w:tc>
        <w:tc>
          <w:tcPr>
            <w:tcW w:w="85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1113"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181.57</w:t>
            </w:r>
          </w:p>
        </w:tc>
        <w:tc>
          <w:tcPr>
            <w:tcW w:w="121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3.9</w:t>
            </w:r>
          </w:p>
        </w:tc>
        <w:tc>
          <w:tcPr>
            <w:tcW w:w="11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181.57</w:t>
            </w:r>
          </w:p>
        </w:tc>
        <w:tc>
          <w:tcPr>
            <w:tcW w:w="1134"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142.61</w:t>
            </w:r>
          </w:p>
        </w:tc>
        <w:tc>
          <w:tcPr>
            <w:tcW w:w="11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38.96</w:t>
            </w:r>
          </w:p>
        </w:tc>
        <w:tc>
          <w:tcPr>
            <w:tcW w:w="756"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869"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2"/>
                <w:szCs w:val="22"/>
                <w:u w:val="none"/>
                <w:lang w:val="en-US" w:eastAsia="zh-CN" w:bidi="ar"/>
              </w:rPr>
              <w:t>差异率</w:t>
            </w:r>
          </w:p>
        </w:tc>
        <w:tc>
          <w:tcPr>
            <w:tcW w:w="1079"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19.32</w:t>
            </w:r>
            <w:r>
              <w:rPr>
                <w:rFonts w:hint="eastAsia" w:ascii="宋体" w:hAnsi="宋体" w:eastAsia="宋体" w:cs="宋体"/>
                <w:color w:val="232323"/>
                <w:kern w:val="0"/>
                <w:sz w:val="24"/>
                <w:szCs w:val="24"/>
                <w:shd w:val="clear" w:color="auto" w:fill="FFFFFF"/>
                <w:lang w:val="en-US" w:eastAsia="zh-CN" w:bidi="ar"/>
              </w:rPr>
              <w:t>%</w:t>
            </w:r>
          </w:p>
        </w:tc>
        <w:tc>
          <w:tcPr>
            <w:tcW w:w="850"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0.00%</w:t>
            </w:r>
          </w:p>
        </w:tc>
        <w:tc>
          <w:tcPr>
            <w:tcW w:w="1113"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17.59</w:t>
            </w:r>
            <w:r>
              <w:rPr>
                <w:rFonts w:hint="eastAsia" w:ascii="宋体" w:hAnsi="宋体" w:eastAsia="宋体" w:cs="宋体"/>
                <w:color w:val="232323"/>
                <w:kern w:val="0"/>
                <w:sz w:val="24"/>
                <w:szCs w:val="24"/>
                <w:shd w:val="clear" w:color="auto" w:fill="FFFFFF"/>
                <w:lang w:val="en-US" w:eastAsia="zh-CN" w:bidi="ar"/>
              </w:rPr>
              <w:t>%</w:t>
            </w:r>
          </w:p>
        </w:tc>
        <w:tc>
          <w:tcPr>
            <w:tcW w:w="121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100.00%</w:t>
            </w:r>
          </w:p>
        </w:tc>
        <w:tc>
          <w:tcPr>
            <w:tcW w:w="11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31.91</w:t>
            </w:r>
            <w:r>
              <w:rPr>
                <w:rFonts w:hint="eastAsia" w:ascii="宋体" w:hAnsi="宋体" w:eastAsia="宋体" w:cs="宋体"/>
                <w:color w:val="232323"/>
                <w:kern w:val="0"/>
                <w:sz w:val="24"/>
                <w:szCs w:val="24"/>
                <w:shd w:val="clear" w:color="auto" w:fill="FFFFFF"/>
                <w:lang w:val="en-US" w:eastAsia="zh-CN" w:bidi="ar"/>
              </w:rPr>
              <w:t>%</w:t>
            </w:r>
          </w:p>
        </w:tc>
        <w:tc>
          <w:tcPr>
            <w:tcW w:w="1134"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20.77</w:t>
            </w:r>
            <w:r>
              <w:rPr>
                <w:rFonts w:hint="eastAsia" w:ascii="宋体" w:hAnsi="宋体" w:eastAsia="宋体" w:cs="宋体"/>
                <w:color w:val="232323"/>
                <w:kern w:val="0"/>
                <w:sz w:val="24"/>
                <w:szCs w:val="24"/>
                <w:shd w:val="clear" w:color="auto" w:fill="FFFFFF"/>
                <w:lang w:val="en-US" w:eastAsia="zh-CN" w:bidi="ar"/>
              </w:rPr>
              <w:t>%</w:t>
            </w:r>
          </w:p>
        </w:tc>
        <w:tc>
          <w:tcPr>
            <w:tcW w:w="11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72.69</w:t>
            </w:r>
            <w:r>
              <w:rPr>
                <w:rFonts w:hint="eastAsia" w:ascii="宋体" w:hAnsi="宋体" w:eastAsia="宋体" w:cs="宋体"/>
                <w:color w:val="232323"/>
                <w:kern w:val="0"/>
                <w:sz w:val="24"/>
                <w:szCs w:val="24"/>
                <w:shd w:val="clear" w:color="auto" w:fill="FFFFFF"/>
                <w:lang w:val="en-US" w:eastAsia="zh-CN" w:bidi="ar"/>
              </w:rPr>
              <w:t>%</w:t>
            </w:r>
          </w:p>
        </w:tc>
        <w:tc>
          <w:tcPr>
            <w:tcW w:w="756"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c>
          <w:tcPr>
            <w:tcW w:w="869"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2、支出决算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年度决算支出</w:t>
      </w:r>
      <w:r>
        <w:rPr>
          <w:rFonts w:hint="eastAsia" w:ascii="宋体" w:hAnsi="宋体" w:cs="宋体"/>
          <w:sz w:val="24"/>
          <w:szCs w:val="24"/>
          <w:lang w:val="en-US" w:eastAsia="zh-CN"/>
        </w:rPr>
        <w:t>181.57</w:t>
      </w:r>
      <w:r>
        <w:rPr>
          <w:rFonts w:hint="eastAsia" w:ascii="宋体" w:hAnsi="宋体" w:eastAsia="宋体" w:cs="宋体"/>
          <w:sz w:val="24"/>
          <w:szCs w:val="24"/>
        </w:rPr>
        <w:t>万元，其中基本支出</w:t>
      </w:r>
      <w:r>
        <w:rPr>
          <w:rFonts w:hint="eastAsia" w:ascii="宋体" w:hAnsi="宋体" w:cs="宋体"/>
          <w:sz w:val="24"/>
          <w:szCs w:val="24"/>
          <w:lang w:val="en-US" w:eastAsia="zh-CN"/>
        </w:rPr>
        <w:t>181.57</w:t>
      </w:r>
      <w:r>
        <w:rPr>
          <w:rFonts w:hint="eastAsia" w:ascii="宋体" w:hAnsi="宋体" w:eastAsia="宋体" w:cs="宋体"/>
          <w:sz w:val="24"/>
          <w:szCs w:val="24"/>
        </w:rPr>
        <w:t>万元，占总支出的100%，部门支出决算明细如下（单位：万元）：</w:t>
      </w:r>
    </w:p>
    <w:tbl>
      <w:tblPr>
        <w:tblStyle w:val="6"/>
        <w:tblW w:w="7962" w:type="dxa"/>
        <w:jc w:val="center"/>
        <w:tblLayout w:type="fixed"/>
        <w:tblCellMar>
          <w:top w:w="0" w:type="dxa"/>
          <w:left w:w="0" w:type="dxa"/>
          <w:bottom w:w="0" w:type="dxa"/>
          <w:right w:w="0" w:type="dxa"/>
        </w:tblCellMar>
      </w:tblPr>
      <w:tblGrid>
        <w:gridCol w:w="2550"/>
        <w:gridCol w:w="2562"/>
        <w:gridCol w:w="2850"/>
      </w:tblGrid>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r>
              <w:rPr>
                <w:rFonts w:hint="eastAsia" w:ascii="宋体" w:hAnsi="宋体" w:eastAsia="宋体" w:cs="宋体"/>
                <w:b/>
                <w:bCs/>
                <w:sz w:val="24"/>
                <w:szCs w:val="24"/>
              </w:rPr>
              <w:br w:type="page"/>
            </w:r>
            <w:r>
              <w:rPr>
                <w:rFonts w:hint="eastAsia" w:ascii="宋体" w:hAnsi="宋体" w:eastAsia="宋体" w:cs="宋体"/>
                <w:b/>
                <w:bCs/>
                <w:i w:val="0"/>
                <w:color w:val="000000"/>
                <w:sz w:val="24"/>
                <w:szCs w:val="24"/>
                <w:u w:val="none"/>
                <w:lang w:val="en-US" w:eastAsia="zh-CN"/>
              </w:rPr>
              <w:t>项目</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val="en-US" w:eastAsia="zh-CN"/>
              </w:rPr>
              <w:t>财政拨款一基本支出</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val="en-US" w:eastAsia="zh-CN"/>
              </w:rPr>
              <w:t>财政拨款一项目支出</w:t>
            </w:r>
          </w:p>
        </w:tc>
      </w:tr>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工资福利支出</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142.61</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商品和服务支出</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37.81</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对个人和家庭的补助</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0</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资本性支出</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1.15</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合计</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sz w:val="24"/>
                <w:szCs w:val="24"/>
                <w:lang w:val="en-US" w:eastAsia="zh-CN"/>
              </w:rPr>
              <w:t>181.57</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二、整体支出管理及使用情况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年，我</w:t>
      </w:r>
      <w:r>
        <w:rPr>
          <w:rFonts w:hint="eastAsia" w:ascii="宋体" w:hAnsi="宋体" w:cs="宋体"/>
          <w:sz w:val="24"/>
          <w:szCs w:val="24"/>
          <w:lang w:val="en-US" w:eastAsia="zh-CN"/>
        </w:rPr>
        <w:t>局</w:t>
      </w:r>
      <w:r>
        <w:rPr>
          <w:rFonts w:hint="eastAsia" w:ascii="宋体" w:hAnsi="宋体" w:eastAsia="宋体" w:cs="宋体"/>
          <w:sz w:val="24"/>
          <w:szCs w:val="24"/>
        </w:rPr>
        <w:t>基本支出</w:t>
      </w:r>
      <w:r>
        <w:rPr>
          <w:rFonts w:hint="eastAsia" w:ascii="宋体" w:hAnsi="宋体" w:cs="宋体"/>
          <w:sz w:val="24"/>
          <w:szCs w:val="24"/>
          <w:lang w:val="en-US" w:eastAsia="zh-CN"/>
        </w:rPr>
        <w:t>181.57</w:t>
      </w:r>
      <w:r>
        <w:rPr>
          <w:rFonts w:hint="eastAsia" w:ascii="宋体" w:hAnsi="宋体" w:eastAsia="宋体" w:cs="宋体"/>
          <w:sz w:val="24"/>
          <w:szCs w:val="24"/>
        </w:rPr>
        <w:t>万元，主要用于保障人员的工资和福利支出、正常办公所需的商品和服务支出及对个人和家庭的补助支出。按支出经济分类：其中工资福利支出</w:t>
      </w:r>
      <w:r>
        <w:rPr>
          <w:rFonts w:hint="eastAsia" w:ascii="宋体" w:hAnsi="宋体" w:cs="宋体"/>
          <w:sz w:val="24"/>
          <w:szCs w:val="24"/>
          <w:lang w:val="en-US" w:eastAsia="zh-CN"/>
        </w:rPr>
        <w:t>142.61</w:t>
      </w:r>
      <w:r>
        <w:rPr>
          <w:rFonts w:hint="eastAsia" w:ascii="宋体" w:hAnsi="宋体" w:eastAsia="宋体" w:cs="宋体"/>
          <w:sz w:val="24"/>
          <w:szCs w:val="24"/>
        </w:rPr>
        <w:t>万元，占基本支出的</w:t>
      </w:r>
      <w:r>
        <w:rPr>
          <w:rFonts w:hint="eastAsia" w:ascii="宋体" w:hAnsi="宋体" w:cs="宋体"/>
          <w:sz w:val="24"/>
          <w:szCs w:val="24"/>
          <w:lang w:val="en-US" w:eastAsia="zh-CN"/>
        </w:rPr>
        <w:t>78.54</w:t>
      </w:r>
      <w:r>
        <w:rPr>
          <w:rFonts w:hint="eastAsia" w:ascii="宋体" w:hAnsi="宋体" w:eastAsia="宋体" w:cs="宋体"/>
          <w:sz w:val="24"/>
          <w:szCs w:val="24"/>
        </w:rPr>
        <w:t xml:space="preserve">%；商品服务支出 </w:t>
      </w:r>
      <w:r>
        <w:rPr>
          <w:rFonts w:hint="eastAsia" w:ascii="宋体" w:hAnsi="宋体" w:cs="宋体"/>
          <w:sz w:val="24"/>
          <w:szCs w:val="24"/>
          <w:lang w:val="en-US" w:eastAsia="zh-CN"/>
        </w:rPr>
        <w:t>37.81</w:t>
      </w:r>
      <w:r>
        <w:rPr>
          <w:rFonts w:hint="eastAsia" w:ascii="宋体" w:hAnsi="宋体" w:eastAsia="宋体" w:cs="宋体"/>
          <w:sz w:val="24"/>
          <w:szCs w:val="24"/>
        </w:rPr>
        <w:t>万元，占基本支出的</w:t>
      </w:r>
      <w:r>
        <w:rPr>
          <w:rFonts w:hint="eastAsia" w:ascii="宋体" w:hAnsi="宋体" w:cs="宋体"/>
          <w:sz w:val="24"/>
          <w:szCs w:val="24"/>
          <w:lang w:val="en-US" w:eastAsia="zh-CN"/>
        </w:rPr>
        <w:t>20.82</w:t>
      </w:r>
      <w:r>
        <w:rPr>
          <w:rFonts w:hint="eastAsia" w:ascii="宋体" w:hAnsi="宋体" w:eastAsia="宋体" w:cs="宋体"/>
          <w:sz w:val="24"/>
          <w:szCs w:val="24"/>
        </w:rPr>
        <w:t>%；对个人家庭补助支出</w:t>
      </w:r>
      <w:r>
        <w:rPr>
          <w:rFonts w:hint="eastAsia" w:ascii="宋体" w:hAnsi="宋体" w:cs="宋体"/>
          <w:sz w:val="24"/>
          <w:szCs w:val="24"/>
          <w:lang w:val="en-US" w:eastAsia="zh-CN"/>
        </w:rPr>
        <w:t>0</w:t>
      </w:r>
      <w:r>
        <w:rPr>
          <w:rFonts w:hint="eastAsia" w:ascii="宋体" w:hAnsi="宋体" w:eastAsia="宋体" w:cs="宋体"/>
          <w:sz w:val="24"/>
          <w:szCs w:val="24"/>
        </w:rPr>
        <w:t>万元，占基本支出的</w:t>
      </w:r>
      <w:r>
        <w:rPr>
          <w:rFonts w:hint="eastAsia" w:ascii="宋体" w:hAnsi="宋体" w:cs="宋体"/>
          <w:sz w:val="24"/>
          <w:szCs w:val="24"/>
          <w:lang w:val="en-US" w:eastAsia="zh-CN"/>
        </w:rPr>
        <w:t>0</w:t>
      </w:r>
      <w:r>
        <w:rPr>
          <w:rFonts w:hint="eastAsia" w:ascii="宋体" w:hAnsi="宋体" w:eastAsia="宋体" w:cs="宋体"/>
          <w:sz w:val="24"/>
          <w:szCs w:val="24"/>
        </w:rPr>
        <w:t>%；资本性支出</w:t>
      </w:r>
      <w:r>
        <w:rPr>
          <w:rFonts w:hint="eastAsia" w:ascii="宋体" w:hAnsi="宋体" w:cs="宋体"/>
          <w:sz w:val="24"/>
          <w:szCs w:val="24"/>
          <w:lang w:val="en-US" w:eastAsia="zh-CN"/>
        </w:rPr>
        <w:t>1.15</w:t>
      </w:r>
      <w:r>
        <w:rPr>
          <w:rFonts w:hint="eastAsia" w:ascii="宋体" w:hAnsi="宋体" w:eastAsia="宋体" w:cs="宋体"/>
          <w:sz w:val="24"/>
          <w:szCs w:val="24"/>
        </w:rPr>
        <w:t>万元，占基本支出的</w:t>
      </w:r>
      <w:r>
        <w:rPr>
          <w:rFonts w:hint="eastAsia" w:ascii="宋体" w:hAnsi="宋体" w:cs="宋体"/>
          <w:sz w:val="24"/>
          <w:szCs w:val="24"/>
          <w:lang w:val="en-US" w:eastAsia="zh-CN"/>
        </w:rPr>
        <w:t>0.64</w:t>
      </w:r>
      <w:r>
        <w:rPr>
          <w:rFonts w:hint="eastAsia" w:ascii="宋体" w:hAnsi="宋体" w:eastAsia="宋体" w:cs="宋体"/>
          <w:sz w:val="24"/>
          <w:szCs w:val="24"/>
          <w:lang w:val="en-US"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务接待费严格按照《邵阳市北塔区党政机关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年我</w:t>
      </w:r>
      <w:r>
        <w:rPr>
          <w:rFonts w:hint="eastAsia" w:ascii="宋体" w:hAnsi="宋体" w:cs="宋体"/>
          <w:sz w:val="24"/>
          <w:szCs w:val="24"/>
          <w:lang w:val="en-US" w:eastAsia="zh-CN"/>
        </w:rPr>
        <w:t>局</w:t>
      </w:r>
      <w:r>
        <w:rPr>
          <w:rFonts w:hint="eastAsia" w:ascii="宋体" w:hAnsi="宋体" w:eastAsia="宋体" w:cs="宋体"/>
          <w:sz w:val="24"/>
          <w:szCs w:val="24"/>
        </w:rPr>
        <w:t>“三公”经费决算支出数</w:t>
      </w:r>
      <w:r>
        <w:rPr>
          <w:rFonts w:hint="eastAsia" w:ascii="宋体" w:hAnsi="宋体" w:cs="宋体"/>
          <w:sz w:val="24"/>
          <w:szCs w:val="24"/>
          <w:lang w:val="en-US" w:eastAsia="zh-CN"/>
        </w:rPr>
        <w:t>0.26</w:t>
      </w:r>
      <w:r>
        <w:rPr>
          <w:rFonts w:hint="eastAsia" w:ascii="宋体" w:hAnsi="宋体" w:eastAsia="宋体" w:cs="宋体"/>
          <w:sz w:val="24"/>
          <w:szCs w:val="24"/>
        </w:rPr>
        <w:t>万元。其中：因公出国(境)费0万元、公务接待费</w:t>
      </w:r>
      <w:r>
        <w:rPr>
          <w:rFonts w:hint="eastAsia" w:ascii="宋体" w:hAnsi="宋体" w:cs="宋体"/>
          <w:sz w:val="24"/>
          <w:szCs w:val="24"/>
          <w:lang w:val="en-US" w:eastAsia="zh-CN"/>
        </w:rPr>
        <w:t>0.26</w:t>
      </w:r>
      <w:r>
        <w:rPr>
          <w:rFonts w:hint="eastAsia" w:ascii="宋体" w:hAnsi="宋体" w:eastAsia="宋体" w:cs="宋体"/>
          <w:sz w:val="24"/>
          <w:szCs w:val="24"/>
        </w:rPr>
        <w:t>万元（同比20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cs="宋体"/>
          <w:sz w:val="24"/>
          <w:szCs w:val="24"/>
          <w:lang w:val="en-US" w:eastAsia="zh-CN"/>
        </w:rPr>
        <w:t>减少了0.23</w:t>
      </w:r>
      <w:r>
        <w:rPr>
          <w:rFonts w:hint="eastAsia" w:ascii="宋体" w:hAnsi="宋体" w:eastAsia="宋体" w:cs="宋体"/>
          <w:sz w:val="24"/>
          <w:szCs w:val="24"/>
        </w:rPr>
        <w:t>万元）、公务用车费0万元。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年我</w:t>
      </w:r>
      <w:r>
        <w:rPr>
          <w:rFonts w:hint="eastAsia" w:ascii="宋体" w:hAnsi="宋体" w:cs="宋体"/>
          <w:sz w:val="24"/>
          <w:szCs w:val="24"/>
          <w:lang w:val="en-US" w:eastAsia="zh-CN"/>
        </w:rPr>
        <w:t>局</w:t>
      </w:r>
      <w:r>
        <w:rPr>
          <w:rFonts w:hint="eastAsia" w:ascii="宋体" w:hAnsi="宋体" w:eastAsia="宋体" w:cs="宋体"/>
          <w:sz w:val="24"/>
          <w:szCs w:val="24"/>
        </w:rPr>
        <w:t>决算支出日常公用经费</w:t>
      </w:r>
      <w:r>
        <w:rPr>
          <w:rFonts w:hint="eastAsia" w:ascii="宋体" w:hAnsi="宋体" w:cs="宋体"/>
          <w:color w:val="232323"/>
          <w:kern w:val="0"/>
          <w:sz w:val="24"/>
          <w:szCs w:val="24"/>
          <w:shd w:val="clear" w:color="auto" w:fill="FFFFFF"/>
          <w:lang w:val="en-US" w:eastAsia="zh-CN" w:bidi="ar"/>
        </w:rPr>
        <w:t>1210.78</w:t>
      </w:r>
      <w:r>
        <w:rPr>
          <w:rFonts w:hint="eastAsia" w:ascii="宋体" w:hAnsi="宋体" w:eastAsia="宋体" w:cs="宋体"/>
          <w:sz w:val="24"/>
          <w:szCs w:val="24"/>
        </w:rPr>
        <w:t>万元。主要包括：办公费、差旅费、招待费、水电费、维修费、租赁费、会议费、培训费等支出。具体明细如下（单位：万元）：</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办公费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eastAsia="宋体" w:cs="宋体"/>
                <w:i w:val="0"/>
                <w:iCs w:val="0"/>
                <w:color w:val="000000"/>
                <w:kern w:val="0"/>
                <w:sz w:val="20"/>
                <w:szCs w:val="20"/>
                <w:u w:val="none"/>
                <w:lang w:val="en-US" w:eastAsia="zh-CN" w:bidi="ar"/>
              </w:rPr>
              <w:t>1.91</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印刷费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eastAsia="宋体" w:cs="宋体"/>
                <w:i w:val="0"/>
                <w:iCs w:val="0"/>
                <w:color w:val="000000"/>
                <w:kern w:val="0"/>
                <w:sz w:val="20"/>
                <w:szCs w:val="20"/>
                <w:u w:val="none"/>
                <w:lang w:val="en-US" w:eastAsia="zh-CN" w:bidi="ar"/>
              </w:rPr>
              <w:t>4.78</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12.27%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差旅费</w:t>
            </w: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0.05</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培训费</w:t>
            </w: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0.23</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公务接待费</w:t>
            </w: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0.26</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劳务费</w:t>
            </w: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0.4</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委托业务费</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bidi="ar"/>
              </w:rPr>
            </w:pPr>
            <w:r>
              <w:rPr>
                <w:rFonts w:hint="eastAsia" w:ascii="宋体" w:hAnsi="宋体" w:eastAsia="宋体" w:cs="宋体"/>
                <w:i w:val="0"/>
                <w:iCs w:val="0"/>
                <w:color w:val="000000"/>
                <w:kern w:val="0"/>
                <w:sz w:val="20"/>
                <w:szCs w:val="20"/>
                <w:u w:val="none"/>
                <w:lang w:val="en-US" w:eastAsia="zh-CN" w:bidi="ar"/>
              </w:rPr>
              <w:t>29.68</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0.49</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jc w:val="left"/>
              <w:textAlignment w:val="center"/>
              <w:rPr>
                <w:rFonts w:hint="eastAsia" w:ascii="宋体" w:hAnsi="宋体" w:eastAsia="宋体" w:cs="宋体"/>
                <w:color w:val="232323"/>
                <w:kern w:val="0"/>
                <w:sz w:val="24"/>
                <w:szCs w:val="24"/>
                <w:shd w:val="clear" w:color="auto" w:fill="FFFFFF"/>
                <w:lang w:bidi="ar"/>
              </w:rPr>
            </w:pPr>
            <w:r>
              <w:rPr>
                <w:rStyle w:val="9"/>
                <w:lang w:val="en-US" w:eastAsia="zh-CN" w:bidi="ar"/>
              </w:rPr>
              <w:t>办公设备购置</w:t>
            </w:r>
          </w:p>
        </w:tc>
        <w:tc>
          <w:tcPr>
            <w:tcW w:w="258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0"/>
                <w:szCs w:val="20"/>
                <w:u w:val="none"/>
                <w:lang w:val="en-US" w:eastAsia="zh-CN" w:bidi="ar"/>
              </w:rPr>
              <w:t>1.15</w:t>
            </w:r>
          </w:p>
        </w:tc>
        <w:tc>
          <w:tcPr>
            <w:tcW w:w="2340" w:type="dxa"/>
            <w:noWrap w:val="0"/>
            <w:vAlign w:val="center"/>
          </w:tcPr>
          <w:p>
            <w:pPr>
              <w:keepNext w:val="0"/>
              <w:keepLines w:val="0"/>
              <w:widowControl/>
              <w:suppressLineNumbers w:val="0"/>
              <w:jc w:val="center"/>
              <w:textAlignment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i w:val="0"/>
                <w:iCs w:val="0"/>
                <w:color w:val="000000"/>
                <w:kern w:val="0"/>
                <w:sz w:val="22"/>
                <w:szCs w:val="22"/>
                <w:u w:val="none"/>
                <w:lang w:val="en-US" w:eastAsia="zh-CN"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keepNext w:val="0"/>
              <w:keepLines w:val="0"/>
              <w:widowControl/>
              <w:suppressLineNumbers w:val="0"/>
              <w:ind w:firstLine="200" w:firstLineChars="100"/>
              <w:jc w:val="left"/>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合 计：</w:t>
            </w:r>
          </w:p>
        </w:tc>
        <w:tc>
          <w:tcPr>
            <w:tcW w:w="2580" w:type="dxa"/>
            <w:noWrap w:val="0"/>
            <w:vAlign w:val="center"/>
          </w:tcPr>
          <w:p>
            <w:pPr>
              <w:keepNext w:val="0"/>
              <w:keepLines w:val="0"/>
              <w:widowControl/>
              <w:suppressLineNumbers w:val="0"/>
              <w:jc w:val="center"/>
              <w:textAlignment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cs="宋体"/>
                <w:color w:val="232323"/>
                <w:kern w:val="0"/>
                <w:sz w:val="24"/>
                <w:szCs w:val="24"/>
                <w:shd w:val="clear" w:color="auto" w:fill="FFFFFF"/>
                <w:lang w:val="en-US" w:eastAsia="zh-CN" w:bidi="ar"/>
              </w:rPr>
              <w:t>38.96</w:t>
            </w:r>
          </w:p>
        </w:tc>
        <w:tc>
          <w:tcPr>
            <w:tcW w:w="2340"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lang w:eastAsia="zh-CN"/>
        </w:rPr>
        <w:t>、</w:t>
      </w:r>
      <w:r>
        <w:rPr>
          <w:rFonts w:hint="eastAsia" w:ascii="黑体" w:hAnsi="黑体" w:eastAsia="黑体" w:cs="黑体"/>
          <w:sz w:val="28"/>
          <w:szCs w:val="28"/>
        </w:rPr>
        <w:t>部门整体支出的管理情况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为加强对预算资金的支出管理，</w:t>
      </w:r>
      <w:r>
        <w:rPr>
          <w:rFonts w:hint="eastAsia" w:ascii="宋体" w:hAnsi="宋体" w:cs="宋体"/>
          <w:sz w:val="24"/>
          <w:szCs w:val="24"/>
          <w:lang w:val="en-US" w:eastAsia="zh-CN"/>
        </w:rPr>
        <w:t>我局</w:t>
      </w:r>
      <w:r>
        <w:rPr>
          <w:rFonts w:hint="eastAsia" w:ascii="宋体" w:hAnsi="宋体" w:eastAsia="宋体" w:cs="宋体"/>
          <w:sz w:val="24"/>
          <w:szCs w:val="24"/>
        </w:rPr>
        <w:t>财务实行统一核算，统一账户，统一管理。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（1）财务报账手续规范，报账凭证内容必须符合有关财经法规规定和票据管理要求。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（2）进一步规范资金使用，把好“支出关”。经费开支按预算执行，基本支出的日常财务管理工作由</w:t>
      </w:r>
      <w:r>
        <w:rPr>
          <w:rFonts w:hint="eastAsia" w:ascii="宋体" w:hAnsi="宋体" w:cs="宋体"/>
          <w:sz w:val="24"/>
          <w:szCs w:val="24"/>
          <w:lang w:val="en-US" w:eastAsia="zh-CN"/>
        </w:rPr>
        <w:t>局</w:t>
      </w:r>
      <w:r>
        <w:rPr>
          <w:rFonts w:hint="eastAsia" w:ascii="宋体" w:hAnsi="宋体" w:eastAsia="宋体" w:cs="宋体"/>
          <w:sz w:val="24"/>
          <w:szCs w:val="24"/>
        </w:rPr>
        <w:t>机关财务实行统一核算和统一管理，做到不铺张浪费，努力做到使有限的经费保证机关日常工作的正常运转。</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固定资产实行统一采购、保管。办公室负责对固定资产进行定期盘点、清理核对工作。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财务管理规范：会计核算严格执行《新政府会计制度》，会计档案按规定要求整理立卷，装订成册。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进一步推进预决算等重要信息的公开透明。20</w:t>
      </w:r>
      <w:r>
        <w:rPr>
          <w:rFonts w:hint="eastAsia" w:ascii="宋体" w:hAnsi="宋体" w:eastAsia="宋体" w:cs="宋体"/>
          <w:sz w:val="24"/>
          <w:szCs w:val="24"/>
          <w:lang w:val="en-US" w:eastAsia="zh-CN"/>
        </w:rPr>
        <w:t>21</w:t>
      </w:r>
      <w:r>
        <w:rPr>
          <w:rFonts w:hint="eastAsia" w:ascii="宋体" w:hAnsi="宋体" w:eastAsia="宋体" w:cs="宋体"/>
          <w:sz w:val="24"/>
          <w:szCs w:val="24"/>
        </w:rPr>
        <w:t>年度</w:t>
      </w:r>
      <w:r>
        <w:rPr>
          <w:rFonts w:hint="eastAsia" w:ascii="宋体" w:hAnsi="宋体" w:eastAsia="宋体" w:cs="宋体"/>
          <w:sz w:val="24"/>
          <w:szCs w:val="24"/>
          <w:lang w:val="en-US" w:eastAsia="zh-CN"/>
        </w:rPr>
        <w:t>北塔区卫生计生综合监督执法局</w:t>
      </w:r>
      <w:r>
        <w:rPr>
          <w:rFonts w:hint="eastAsia" w:ascii="宋体" w:hAnsi="宋体" w:eastAsia="宋体" w:cs="宋体"/>
          <w:sz w:val="24"/>
          <w:szCs w:val="24"/>
        </w:rPr>
        <w:t>按时按要求在政务网站上公开了部门预算、决算报表的相关信息。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、改进措施和有关建议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（一）科学合理编制预算、严格执行预算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议按照《预算法》及其实施条例的相关规定，参考上一年的预算执行情况和年度的收支预测科学编制预算。同时在编制预算项目时与上年核算科目结合起来，在预算执行中，严格按照预算科目支出，确需调剂的，按规定城促报经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（二）完善管理制度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进一步贯彻落实中央“八项规定”，建立健全新的财务管理制度，针对“三公”经费制订专门的审批和控制制度，规范支出标准与范围，并严格执行。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五</w:t>
      </w:r>
      <w:r>
        <w:rPr>
          <w:rFonts w:hint="eastAsia" w:ascii="黑体" w:hAnsi="黑体" w:eastAsia="黑体" w:cs="黑体"/>
          <w:sz w:val="28"/>
          <w:szCs w:val="28"/>
        </w:rPr>
        <w:t>、综合评价结果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根据《部门整体支出绩效评价指标》规定的内容，</w:t>
      </w:r>
      <w:r>
        <w:rPr>
          <w:rFonts w:hint="eastAsia" w:ascii="宋体" w:hAnsi="宋体" w:eastAsia="宋体" w:cs="宋体"/>
          <w:sz w:val="24"/>
          <w:szCs w:val="24"/>
          <w:lang w:val="en-US" w:eastAsia="zh-CN"/>
        </w:rPr>
        <w:t>北塔区卫生计生综合监督执法局</w:t>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年度整体支出绩效评为“良好”。</w:t>
      </w:r>
      <w:bookmarkStart w:id="1" w:name="_GoBack"/>
      <w:bookmarkEnd w:id="1"/>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pacing w:line="600" w:lineRule="exact"/>
        <w:ind w:firstLine="640" w:firstLineChars="200"/>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黑体" w:hAnsi="黑体" w:eastAsia="黑体" w:cs="黑体"/>
          <w:bCs/>
          <w:kern w:val="0"/>
          <w:sz w:val="28"/>
          <w:szCs w:val="28"/>
        </w:rPr>
      </w:pPr>
      <w:r>
        <w:rPr>
          <w:rFonts w:hint="eastAsia" w:ascii="黑体" w:hAnsi="黑体" w:eastAsia="黑体" w:cs="黑体"/>
          <w:bCs/>
          <w:kern w:val="0"/>
          <w:sz w:val="28"/>
          <w:szCs w:val="28"/>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w:t>
            </w:r>
            <w:r>
              <w:rPr>
                <w:rFonts w:hint="eastAsia" w:ascii="仿宋_GB2312" w:hAnsi="宋体" w:eastAsia="仿宋_GB2312" w:cs="宋体"/>
                <w:kern w:val="0"/>
                <w:sz w:val="20"/>
                <w:szCs w:val="20"/>
                <w:lang w:val="en-US" w:eastAsia="zh-CN"/>
              </w:rPr>
              <w:t>2021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北塔区卫生计生综合监督执法局</w:t>
      </w:r>
    </w:p>
    <w:p>
      <w:pPr>
        <w:keepNext w:val="0"/>
        <w:keepLines w:val="0"/>
        <w:pageBreakBefore w:val="0"/>
        <w:widowControl w:val="0"/>
        <w:kinsoku/>
        <w:wordWrap w:val="0"/>
        <w:overflowPunct/>
        <w:topLinePunct w:val="0"/>
        <w:autoSpaceDE/>
        <w:autoSpaceDN/>
        <w:bidi w:val="0"/>
        <w:adjustRightInd/>
        <w:snapToGrid/>
        <w:spacing w:line="480" w:lineRule="exact"/>
        <w:ind w:firstLine="480" w:firstLineChars="200"/>
        <w:jc w:val="right"/>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010BA"/>
    <w:multiLevelType w:val="singleLevel"/>
    <w:tmpl w:val="DCD010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NjhjZTNjMzY1MmU1YzA0MzdiYTAyMzEyMDlmZjIifQ=="/>
  </w:docVars>
  <w:rsids>
    <w:rsidRoot w:val="34F605BF"/>
    <w:rsid w:val="00B531C9"/>
    <w:rsid w:val="03F27F1D"/>
    <w:rsid w:val="073059E6"/>
    <w:rsid w:val="0E19600D"/>
    <w:rsid w:val="119C0378"/>
    <w:rsid w:val="126C58DE"/>
    <w:rsid w:val="16FE0496"/>
    <w:rsid w:val="1C9B0F16"/>
    <w:rsid w:val="1CF564DF"/>
    <w:rsid w:val="202A6953"/>
    <w:rsid w:val="20AD0837"/>
    <w:rsid w:val="21C422DC"/>
    <w:rsid w:val="233A6504"/>
    <w:rsid w:val="2BFC0FF0"/>
    <w:rsid w:val="2E8D06F0"/>
    <w:rsid w:val="31B16F4D"/>
    <w:rsid w:val="34F605BF"/>
    <w:rsid w:val="375D490D"/>
    <w:rsid w:val="392F4087"/>
    <w:rsid w:val="394D505C"/>
    <w:rsid w:val="3A7333A9"/>
    <w:rsid w:val="41AC627D"/>
    <w:rsid w:val="47B522E9"/>
    <w:rsid w:val="480C7C2E"/>
    <w:rsid w:val="4B397777"/>
    <w:rsid w:val="502B217B"/>
    <w:rsid w:val="50995D4E"/>
    <w:rsid w:val="51C32097"/>
    <w:rsid w:val="551C150B"/>
    <w:rsid w:val="55A439DB"/>
    <w:rsid w:val="566D2070"/>
    <w:rsid w:val="5855022F"/>
    <w:rsid w:val="59DF76D7"/>
    <w:rsid w:val="5DA4458C"/>
    <w:rsid w:val="67472418"/>
    <w:rsid w:val="697D4BE8"/>
    <w:rsid w:val="72434C03"/>
    <w:rsid w:val="74097CEA"/>
    <w:rsid w:val="7B7156CF"/>
    <w:rsid w:val="7D513857"/>
    <w:rsid w:val="7E790F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5180</Words>
  <Characters>5647</Characters>
  <Lines>0</Lines>
  <Paragraphs>0</Paragraphs>
  <TotalTime>0</TotalTime>
  <ScaleCrop>false</ScaleCrop>
  <LinksUpToDate>false</LinksUpToDate>
  <CharactersWithSpaces>5933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2022-11-09T12:23:00Z</dcterms:created>
  <dc:creator>李香香</dc:creator>
  <cp:lastModifiedBy>李香香</cp:lastModifiedBy>
  <dcterms:modified xsi:type="dcterms:W3CDTF">2022-11-11T02:23:43Z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BC202780EB2641278DDD7420A536592F</vt:lpwstr>
  </property>
</Properties>
</file>