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邵阳市北塔区党史和地方志研究室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bookmarkStart w:id="1" w:name="_GoBack"/>
      <w:bookmarkEnd w:id="1"/>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邵阳市北塔区党史和地方志研究室内设机构包括：本部门共有编制人数2人，实有人数1人。内设股室4个，分别为：文秘股、党史编研股、方志编纂股、宣传教育股。</w:t>
      </w:r>
    </w:p>
    <w:p>
      <w:pPr>
        <w:spacing w:line="480" w:lineRule="auto"/>
        <w:ind w:firstLine="640" w:firstLineChars="200"/>
        <w:jc w:val="left"/>
        <w:rPr>
          <w:rFonts w:hint="eastAsia" w:ascii="宋体" w:hAnsi="宋体" w:eastAsia="宋体" w:cs="宋体"/>
          <w:i w:val="0"/>
          <w:iCs w:val="0"/>
          <w:caps w:val="0"/>
          <w:color w:val="000000"/>
          <w:spacing w:val="0"/>
          <w:sz w:val="32"/>
          <w:szCs w:val="32"/>
          <w:lang w:val="en-US" w:eastAsia="zh-CN"/>
        </w:rPr>
      </w:pPr>
      <w:r>
        <w:rPr>
          <w:rFonts w:ascii="宋体" w:hAnsi="宋体" w:eastAsia="宋体" w:cs="宋体"/>
          <w:i w:val="0"/>
          <w:iCs w:val="0"/>
          <w:caps w:val="0"/>
          <w:color w:val="000000"/>
          <w:spacing w:val="0"/>
          <w:sz w:val="32"/>
          <w:szCs w:val="32"/>
        </w:rPr>
        <w:t>邵阳市北塔区党史和地方志研究室无下属单位，因此，邵阳市北塔区党史和地方志研究室2022年单位决算即邵阳市北塔区党史和地方志研究室本级。</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pStyle w:val="3"/>
        <w:keepNext w:val="0"/>
        <w:keepLines w:val="0"/>
        <w:widowControl/>
        <w:suppressLineNumbers w:val="0"/>
        <w:spacing w:before="0" w:beforeAutospacing="0" w:after="2" w:afterAutospacing="0"/>
        <w:ind w:right="0" w:firstLine="640" w:firstLineChars="200"/>
        <w:rPr>
          <w:rFonts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lang w:val="en-US" w:eastAsia="zh-CN"/>
        </w:rPr>
        <w:t>1、</w:t>
      </w:r>
      <w:r>
        <w:rPr>
          <w:rFonts w:ascii="宋体" w:hAnsi="宋体" w:eastAsia="宋体" w:cs="宋体"/>
          <w:i w:val="0"/>
          <w:iCs w:val="0"/>
          <w:caps w:val="0"/>
          <w:color w:val="000000"/>
          <w:spacing w:val="0"/>
          <w:sz w:val="32"/>
          <w:szCs w:val="32"/>
        </w:rPr>
        <w:t>贯彻落实党中央、国务院及省委、省政府、市委、市政府和区委、区政府关于党史工作的政策研究、地方志工作的方针、政策和法规，制定全区党史、地方志工作规划、计划，并组织实施。</w:t>
      </w:r>
    </w:p>
    <w:p>
      <w:pPr>
        <w:pStyle w:val="3"/>
        <w:keepNext w:val="0"/>
        <w:keepLines w:val="0"/>
        <w:widowControl/>
        <w:suppressLineNumbers w:val="0"/>
        <w:spacing w:before="0" w:beforeAutospacing="0" w:after="2" w:afterAutospacing="0"/>
        <w:ind w:right="0" w:firstLine="640" w:firstLineChars="20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lang w:val="en-US" w:eastAsia="zh-CN"/>
        </w:rPr>
        <w:t>2、</w:t>
      </w:r>
      <w:r>
        <w:rPr>
          <w:rFonts w:ascii="宋体" w:hAnsi="宋体" w:eastAsia="宋体" w:cs="宋体"/>
          <w:i w:val="0"/>
          <w:iCs w:val="0"/>
          <w:caps w:val="0"/>
          <w:color w:val="000000"/>
          <w:spacing w:val="0"/>
          <w:sz w:val="32"/>
          <w:szCs w:val="32"/>
        </w:rPr>
        <w:t>负责马克思列宁主义、毛泽东思想、邓小平理论、“三个代表”重要思想、科学发展观、习近平新时代中国特色社会主义思想的研究和宣传普及教育。</w:t>
      </w:r>
    </w:p>
    <w:p>
      <w:pPr>
        <w:pStyle w:val="3"/>
        <w:keepNext w:val="0"/>
        <w:keepLines w:val="0"/>
        <w:widowControl/>
        <w:suppressLineNumbers w:val="0"/>
        <w:spacing w:before="0" w:beforeAutospacing="0" w:after="2" w:afterAutospacing="0"/>
        <w:ind w:right="0" w:firstLine="640" w:firstLineChars="20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lang w:val="en-US" w:eastAsia="zh-CN"/>
        </w:rPr>
        <w:t>3、</w:t>
      </w:r>
      <w:r>
        <w:rPr>
          <w:rFonts w:ascii="宋体" w:hAnsi="宋体" w:eastAsia="宋体" w:cs="宋体"/>
          <w:i w:val="0"/>
          <w:iCs w:val="0"/>
          <w:caps w:val="0"/>
          <w:color w:val="000000"/>
          <w:spacing w:val="0"/>
          <w:sz w:val="32"/>
          <w:szCs w:val="32"/>
        </w:rPr>
        <w:t>研究中国共产党北塔历史、北塔地方志，总结党的历史经验，开展党的历史、党的优良传统和北塔优秀传统文化的宣传教育，发挥党史、地方志的资政育人作用，为新时代党的建设和区委、区政府决策服务，为教育广大党员、干部、群众和青少年服务。</w:t>
      </w:r>
    </w:p>
    <w:p>
      <w:pPr>
        <w:pStyle w:val="3"/>
        <w:keepNext w:val="0"/>
        <w:keepLines w:val="0"/>
        <w:widowControl/>
        <w:suppressLineNumbers w:val="0"/>
        <w:spacing w:before="0" w:beforeAutospacing="0" w:after="2" w:afterAutospacing="0"/>
        <w:ind w:right="0" w:firstLine="640" w:firstLineChars="20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lang w:val="en-US" w:eastAsia="zh-CN"/>
        </w:rPr>
        <w:t>4、</w:t>
      </w:r>
      <w:r>
        <w:rPr>
          <w:rFonts w:ascii="宋体" w:hAnsi="宋体" w:eastAsia="宋体" w:cs="宋体"/>
          <w:i w:val="0"/>
          <w:iCs w:val="0"/>
          <w:caps w:val="0"/>
          <w:color w:val="000000"/>
          <w:spacing w:val="0"/>
          <w:sz w:val="32"/>
          <w:szCs w:val="32"/>
        </w:rPr>
        <w:t>编辑研究北塔党史和文献资料，组织编写出版北塔党史基本著作，编纂出版编年史、专门史、党史大事记、党史资料专题、党史人物传等党史资料书籍，深入党史资料研究，系统地总结历史经验，为贯彻执行党的基本路线服务，为加强改进党的作风服务，为区委、区政府的工作大局服务。</w:t>
      </w:r>
    </w:p>
    <w:p>
      <w:pPr>
        <w:pStyle w:val="3"/>
        <w:keepNext w:val="0"/>
        <w:keepLines w:val="0"/>
        <w:widowControl/>
        <w:suppressLineNumbers w:val="0"/>
        <w:spacing w:before="0" w:beforeAutospacing="0" w:after="2" w:afterAutospacing="0"/>
        <w:ind w:right="0" w:firstLine="640" w:firstLineChars="20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lang w:val="en-US" w:eastAsia="zh-CN"/>
        </w:rPr>
        <w:t>5、</w:t>
      </w:r>
      <w:r>
        <w:rPr>
          <w:rFonts w:ascii="宋体" w:hAnsi="宋体" w:eastAsia="宋体" w:cs="宋体"/>
          <w:i w:val="0"/>
          <w:iCs w:val="0"/>
          <w:caps w:val="0"/>
          <w:color w:val="000000"/>
          <w:spacing w:val="0"/>
          <w:sz w:val="32"/>
          <w:szCs w:val="32"/>
        </w:rPr>
        <w:t>组织编纂全区地方志书、地方综合年鉴，编纂出版《北塔年鉴》《北塔大事记》和地情书刊，组织整理旧志。</w:t>
      </w:r>
    </w:p>
    <w:p>
      <w:pPr>
        <w:pStyle w:val="3"/>
        <w:keepNext w:val="0"/>
        <w:keepLines w:val="0"/>
        <w:widowControl/>
        <w:suppressLineNumbers w:val="0"/>
        <w:spacing w:before="0" w:beforeAutospacing="0" w:after="2" w:afterAutospacing="0"/>
        <w:ind w:right="0" w:firstLine="640" w:firstLineChars="20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lang w:val="en-US" w:eastAsia="zh-CN"/>
        </w:rPr>
        <w:t>6、</w:t>
      </w:r>
      <w:r>
        <w:rPr>
          <w:rFonts w:ascii="宋体" w:hAnsi="宋体" w:eastAsia="宋体" w:cs="宋体"/>
          <w:i w:val="0"/>
          <w:iCs w:val="0"/>
          <w:caps w:val="0"/>
          <w:color w:val="000000"/>
          <w:spacing w:val="0"/>
          <w:sz w:val="32"/>
          <w:szCs w:val="32"/>
        </w:rPr>
        <w:t>征集、整理、保管和利用北塔党史、地方志文献资料，收集、整理重要口述资料、重要人物回忆录。承担区级党史资料及党史领导的革命史、建设史、改革史、发展史资料的征集、鉴别，做好“存史”工作。</w:t>
      </w:r>
    </w:p>
    <w:p>
      <w:pPr>
        <w:pStyle w:val="3"/>
        <w:keepNext w:val="0"/>
        <w:keepLines w:val="0"/>
        <w:widowControl/>
        <w:suppressLineNumbers w:val="0"/>
        <w:spacing w:before="0" w:beforeAutospacing="0" w:after="2" w:afterAutospacing="0"/>
        <w:ind w:right="0" w:firstLine="640" w:firstLineChars="20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lang w:val="en-US" w:eastAsia="zh-CN"/>
        </w:rPr>
        <w:t>7、</w:t>
      </w:r>
      <w:r>
        <w:rPr>
          <w:rFonts w:ascii="宋体" w:hAnsi="宋体" w:eastAsia="宋体" w:cs="宋体"/>
          <w:i w:val="0"/>
          <w:iCs w:val="0"/>
          <w:caps w:val="0"/>
          <w:color w:val="000000"/>
          <w:spacing w:val="0"/>
          <w:sz w:val="32"/>
          <w:szCs w:val="32"/>
        </w:rPr>
        <w:t>完成市委党史办、市地方志编纂室和区委区政府交办的其他任务。</w:t>
      </w:r>
    </w:p>
    <w:p>
      <w:pPr>
        <w:pStyle w:val="3"/>
        <w:keepNext w:val="0"/>
        <w:keepLines w:val="0"/>
        <w:widowControl/>
        <w:suppressLineNumbers w:val="0"/>
        <w:spacing w:before="0" w:beforeAutospacing="0" w:after="2" w:afterAutospacing="0"/>
        <w:ind w:right="0" w:firstLine="640" w:firstLineChars="20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lang w:val="en-US" w:eastAsia="zh-CN"/>
        </w:rPr>
        <w:t>8、</w:t>
      </w:r>
      <w:r>
        <w:rPr>
          <w:rFonts w:ascii="宋体" w:hAnsi="宋体" w:eastAsia="宋体" w:cs="宋体"/>
          <w:i w:val="0"/>
          <w:iCs w:val="0"/>
          <w:caps w:val="0"/>
          <w:color w:val="000000"/>
          <w:spacing w:val="0"/>
          <w:sz w:val="32"/>
          <w:szCs w:val="32"/>
        </w:rPr>
        <w:t>开展党史、地方志理论研究，组织党史、地方志学术研讨活动，开展与市党史、地方志部门的协作交流。为上级党史部门、党史研究部门和区本级党史工作部门在编写中共党史和北塔地方党史时提供史料。</w:t>
      </w:r>
    </w:p>
    <w:p>
      <w:pPr>
        <w:pStyle w:val="3"/>
        <w:keepNext w:val="0"/>
        <w:keepLines w:val="0"/>
        <w:widowControl/>
        <w:suppressLineNumbers w:val="0"/>
        <w:spacing w:before="0" w:beforeAutospacing="0" w:after="2" w:afterAutospacing="0"/>
        <w:ind w:right="0" w:firstLine="640" w:firstLineChars="20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lang w:val="en-US" w:eastAsia="zh-CN"/>
        </w:rPr>
        <w:t>9、</w:t>
      </w:r>
      <w:r>
        <w:rPr>
          <w:rFonts w:ascii="宋体" w:hAnsi="宋体" w:eastAsia="宋体" w:cs="宋体"/>
          <w:i w:val="0"/>
          <w:iCs w:val="0"/>
          <w:caps w:val="0"/>
          <w:color w:val="000000"/>
          <w:spacing w:val="0"/>
          <w:sz w:val="32"/>
          <w:szCs w:val="32"/>
        </w:rPr>
        <w:t>指导、协调、督促、检查全区党史、地方志工作开展。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2022年财政拨款预算执行数59.06万元，预算安排数40.15万元，预算执行率为147%，当年预算有超支18.91万元；（2）公用经费预算2.84万元，实际支出35.47万元，公用经费控制率为1248.9%；、（3）“三公经费”年初预算安排0万元，实际支出0万元，“三公经费”控制率为0%。（4）政府采购年初预算0万元，实际政府采购金额0万元，政府采购执行率0%。</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2022年度邵阳市北塔区党史和地方志研究室基本支出年初预算安排为24.15万元，本年实际支出为59.06万元，主要为人员经费支出和公用经费支出，其中人员经费支出23.59万元、公用经费支出35.47万元。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本年项目支出年初预算安排为16万元，本年实际支出为0万元。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2022年财政拨款预算执行数59.06万元，预算安排数40.15万元，预算执行率为147%，当年预算有超支18.91万元；（2）公用经费预算2.84万元，实际支出35.47万元，公用经费控制率为1248.9%；、（3）“三公经费”年初预算安排0万元，实际支出0万元，“三公经费”控制率为0%。（4）政府采购年初预算0万元，实际政府采购金额0万元，政府采购执行率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shd w:val="clear" w:fill="FFFFFF"/>
          <w:lang w:val="en-US" w:eastAsia="zh-CN" w:bidi="ar-SA"/>
        </w:rPr>
        <w:t>邵阳市北塔区党史和地方志研究室及时在区政府统一平台公开了部门预算、决算和绩效目标、绩效自评报告、“三公经费”等信息，接受群众和社会监督。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截止2022年12月31日，邵阳市北塔区党史和地方志研究室</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拥有各类资产总额0万元，其中流动资产0万元，固定资产0万元。单位为加强资产管理，内部制定了资产管理制度，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经办人员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kern w:val="0"/>
          <w:sz w:val="32"/>
          <w:szCs w:val="32"/>
          <w:shd w:val="clear" w:fill="FFFFFF"/>
          <w:lang w:val="en-US" w:eastAsia="zh-CN" w:bidi="ar"/>
        </w:rPr>
      </w:pPr>
      <w:r>
        <w:rPr>
          <w:rFonts w:hint="eastAsia" w:ascii="宋体" w:hAnsi="宋体" w:eastAsia="宋体" w:cs="宋体"/>
          <w:b/>
          <w:bCs/>
          <w:i w:val="0"/>
          <w:iCs w:val="0"/>
          <w:caps w:val="0"/>
          <w:color w:val="444444"/>
          <w:spacing w:val="0"/>
          <w:kern w:val="0"/>
          <w:sz w:val="32"/>
          <w:szCs w:val="32"/>
          <w:shd w:val="clear" w:fill="FFFFFF"/>
          <w:lang w:val="en-US" w:eastAsia="zh-CN" w:bidi="ar"/>
        </w:rPr>
        <w:t>（二）职责覆行和主要绩效情况</w:t>
      </w:r>
    </w:p>
    <w:p>
      <w:pPr>
        <w:spacing w:line="72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职责履行良好，绩效评价优良。</w:t>
      </w:r>
    </w:p>
    <w:p>
      <w:pPr>
        <w:numPr>
          <w:ilvl w:val="0"/>
          <w:numId w:val="2"/>
        </w:numPr>
        <w:spacing w:line="720" w:lineRule="auto"/>
        <w:ind w:firstLine="643" w:firstLineChars="200"/>
        <w:jc w:val="left"/>
        <w:rPr>
          <w:rFonts w:hint="eastAsia" w:ascii="宋体" w:hAnsi="宋体" w:eastAsia="宋体" w:cs="宋体"/>
          <w:b/>
          <w:bCs/>
          <w:i w:val="0"/>
          <w:iCs w:val="0"/>
          <w:caps w:val="0"/>
          <w:color w:val="444444"/>
          <w:spacing w:val="0"/>
          <w:kern w:val="0"/>
          <w:sz w:val="32"/>
          <w:szCs w:val="32"/>
          <w:shd w:val="clear" w:fill="FFFFFF"/>
          <w:lang w:val="en-US" w:eastAsia="zh-CN" w:bidi="ar"/>
        </w:rPr>
      </w:pPr>
      <w:r>
        <w:rPr>
          <w:rFonts w:hint="eastAsia" w:ascii="宋体" w:hAnsi="宋体" w:eastAsia="宋体" w:cs="宋体"/>
          <w:b/>
          <w:bCs/>
          <w:i w:val="0"/>
          <w:iCs w:val="0"/>
          <w:caps w:val="0"/>
          <w:color w:val="444444"/>
          <w:spacing w:val="0"/>
          <w:kern w:val="0"/>
          <w:sz w:val="32"/>
          <w:szCs w:val="32"/>
          <w:shd w:val="clear" w:fill="FFFFFF"/>
          <w:lang w:val="en-US" w:eastAsia="zh-CN" w:bidi="ar"/>
        </w:rPr>
        <w:t>存在的问题及原因分析</w:t>
      </w:r>
    </w:p>
    <w:p>
      <w:pPr>
        <w:numPr>
          <w:ilvl w:val="0"/>
          <w:numId w:val="0"/>
        </w:numPr>
        <w:spacing w:line="720" w:lineRule="auto"/>
        <w:jc w:val="left"/>
        <w:rPr>
          <w:rFonts w:hint="default" w:ascii="宋体" w:hAnsi="宋体" w:eastAsia="宋体" w:cs="宋体"/>
          <w:b w:val="0"/>
          <w:bCs w:val="0"/>
          <w:i w:val="0"/>
          <w:iCs w:val="0"/>
          <w:caps w:val="0"/>
          <w:color w:val="444444"/>
          <w:spacing w:val="0"/>
          <w:kern w:val="0"/>
          <w:sz w:val="32"/>
          <w:szCs w:val="32"/>
          <w:shd w:val="clear" w:fill="FFFFFF"/>
          <w:lang w:val="en-US" w:eastAsia="zh-CN" w:bidi="ar"/>
        </w:rPr>
      </w:pPr>
      <w:r>
        <w:rPr>
          <w:rFonts w:hint="eastAsia" w:ascii="宋体" w:hAnsi="宋体" w:eastAsia="宋体" w:cs="宋体"/>
          <w:b/>
          <w:bCs/>
          <w:i w:val="0"/>
          <w:iCs w:val="0"/>
          <w:caps w:val="0"/>
          <w:color w:val="444444"/>
          <w:spacing w:val="0"/>
          <w:kern w:val="0"/>
          <w:sz w:val="32"/>
          <w:szCs w:val="32"/>
          <w:shd w:val="clear" w:fill="FFFFFF"/>
          <w:lang w:val="en-US" w:eastAsia="zh-CN" w:bidi="ar"/>
        </w:rPr>
        <w:t xml:space="preserve">  </w:t>
      </w:r>
      <w:r>
        <w:rPr>
          <w:rFonts w:hint="eastAsia" w:ascii="宋体" w:hAnsi="宋体" w:eastAsia="宋体" w:cs="宋体"/>
          <w:b w:val="0"/>
          <w:bCs w:val="0"/>
          <w:i w:val="0"/>
          <w:iCs w:val="0"/>
          <w:caps w:val="0"/>
          <w:color w:val="444444"/>
          <w:spacing w:val="0"/>
          <w:kern w:val="0"/>
          <w:sz w:val="32"/>
          <w:szCs w:val="32"/>
          <w:shd w:val="clear" w:fill="FFFFFF"/>
          <w:lang w:val="en-US" w:eastAsia="zh-CN" w:bidi="ar"/>
        </w:rPr>
        <w:t xml:space="preserve">  无</w:t>
      </w:r>
    </w:p>
    <w:p>
      <w:pPr>
        <w:spacing w:line="720" w:lineRule="auto"/>
        <w:ind w:firstLine="643" w:firstLineChars="200"/>
        <w:jc w:val="left"/>
        <w:rPr>
          <w:rFonts w:hint="eastAsia" w:ascii="宋体" w:hAnsi="宋体" w:eastAsia="宋体" w:cs="宋体"/>
          <w:b/>
          <w:bCs/>
          <w:i w:val="0"/>
          <w:iCs w:val="0"/>
          <w:caps w:val="0"/>
          <w:color w:val="444444"/>
          <w:spacing w:val="0"/>
          <w:kern w:val="0"/>
          <w:sz w:val="32"/>
          <w:szCs w:val="32"/>
          <w:shd w:val="clear" w:fill="FFFFFF"/>
          <w:lang w:val="en-US" w:eastAsia="zh-CN" w:bidi="ar"/>
        </w:rPr>
      </w:pPr>
      <w:r>
        <w:rPr>
          <w:rFonts w:hint="eastAsia" w:ascii="宋体" w:hAnsi="宋体" w:eastAsia="宋体" w:cs="宋体"/>
          <w:b/>
          <w:bCs/>
          <w:i w:val="0"/>
          <w:iCs w:val="0"/>
          <w:caps w:val="0"/>
          <w:color w:val="444444"/>
          <w:spacing w:val="0"/>
          <w:kern w:val="0"/>
          <w:sz w:val="32"/>
          <w:szCs w:val="32"/>
          <w:shd w:val="clear" w:fill="FFFFFF"/>
          <w:lang w:val="en-US" w:eastAsia="zh-CN" w:bidi="ar"/>
        </w:rPr>
        <w:t>五、改进措施及有关建议</w:t>
      </w:r>
    </w:p>
    <w:p>
      <w:pPr>
        <w:pStyle w:val="6"/>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无</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429"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567"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85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   指标</w:t>
            </w:r>
          </w:p>
        </w:tc>
        <w:tc>
          <w:tcPr>
            <w:tcW w:w="567"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3118"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评价标准</w:t>
            </w:r>
          </w:p>
        </w:tc>
        <w:tc>
          <w:tcPr>
            <w:tcW w:w="3472"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c>
          <w:tcPr>
            <w:tcW w:w="617" w:type="dxa"/>
            <w:noWrap/>
            <w:vAlign w:val="center"/>
          </w:tcPr>
          <w:p>
            <w:pPr>
              <w:widowControl/>
              <w:jc w:val="center"/>
              <w:rPr>
                <w:rFonts w:ascii="宋体" w:hAnsi="宋体" w:eastAsia="宋体" w:cs="宋体"/>
                <w:b/>
                <w:bCs/>
                <w:kern w:val="0"/>
                <w:sz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非税收入完成率=（2021年度非税实际收入完成数/2021年度非税收入预算数）×100%，有减免因素的，以非税局确定的为准。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left"/>
              <w:rPr>
                <w:rFonts w:ascii="仿宋_GB2312" w:hAnsi="宋体" w:eastAsia="仿宋_GB2312" w:cs="宋体"/>
                <w:kern w:val="0"/>
                <w:sz w:val="20"/>
                <w:szCs w:val="20"/>
              </w:rPr>
            </w:pPr>
          </w:p>
        </w:tc>
        <w:tc>
          <w:tcPr>
            <w:tcW w:w="3472" w:type="dxa"/>
            <w:noWrap/>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rPr>
                <w:rFonts w:ascii="仿宋_GB2312" w:hAnsi="宋体" w:eastAsia="仿宋_GB2312" w:cs="宋体"/>
                <w:kern w:val="0"/>
                <w:sz w:val="20"/>
                <w:szCs w:val="20"/>
              </w:rPr>
            </w:pPr>
          </w:p>
        </w:tc>
        <w:tc>
          <w:tcPr>
            <w:tcW w:w="3118" w:type="dxa"/>
            <w:tcBorders>
              <w:top w:val="single" w:color="auto" w:sz="4" w:space="0"/>
            </w:tcBorders>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0"/>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ign w:val="center"/>
          </w:tcPr>
          <w:p>
            <w:pPr>
              <w:jc w:val="center"/>
              <w:rPr>
                <w:rFonts w:ascii="仿宋_GB2312" w:hAnsi="宋体" w:eastAsia="仿宋_GB2312" w:cs="宋体"/>
                <w:kern w:val="0"/>
                <w:sz w:val="20"/>
                <w:szCs w:val="20"/>
              </w:rPr>
            </w:pPr>
          </w:p>
        </w:tc>
        <w:tc>
          <w:tcPr>
            <w:tcW w:w="851" w:type="dxa"/>
            <w:tcBorders>
              <w:top w:val="single" w:color="auto" w:sz="4" w:space="0"/>
            </w:tcBorders>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0"/>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ign w:val="center"/>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ign w:val="center"/>
          </w:tcPr>
          <w:p>
            <w:pPr>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textDirection w:val="tbRlV"/>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工作</w:t>
            </w:r>
          </w:p>
          <w:p>
            <w:pPr>
              <w:rPr>
                <w:rFonts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ign w:val="center"/>
          </w:tcPr>
          <w:p>
            <w:pPr>
              <w:autoSpaceDN w:val="0"/>
              <w:jc w:val="left"/>
              <w:textAlignment w:val="center"/>
              <w:rPr>
                <w:rFonts w:ascii="仿宋_GB2312" w:hAnsi="宋体" w:eastAsia="仿宋_GB2312" w:cs="宋体"/>
                <w:kern w:val="0"/>
                <w:sz w:val="20"/>
                <w:szCs w:val="20"/>
              </w:rPr>
            </w:pPr>
          </w:p>
        </w:tc>
        <w:tc>
          <w:tcPr>
            <w:tcW w:w="617" w:type="dxa"/>
            <w:noWrap/>
            <w:vAlign w:val="center"/>
          </w:tcPr>
          <w:p>
            <w:pPr>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此三项指标可根据部门实际并结合2021年度部门整体支出绩效目标设立情况有选择的进行评价。</w:t>
            </w:r>
          </w:p>
        </w:tc>
        <w:tc>
          <w:tcPr>
            <w:tcW w:w="617"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ign w:val="center"/>
          </w:tcPr>
          <w:p>
            <w:pPr>
              <w:widowControl/>
              <w:rPr>
                <w:rFonts w:ascii="仿宋_GB2312" w:hAnsi="宋体" w:eastAsia="仿宋_GB2312" w:cs="宋体"/>
                <w:kern w:val="0"/>
                <w:sz w:val="20"/>
                <w:szCs w:val="20"/>
              </w:rPr>
            </w:pPr>
          </w:p>
        </w:tc>
        <w:tc>
          <w:tcPr>
            <w:tcW w:w="6590" w:type="dxa"/>
            <w:gridSpan w:val="2"/>
            <w:vMerge w:val="continue"/>
            <w:noWrap/>
            <w:vAlign w:val="center"/>
          </w:tcPr>
          <w:p>
            <w:pPr>
              <w:widowControl/>
              <w:jc w:val="left"/>
              <w:rPr>
                <w:rFonts w:ascii="仿宋_GB2312" w:hAnsi="宋体" w:eastAsia="仿宋_GB2312" w:cs="宋体"/>
                <w:kern w:val="0"/>
                <w:sz w:val="20"/>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ign w:val="center"/>
          </w:tcPr>
          <w:p>
            <w:pPr>
              <w:widowControl/>
              <w:rPr>
                <w:rFonts w:ascii="仿宋_GB2312" w:hAnsi="宋体" w:eastAsia="仿宋_GB2312" w:cs="宋体"/>
                <w:kern w:val="0"/>
                <w:sz w:val="20"/>
                <w:szCs w:val="20"/>
              </w:rPr>
            </w:pPr>
          </w:p>
        </w:tc>
        <w:tc>
          <w:tcPr>
            <w:tcW w:w="6590" w:type="dxa"/>
            <w:gridSpan w:val="2"/>
            <w:vMerge w:val="continue"/>
            <w:noWrap/>
            <w:vAlign w:val="center"/>
          </w:tcPr>
          <w:p>
            <w:pPr>
              <w:widowControl/>
              <w:jc w:val="left"/>
              <w:rPr>
                <w:rFonts w:ascii="仿宋_GB2312" w:hAnsi="宋体" w:eastAsia="仿宋_GB2312" w:cs="宋体"/>
                <w:kern w:val="0"/>
                <w:sz w:val="20"/>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90</w:t>
            </w:r>
          </w:p>
        </w:tc>
      </w:tr>
    </w:tbl>
    <w:p>
      <w:pPr>
        <w:pStyle w:val="6"/>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EDD44"/>
    <w:multiLevelType w:val="singleLevel"/>
    <w:tmpl w:val="E54EDD44"/>
    <w:lvl w:ilvl="0" w:tentative="0">
      <w:start w:val="4"/>
      <w:numFmt w:val="chineseCounting"/>
      <w:suff w:val="nothing"/>
      <w:lvlText w:val="%1、"/>
      <w:lvlJc w:val="left"/>
      <w:rPr>
        <w:rFonts w:hint="eastAsia"/>
      </w:rPr>
    </w:lvl>
  </w:abstractNum>
  <w:abstractNum w:abstractNumId="1">
    <w:nsid w:val="F43A0026"/>
    <w:multiLevelType w:val="singleLevel"/>
    <w:tmpl w:val="F43A002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33D15D0"/>
    <w:rsid w:val="05213482"/>
    <w:rsid w:val="059D432A"/>
    <w:rsid w:val="077A5294"/>
    <w:rsid w:val="09E17252"/>
    <w:rsid w:val="0C105EE3"/>
    <w:rsid w:val="0D5E3707"/>
    <w:rsid w:val="11E84674"/>
    <w:rsid w:val="126C42B4"/>
    <w:rsid w:val="129524C0"/>
    <w:rsid w:val="17042185"/>
    <w:rsid w:val="1A4120C4"/>
    <w:rsid w:val="1F010C8F"/>
    <w:rsid w:val="20F63895"/>
    <w:rsid w:val="26166273"/>
    <w:rsid w:val="2B032004"/>
    <w:rsid w:val="2C7529D1"/>
    <w:rsid w:val="2D6C05C8"/>
    <w:rsid w:val="2D96434F"/>
    <w:rsid w:val="3619015E"/>
    <w:rsid w:val="36E22B02"/>
    <w:rsid w:val="37A26170"/>
    <w:rsid w:val="3B9303B2"/>
    <w:rsid w:val="3C8416D7"/>
    <w:rsid w:val="3FAB09ED"/>
    <w:rsid w:val="44AF5D78"/>
    <w:rsid w:val="45833892"/>
    <w:rsid w:val="45CB4E15"/>
    <w:rsid w:val="46535859"/>
    <w:rsid w:val="4746760A"/>
    <w:rsid w:val="4ACA7AAB"/>
    <w:rsid w:val="4B991F60"/>
    <w:rsid w:val="4D113C42"/>
    <w:rsid w:val="4E58558A"/>
    <w:rsid w:val="4F3501F1"/>
    <w:rsid w:val="51B80C66"/>
    <w:rsid w:val="52C04276"/>
    <w:rsid w:val="53202F66"/>
    <w:rsid w:val="53392E57"/>
    <w:rsid w:val="54E61630"/>
    <w:rsid w:val="55C776C9"/>
    <w:rsid w:val="575435C3"/>
    <w:rsid w:val="58BA3FC4"/>
    <w:rsid w:val="58CA4CA4"/>
    <w:rsid w:val="59A70B1E"/>
    <w:rsid w:val="59E60318"/>
    <w:rsid w:val="5C6E3411"/>
    <w:rsid w:val="5CBC5F90"/>
    <w:rsid w:val="5E6D1153"/>
    <w:rsid w:val="5F83500A"/>
    <w:rsid w:val="60745B56"/>
    <w:rsid w:val="641F097E"/>
    <w:rsid w:val="65236940"/>
    <w:rsid w:val="664A41B0"/>
    <w:rsid w:val="66D16D4F"/>
    <w:rsid w:val="66FE6113"/>
    <w:rsid w:val="683B72E1"/>
    <w:rsid w:val="6AAF5FDC"/>
    <w:rsid w:val="6B874FA2"/>
    <w:rsid w:val="6FD52562"/>
    <w:rsid w:val="70514092"/>
    <w:rsid w:val="70852420"/>
    <w:rsid w:val="70D421A3"/>
    <w:rsid w:val="73125FD0"/>
    <w:rsid w:val="73DA040C"/>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2023-12-13T08:40:35Z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36059177E7F94EC8A669057CAAF4FA41_13</vt:lpwstr>
  </property>
</Properties>
</file>