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rPr>
          <w:rFonts w:ascii="黑体" w:hAnsi="宋体" w:eastAsia="黑体" w:cs="宋体"/>
          <w:kern w:val="0"/>
          <w:sz w:val="32"/>
          <w:szCs w:val="32"/>
        </w:rPr>
      </w:pPr>
      <w:r>
        <w:rPr>
          <w:rFonts w:hint="eastAsia" w:eastAsia="黑体"/>
          <w:sz w:val="32"/>
          <w:szCs w:val="32"/>
        </w:rPr>
        <w:t>附件1</w:t>
      </w:r>
      <w:r>
        <w:rPr>
          <w:rFonts w:ascii="宋体" w:hAnsi="宋体" w:cs="宋体"/>
          <w:kern w:val="0"/>
          <w:sz w:val="32"/>
          <w:szCs w:val="32"/>
        </w:rPr>
        <w:tab/>
      </w:r>
    </w:p>
    <w:p>
      <w:pPr>
        <w:widowControl/>
        <w:ind w:left="93"/>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部门整体支出绩效评价指标评分表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tcPr>
          <w:p>
            <w:pPr>
              <w:widowControl/>
              <w:jc w:val="left"/>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tcPr>
          <w:p>
            <w:pPr>
              <w:widowControl/>
              <w:jc w:val="left"/>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exact"/>
          <w:jc w:val="center"/>
        </w:trPr>
        <w:tc>
          <w:tcPr>
            <w:tcW w:w="411" w:type="dxa"/>
            <w:vMerge w:val="restart"/>
            <w:textDirection w:val="tbRlV"/>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ascii="仿宋_GB2312" w:hAnsi="宋体" w:eastAsia="仿宋_GB2312" w:cs="宋体"/>
                <w:kern w:val="0"/>
                <w:sz w:val="20"/>
                <w:szCs w:val="20"/>
              </w:rPr>
            </w:pPr>
          </w:p>
        </w:tc>
        <w:tc>
          <w:tcPr>
            <w:tcW w:w="3472" w:type="dxa"/>
            <w:vAlign w:val="center"/>
          </w:tcPr>
          <w:p>
            <w:pPr>
              <w:autoSpaceDN w:val="0"/>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exac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3" w:hRule="exac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exac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4"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ascii="仿宋_GB2312" w:hAnsi="宋体" w:eastAsia="仿宋_GB2312" w:cs="宋体"/>
                <w:kern w:val="0"/>
                <w:sz w:val="20"/>
                <w:szCs w:val="20"/>
              </w:rPr>
            </w:pPr>
          </w:p>
        </w:tc>
        <w:tc>
          <w:tcPr>
            <w:tcW w:w="3118" w:type="dxa"/>
            <w:tcBorders>
              <w:top w:val="single" w:color="auto" w:sz="4" w:space="0"/>
            </w:tcBorders>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exac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ascii="仿宋_GB2312" w:hAnsi="宋体" w:eastAsia="仿宋_GB2312" w:cs="宋体"/>
                <w:kern w:val="0"/>
                <w:sz w:val="20"/>
                <w:szCs w:val="20"/>
              </w:rPr>
            </w:pPr>
          </w:p>
        </w:tc>
        <w:tc>
          <w:tcPr>
            <w:tcW w:w="851" w:type="dxa"/>
            <w:tcBorders>
              <w:top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center"/>
              <w:rPr>
                <w:rFonts w:ascii="仿宋_GB2312" w:hAnsi="宋体" w:eastAsia="仿宋_GB2312" w:cs="宋体"/>
                <w:kern w:val="0"/>
                <w:sz w:val="20"/>
                <w:szCs w:val="20"/>
              </w:rPr>
            </w:pPr>
          </w:p>
        </w:tc>
        <w:tc>
          <w:tcPr>
            <w:tcW w:w="851"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ascii="仿宋_GB2312" w:hAnsi="宋体" w:eastAsia="仿宋_GB2312" w:cs="宋体"/>
                <w:kern w:val="0"/>
                <w:sz w:val="20"/>
                <w:szCs w:val="20"/>
              </w:rPr>
            </w:pPr>
          </w:p>
        </w:tc>
        <w:tc>
          <w:tcPr>
            <w:tcW w:w="617" w:type="dxa"/>
            <w:shd w:val="clear" w:color="auto" w:fill="auto"/>
            <w:vAlign w:val="center"/>
          </w:tcPr>
          <w:p>
            <w:pPr>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w:t>
            </w:r>
            <w:r>
              <w:rPr>
                <w:rFonts w:hint="eastAsia" w:ascii="仿宋_GB2312" w:hAnsi="宋体"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shd w:val="clear" w:color="auto" w:fill="auto"/>
            <w:vAlign w:val="center"/>
          </w:tcPr>
          <w:p>
            <w:pPr>
              <w:widowControl/>
              <w:jc w:val="center"/>
              <w:rPr>
                <w:rFonts w:ascii="仿宋_GB2312" w:hAnsi="宋体" w:eastAsia="仿宋_GB2312" w:cs="宋体"/>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shd w:val="clear" w:color="auto" w:fill="auto"/>
            <w:vAlign w:val="center"/>
          </w:tcPr>
          <w:p>
            <w:pPr>
              <w:widowControl/>
              <w:jc w:val="center"/>
              <w:rPr>
                <w:rFonts w:ascii="仿宋_GB2312" w:hAnsi="宋体" w:eastAsia="仿宋_GB2312" w:cs="宋体"/>
                <w:color w:val="000000" w:themeColor="text1"/>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shd w:val="clear" w:color="auto" w:fill="auto"/>
            <w:vAlign w:val="center"/>
          </w:tcPr>
          <w:p>
            <w:pPr>
              <w:widowControl/>
              <w:jc w:val="center"/>
              <w:rPr>
                <w:rFonts w:ascii="仿宋_GB2312" w:hAnsi="宋体" w:eastAsia="仿宋_GB2312" w:cs="宋体"/>
                <w:color w:val="000000" w:themeColor="text1"/>
                <w:kern w:val="0"/>
                <w:sz w:val="20"/>
                <w:szCs w:val="20"/>
              </w:rPr>
            </w:pPr>
            <w:r>
              <w:rPr>
                <w:rFonts w:hint="eastAsia" w:ascii="仿宋_GB2312" w:hAnsi="宋体" w:eastAsia="仿宋_GB2312" w:cs="宋体"/>
                <w:color w:val="000000" w:themeColor="text1"/>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exact"/>
          <w:jc w:val="center"/>
        </w:trPr>
        <w:tc>
          <w:tcPr>
            <w:tcW w:w="840" w:type="dxa"/>
            <w:gridSpan w:val="2"/>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ascii="仿宋_GB2312" w:hAnsi="宋体" w:eastAsia="仿宋_GB2312" w:cs="宋体"/>
                <w:kern w:val="0"/>
                <w:sz w:val="20"/>
                <w:szCs w:val="20"/>
              </w:rPr>
            </w:pPr>
          </w:p>
        </w:tc>
        <w:tc>
          <w:tcPr>
            <w:tcW w:w="617" w:type="dxa"/>
            <w:shd w:val="clear" w:color="auto" w:fill="auto"/>
            <w:vAlign w:val="center"/>
          </w:tcPr>
          <w:p>
            <w:pPr>
              <w:widowControl/>
              <w:jc w:val="center"/>
              <w:rPr>
                <w:rFonts w:ascii="宋体" w:hAnsi="宋体" w:cs="宋体"/>
                <w:color w:val="000000" w:themeColor="text1"/>
                <w:kern w:val="0"/>
                <w:sz w:val="24"/>
              </w:rPr>
            </w:pPr>
            <w:r>
              <w:rPr>
                <w:rFonts w:hint="eastAsia" w:ascii="宋体" w:hAnsi="宋体" w:cs="宋体"/>
                <w:color w:val="000000" w:themeColor="text1"/>
                <w:kern w:val="0"/>
                <w:sz w:val="24"/>
              </w:rPr>
              <w:t>99</w:t>
            </w:r>
          </w:p>
        </w:tc>
      </w:tr>
    </w:tbl>
    <w:p>
      <w:pPr>
        <w:spacing w:line="600" w:lineRule="exact"/>
        <w:rPr>
          <w:rFonts w:ascii="宋体" w:hAnsi="宋体" w:cs="宋体"/>
          <w:kern w:val="0"/>
          <w:sz w:val="32"/>
          <w:szCs w:val="32"/>
        </w:rPr>
      </w:pPr>
    </w:p>
    <w:p>
      <w:pPr>
        <w:pStyle w:val="6"/>
        <w:widowControl/>
        <w:shd w:val="clear" w:color="auto" w:fill="FFFFFF"/>
        <w:spacing w:before="0" w:beforeAutospacing="0" w:after="0" w:afterAutospacing="0"/>
        <w:rPr>
          <w:rFonts w:ascii="宋体" w:hAnsi="宋体" w:cs="宋体"/>
          <w:b/>
          <w:color w:val="444444"/>
          <w:sz w:val="29"/>
          <w:szCs w:val="29"/>
          <w:shd w:val="clear" w:color="auto" w:fill="FFFFFF"/>
        </w:rPr>
      </w:pPr>
    </w:p>
    <w:p>
      <w:pPr>
        <w:pStyle w:val="6"/>
        <w:widowControl/>
        <w:shd w:val="clear" w:color="auto" w:fill="FFFFFF"/>
        <w:spacing w:before="0" w:beforeAutospacing="0" w:after="0" w:afterAutospacing="0"/>
        <w:jc w:val="center"/>
        <w:rPr>
          <w:rFonts w:ascii="宋体" w:hAnsi="宋体" w:cs="宋体"/>
          <w:b/>
          <w:color w:val="444444"/>
          <w:sz w:val="29"/>
          <w:szCs w:val="29"/>
          <w:shd w:val="clear" w:color="auto" w:fill="FFFFFF"/>
        </w:rPr>
      </w:pPr>
    </w:p>
    <w:p>
      <w:pPr>
        <w:pStyle w:val="6"/>
        <w:widowControl/>
        <w:shd w:val="clear" w:color="auto" w:fill="FFFFFF"/>
        <w:spacing w:before="0" w:beforeAutospacing="0" w:after="0" w:afterAutospacing="0"/>
        <w:jc w:val="center"/>
        <w:rPr>
          <w:rFonts w:ascii="宋体" w:hAnsi="宋体" w:cs="宋体"/>
          <w:b/>
          <w:color w:val="444444"/>
          <w:sz w:val="29"/>
          <w:szCs w:val="29"/>
          <w:shd w:val="clear" w:color="auto" w:fill="FFFFFF"/>
        </w:rPr>
      </w:pPr>
    </w:p>
    <w:p>
      <w:pPr>
        <w:pStyle w:val="6"/>
        <w:widowControl/>
        <w:shd w:val="clear" w:color="auto" w:fill="FFFFFF"/>
        <w:spacing w:before="0" w:beforeAutospacing="0" w:after="0" w:afterAutospacing="0"/>
        <w:jc w:val="center"/>
        <w:rPr>
          <w:rFonts w:ascii="微软雅黑" w:hAnsi="微软雅黑" w:eastAsia="微软雅黑" w:cs="微软雅黑"/>
          <w:color w:val="444444"/>
        </w:rPr>
      </w:pPr>
      <w:r>
        <w:rPr>
          <w:rFonts w:hint="eastAsia" w:ascii="宋体" w:hAnsi="宋体" w:cs="宋体"/>
          <w:b/>
          <w:color w:val="444444"/>
          <w:sz w:val="29"/>
          <w:szCs w:val="29"/>
          <w:shd w:val="clear" w:color="auto" w:fill="FFFFFF"/>
        </w:rPr>
        <w:t>2021年度部门整体支出绩效评价报告</w:t>
      </w:r>
    </w:p>
    <w:p>
      <w:pPr>
        <w:widowControl/>
        <w:shd w:val="clear" w:color="auto" w:fill="FFFFFF"/>
        <w:spacing w:line="600" w:lineRule="atLeast"/>
        <w:ind w:firstLine="640"/>
        <w:jc w:val="left"/>
        <w:rPr>
          <w:rFonts w:ascii="微软雅黑" w:hAnsi="微软雅黑" w:eastAsia="微软雅黑" w:cs="微软雅黑"/>
          <w:color w:val="444444"/>
          <w:sz w:val="24"/>
        </w:rPr>
      </w:pPr>
      <w:r>
        <w:rPr>
          <w:rFonts w:ascii="黑体" w:hAnsi="宋体" w:eastAsia="黑体" w:cs="黑体"/>
          <w:color w:val="444444"/>
          <w:kern w:val="0"/>
          <w:sz w:val="28"/>
          <w:szCs w:val="28"/>
          <w:shd w:val="clear" w:color="auto" w:fill="FFFFFF"/>
        </w:rPr>
        <w:t>一、部门概况</w:t>
      </w:r>
    </w:p>
    <w:p>
      <w:pPr>
        <w:widowControl/>
        <w:shd w:val="clear" w:color="auto" w:fill="FFFFFF"/>
        <w:spacing w:line="600" w:lineRule="atLeast"/>
        <w:ind w:firstLine="643"/>
        <w:jc w:val="left"/>
        <w:rPr>
          <w:rFonts w:ascii="微软雅黑" w:hAnsi="微软雅黑" w:eastAsia="微软雅黑" w:cs="微软雅黑"/>
          <w:color w:val="444444"/>
          <w:sz w:val="24"/>
        </w:rPr>
      </w:pPr>
      <w:r>
        <w:rPr>
          <w:rFonts w:ascii="楷体_GB2312" w:hAnsi="微软雅黑" w:eastAsia="楷体_GB2312" w:cs="楷体_GB2312"/>
          <w:b/>
          <w:color w:val="444444"/>
          <w:kern w:val="0"/>
          <w:sz w:val="28"/>
          <w:szCs w:val="28"/>
          <w:shd w:val="clear" w:color="auto" w:fill="FFFFFF"/>
        </w:rPr>
        <w:t>（一）部门基本情况</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ascii="仿宋_GB2312" w:hAnsi="微软雅黑" w:eastAsia="仿宋_GB2312" w:cs="仿宋_GB2312"/>
          <w:b/>
          <w:color w:val="444444"/>
          <w:kern w:val="0"/>
          <w:sz w:val="28"/>
          <w:szCs w:val="28"/>
          <w:shd w:val="clear" w:color="auto" w:fill="FFFFFF"/>
        </w:rPr>
        <w:t>1、部门职能职责：</w:t>
      </w:r>
      <w:r>
        <w:rPr>
          <w:rFonts w:hint="eastAsia" w:ascii="仿宋_GB2312" w:hAnsi="微软雅黑" w:eastAsia="仿宋_GB2312" w:cs="仿宋_GB2312"/>
          <w:color w:val="444444"/>
          <w:kern w:val="0"/>
          <w:sz w:val="28"/>
          <w:szCs w:val="28"/>
          <w:shd w:val="clear" w:color="auto" w:fill="FFFFFF"/>
        </w:rPr>
        <w:t>各级统战部是党中央和各级党委主管统一战线工作的职能部门。党中央就为统战部门确定了"了解情况，掌握政策，调整关系，安排人事"的基本职能。目前，</w:t>
      </w:r>
      <w:r>
        <w:rPr>
          <w:rFonts w:hint="eastAsia" w:ascii="仿宋_GB2312" w:hAnsi="微软雅黑" w:eastAsia="仿宋_GB2312" w:cs="仿宋_GB2312"/>
          <w:color w:val="444444"/>
          <w:kern w:val="0"/>
          <w:sz w:val="28"/>
          <w:szCs w:val="28"/>
          <w:shd w:val="clear" w:color="auto" w:fill="FFFFFF"/>
          <w:lang w:val="en-US" w:eastAsia="zh-CN"/>
        </w:rPr>
        <w:t>区</w:t>
      </w:r>
      <w:r>
        <w:rPr>
          <w:rFonts w:hint="eastAsia" w:ascii="仿宋_GB2312" w:hAnsi="微软雅黑" w:eastAsia="仿宋_GB2312" w:cs="仿宋_GB2312"/>
          <w:color w:val="444444"/>
          <w:kern w:val="0"/>
          <w:sz w:val="28"/>
          <w:szCs w:val="28"/>
          <w:shd w:val="clear" w:color="auto" w:fill="FFFFFF"/>
        </w:rPr>
        <w:t>统战部门的主要职责如下：</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（１）调查研究统一战线的理论和重大的方针政策，组织贯彻执行中央关于统一战线的方针、政策；向中央和各级党委反映情况，提出开展统战工作的意见和建议。</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２）负责联系各民主党派和无党派代表人士，及时通报情况，反映他们的意见和建议；研究、贯彻党领导的多党合作和政治协商制度及对民主党派的方针、政策；落实中央关于发挥民主党派、无党派人士参政议政和民主监督作用的工作；支持、帮助各民主党派加强自身建设，选拔、培养新一代代表人物。</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（３）负责调查研究、协调检查有关民族、宗教工作的重大方针、政策问题；联系少数民族和宗教界的代表人物；协助有关部门做好少数民族干部的培养和举荐工作。</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（４）负责开展以祖国统一为重点的海外统战工作；联系港、澳、台和华侨华人中的有关社团及代表人士；做好台胞、台属的有关工作。</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（５）负责党外人士的政治安排，会同有关部门做好培养、选拔、推荐党外人士担任政府和司法机关领导职务的工作，做好党外后备干部和新的代表人物队伍的建设工作。</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（６）负责联系工商联、联系港、澳、台及海外工商社团和代表人士。调查、研究并反映非公有制经济代表人物的情况，协调关系，提出政策建议，选拔、培养积极分子队伍。</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（７）调查研究党外知识分子的情况，反映意见，协调关系，提出政策建议；联系并培养党外知识分子的代表人物。</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（８）负责开展海内外统一战线的宣传工作。</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（９）协调政府各有关部门的统战工作。</w:t>
      </w:r>
    </w:p>
    <w:p>
      <w:pPr>
        <w:widowControl/>
        <w:shd w:val="clear" w:color="auto" w:fill="FFFFFF"/>
        <w:spacing w:line="579" w:lineRule="atLeast"/>
        <w:ind w:firstLine="640"/>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（１０）完成中央和各级党委交办的其他任务。</w:t>
      </w:r>
    </w:p>
    <w:p>
      <w:pPr>
        <w:rPr>
          <w:rFonts w:ascii="仿宋_GB2312" w:hAnsi="微软雅黑" w:eastAsia="仿宋_GB2312" w:cs="仿宋_GB2312"/>
          <w:color w:val="444444"/>
          <w:sz w:val="28"/>
          <w:szCs w:val="28"/>
          <w:shd w:val="clear" w:color="auto" w:fill="FFFFFF"/>
        </w:rPr>
      </w:pPr>
      <w:r>
        <w:rPr>
          <w:rFonts w:ascii="仿宋_GB2312" w:hAnsi="微软雅黑" w:eastAsia="仿宋_GB2312" w:cs="仿宋_GB2312"/>
          <w:b/>
          <w:color w:val="444444"/>
          <w:sz w:val="28"/>
          <w:szCs w:val="28"/>
          <w:shd w:val="clear" w:color="auto" w:fill="FFFFFF"/>
        </w:rPr>
        <w:t>2、机构基本情况：</w:t>
      </w:r>
      <w:r>
        <w:rPr>
          <w:rFonts w:ascii="仿宋_GB2312" w:hAnsi="微软雅黑" w:eastAsia="仿宋_GB2312" w:cs="仿宋_GB2312"/>
          <w:color w:val="444444"/>
          <w:sz w:val="28"/>
          <w:szCs w:val="28"/>
          <w:shd w:val="clear" w:color="auto" w:fill="FFFFFF"/>
        </w:rPr>
        <w:t>邵阳市委统战部内设机构包括：</w:t>
      </w:r>
      <w:r>
        <w:rPr>
          <w:rFonts w:hint="eastAsia" w:ascii="仿宋_GB2312" w:hAnsi="微软雅黑" w:eastAsia="仿宋_GB2312" w:cs="仿宋_GB2312"/>
          <w:color w:val="444444"/>
          <w:sz w:val="28"/>
          <w:szCs w:val="28"/>
          <w:shd w:val="clear" w:color="auto" w:fill="FFFFFF"/>
        </w:rPr>
        <w:t>办公室、民族宗教事务股、侨务工作股3个科室，区侨联与统战部合署办公，没有下设的二级机构</w:t>
      </w:r>
    </w:p>
    <w:p>
      <w:pPr>
        <w:rPr>
          <w:rFonts w:ascii="微软雅黑" w:hAnsi="微软雅黑" w:eastAsia="微软雅黑" w:cs="微软雅黑"/>
          <w:color w:val="444444"/>
        </w:rPr>
      </w:pPr>
      <w:r>
        <w:rPr>
          <w:rFonts w:ascii="仿宋_GB2312" w:hAnsi="微软雅黑" w:eastAsia="仿宋_GB2312" w:cs="仿宋_GB2312"/>
          <w:b/>
          <w:color w:val="444444"/>
          <w:sz w:val="28"/>
          <w:szCs w:val="28"/>
          <w:shd w:val="clear" w:color="auto" w:fill="FFFFFF"/>
        </w:rPr>
        <w:t>3．机构人员情况：</w:t>
      </w:r>
      <w:r>
        <w:rPr>
          <w:rFonts w:hint="eastAsia" w:ascii="仿宋_GB2312" w:hAnsi="微软雅黑" w:eastAsia="仿宋_GB2312" w:cs="仿宋_GB2312"/>
          <w:color w:val="444444"/>
          <w:kern w:val="0"/>
          <w:sz w:val="28"/>
          <w:szCs w:val="28"/>
          <w:shd w:val="clear" w:color="auto" w:fill="FFFFFF"/>
        </w:rPr>
        <w:t>单位共有行政编制人数5人，区侨联编制人数3人，区委统战部（包括侨联）实有人数15人，其中在职9人，离退休6人。</w:t>
      </w:r>
    </w:p>
    <w:p>
      <w:pPr>
        <w:widowControl/>
        <w:numPr>
          <w:ilvl w:val="0"/>
          <w:numId w:val="1"/>
        </w:numPr>
        <w:shd w:val="clear" w:color="auto" w:fill="FFFFFF"/>
        <w:spacing w:line="579" w:lineRule="atLeast"/>
        <w:ind w:firstLine="643"/>
        <w:jc w:val="left"/>
        <w:rPr>
          <w:rFonts w:ascii="楷体_GB2312" w:hAnsi="微软雅黑" w:eastAsia="楷体_GB2312" w:cs="楷体_GB2312"/>
          <w:b/>
          <w:color w:val="444444"/>
          <w:kern w:val="0"/>
          <w:sz w:val="28"/>
          <w:szCs w:val="28"/>
          <w:shd w:val="clear" w:color="auto" w:fill="FFFFFF"/>
        </w:rPr>
      </w:pPr>
      <w:r>
        <w:rPr>
          <w:rFonts w:ascii="楷体_GB2312" w:hAnsi="微软雅黑" w:eastAsia="楷体_GB2312" w:cs="楷体_GB2312"/>
          <w:b/>
          <w:color w:val="444444"/>
          <w:kern w:val="0"/>
          <w:sz w:val="28"/>
          <w:szCs w:val="28"/>
          <w:shd w:val="clear" w:color="auto" w:fill="FFFFFF"/>
        </w:rPr>
        <w:t>部门整体支出规模、使用方向和主要内容、涉及范围等。</w:t>
      </w:r>
    </w:p>
    <w:p>
      <w:pPr>
        <w:widowControl/>
        <w:shd w:val="clear" w:color="auto" w:fill="FFFFFF"/>
        <w:spacing w:line="579" w:lineRule="atLeast"/>
        <w:ind w:firstLine="640"/>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“收入支出决算总表”中本年年初预算数为</w:t>
      </w:r>
      <w:r>
        <w:rPr>
          <w:rFonts w:hint="eastAsia" w:ascii="仿宋_GB2312" w:hAnsi="微软雅黑" w:eastAsia="仿宋_GB2312" w:cs="仿宋_GB2312"/>
          <w:color w:val="444444"/>
          <w:kern w:val="0"/>
          <w:sz w:val="28"/>
          <w:szCs w:val="28"/>
          <w:shd w:val="clear" w:color="auto" w:fill="FFFFFF"/>
          <w:lang w:val="en-US" w:eastAsia="zh-CN"/>
        </w:rPr>
        <w:t>145.53</w:t>
      </w:r>
      <w:r>
        <w:rPr>
          <w:rFonts w:hint="eastAsia" w:ascii="仿宋_GB2312" w:hAnsi="微软雅黑" w:eastAsia="仿宋_GB2312" w:cs="仿宋_GB2312"/>
          <w:color w:val="444444"/>
          <w:kern w:val="0"/>
          <w:sz w:val="28"/>
          <w:szCs w:val="28"/>
          <w:shd w:val="clear" w:color="auto" w:fill="FFFFFF"/>
        </w:rPr>
        <w:t>万元，调整后预算收入</w:t>
      </w:r>
      <w:r>
        <w:rPr>
          <w:rFonts w:hint="eastAsia" w:ascii="仿宋_GB2312" w:hAnsi="微软雅黑" w:eastAsia="仿宋_GB2312" w:cs="仿宋_GB2312"/>
          <w:color w:val="444444"/>
          <w:kern w:val="0"/>
          <w:sz w:val="28"/>
          <w:szCs w:val="28"/>
          <w:shd w:val="clear" w:color="auto" w:fill="FFFFFF"/>
          <w:lang w:val="en-US" w:eastAsia="zh-CN"/>
        </w:rPr>
        <w:t>197.44</w:t>
      </w:r>
      <w:r>
        <w:rPr>
          <w:rFonts w:hint="eastAsia" w:ascii="仿宋_GB2312" w:hAnsi="微软雅黑" w:eastAsia="仿宋_GB2312" w:cs="仿宋_GB2312"/>
          <w:color w:val="444444"/>
          <w:kern w:val="0"/>
          <w:sz w:val="28"/>
          <w:szCs w:val="28"/>
          <w:shd w:val="clear" w:color="auto" w:fill="FFFFFF"/>
        </w:rPr>
        <w:t>万元,支出</w:t>
      </w:r>
      <w:r>
        <w:rPr>
          <w:rFonts w:hint="eastAsia" w:ascii="仿宋_GB2312" w:hAnsi="微软雅黑" w:eastAsia="仿宋_GB2312" w:cs="仿宋_GB2312"/>
          <w:color w:val="444444"/>
          <w:kern w:val="0"/>
          <w:sz w:val="28"/>
          <w:szCs w:val="28"/>
          <w:shd w:val="clear" w:color="auto" w:fill="FFFFFF"/>
          <w:lang w:val="en-US" w:eastAsia="zh-CN"/>
        </w:rPr>
        <w:t>197.44</w:t>
      </w:r>
      <w:r>
        <w:rPr>
          <w:rFonts w:hint="eastAsia" w:ascii="仿宋_GB2312" w:hAnsi="微软雅黑" w:eastAsia="仿宋_GB2312" w:cs="仿宋_GB2312"/>
          <w:color w:val="444444"/>
          <w:kern w:val="0"/>
          <w:sz w:val="28"/>
          <w:szCs w:val="28"/>
          <w:shd w:val="clear" w:color="auto" w:fill="FFFFFF"/>
        </w:rPr>
        <w:t>万元，预算年中调整主要是人员工资调整、增加绩效考核、文明创建、综合治理奖金及离退休人员补贴预算。</w:t>
      </w:r>
    </w:p>
    <w:p>
      <w:pPr>
        <w:widowControl/>
        <w:shd w:val="clear" w:color="auto" w:fill="FFFFFF"/>
        <w:spacing w:line="579" w:lineRule="atLeast"/>
        <w:ind w:firstLine="640"/>
        <w:jc w:val="left"/>
        <w:rPr>
          <w:rFonts w:hint="default" w:ascii="仿宋_GB2312" w:hAnsi="微软雅黑" w:eastAsia="仿宋_GB2312" w:cs="仿宋_GB2312"/>
          <w:color w:val="444444"/>
          <w:kern w:val="0"/>
          <w:sz w:val="28"/>
          <w:szCs w:val="28"/>
          <w:shd w:val="clear" w:color="auto" w:fill="FFFFFF"/>
          <w:lang w:val="en-US" w:eastAsia="zh-CN"/>
        </w:rPr>
      </w:pPr>
      <w:r>
        <w:rPr>
          <w:rFonts w:hint="eastAsia" w:ascii="仿宋_GB2312" w:hAnsi="微软雅黑" w:eastAsia="仿宋_GB2312" w:cs="仿宋_GB2312"/>
          <w:color w:val="444444"/>
          <w:kern w:val="0"/>
          <w:sz w:val="28"/>
          <w:szCs w:val="28"/>
          <w:shd w:val="clear" w:color="auto" w:fill="FFFFFF"/>
        </w:rPr>
        <w:t>2021年部门整体支出</w:t>
      </w:r>
      <w:r>
        <w:rPr>
          <w:rFonts w:hint="eastAsia" w:ascii="仿宋_GB2312" w:hAnsi="微软雅黑" w:eastAsia="仿宋_GB2312" w:cs="仿宋_GB2312"/>
          <w:color w:val="444444"/>
          <w:kern w:val="0"/>
          <w:sz w:val="28"/>
          <w:szCs w:val="28"/>
          <w:shd w:val="clear" w:color="auto" w:fill="FFFFFF"/>
          <w:lang w:val="en-US" w:eastAsia="zh-CN"/>
        </w:rPr>
        <w:t>197.44</w:t>
      </w:r>
      <w:r>
        <w:rPr>
          <w:rFonts w:hint="eastAsia" w:ascii="仿宋_GB2312" w:hAnsi="微软雅黑" w:eastAsia="仿宋_GB2312" w:cs="仿宋_GB2312"/>
          <w:color w:val="444444"/>
          <w:kern w:val="0"/>
          <w:sz w:val="28"/>
          <w:szCs w:val="28"/>
          <w:shd w:val="clear" w:color="auto" w:fill="FFFFFF"/>
        </w:rPr>
        <w:t>万元，其中基本支出</w:t>
      </w:r>
      <w:r>
        <w:rPr>
          <w:rFonts w:hint="eastAsia" w:ascii="仿宋_GB2312" w:hAnsi="微软雅黑" w:eastAsia="仿宋_GB2312" w:cs="仿宋_GB2312"/>
          <w:color w:val="444444"/>
          <w:kern w:val="0"/>
          <w:sz w:val="28"/>
          <w:szCs w:val="28"/>
          <w:shd w:val="clear" w:color="auto" w:fill="FFFFFF"/>
          <w:lang w:val="en-US" w:eastAsia="zh-CN"/>
        </w:rPr>
        <w:t>197.44</w:t>
      </w:r>
      <w:r>
        <w:rPr>
          <w:rFonts w:hint="eastAsia" w:ascii="仿宋_GB2312" w:hAnsi="微软雅黑" w:eastAsia="仿宋_GB2312" w:cs="仿宋_GB2312"/>
          <w:color w:val="444444"/>
          <w:kern w:val="0"/>
          <w:sz w:val="28"/>
          <w:szCs w:val="28"/>
          <w:shd w:val="clear" w:color="auto" w:fill="FFFFFF"/>
        </w:rPr>
        <w:t>万元，项目支出</w:t>
      </w:r>
      <w:r>
        <w:rPr>
          <w:rFonts w:hint="eastAsia" w:ascii="仿宋_GB2312" w:hAnsi="微软雅黑" w:eastAsia="仿宋_GB2312" w:cs="仿宋_GB2312"/>
          <w:color w:val="444444"/>
          <w:kern w:val="0"/>
          <w:sz w:val="28"/>
          <w:szCs w:val="28"/>
          <w:shd w:val="clear" w:color="auto" w:fill="FFFFFF"/>
          <w:lang w:val="en-US" w:eastAsia="zh-CN"/>
        </w:rPr>
        <w:t>0</w:t>
      </w:r>
      <w:r>
        <w:rPr>
          <w:rFonts w:hint="eastAsia" w:ascii="仿宋_GB2312" w:hAnsi="微软雅黑" w:eastAsia="仿宋_GB2312" w:cs="仿宋_GB2312"/>
          <w:color w:val="444444"/>
          <w:kern w:val="0"/>
          <w:sz w:val="28"/>
          <w:szCs w:val="28"/>
          <w:shd w:val="clear" w:color="auto" w:fill="FFFFFF"/>
        </w:rPr>
        <w:t>万元，基本支出主要是人员工资、商品和服务支出、社会保障和就业支出、卫生健康支出和住房保障支</w:t>
      </w:r>
      <w:r>
        <w:rPr>
          <w:rFonts w:hint="eastAsia" w:ascii="仿宋_GB2312" w:hAnsi="微软雅黑" w:eastAsia="仿宋_GB2312" w:cs="仿宋_GB2312"/>
          <w:color w:val="444444"/>
          <w:kern w:val="0"/>
          <w:sz w:val="28"/>
          <w:szCs w:val="28"/>
          <w:shd w:val="clear" w:color="auto" w:fill="FFFFFF"/>
          <w:lang w:val="en-US" w:eastAsia="zh-CN"/>
        </w:rPr>
        <w:t>出及预算下达保运转的项目支出24.8万元，其中：台办经费1万元，统战经费8.8万元，民主党派经费10万，民宗经费5万元。</w:t>
      </w:r>
    </w:p>
    <w:p>
      <w:pPr>
        <w:widowControl/>
        <w:shd w:val="clear" w:color="auto" w:fill="FFFFFF"/>
        <w:spacing w:line="579" w:lineRule="atLeast"/>
        <w:jc w:val="left"/>
        <w:rPr>
          <w:rFonts w:ascii="黑体" w:hAnsi="宋体" w:eastAsia="黑体" w:cs="黑体"/>
          <w:color w:val="444444"/>
          <w:kern w:val="0"/>
          <w:sz w:val="28"/>
          <w:szCs w:val="28"/>
          <w:shd w:val="clear" w:color="auto" w:fill="FFFFFF"/>
        </w:rPr>
      </w:pPr>
    </w:p>
    <w:p>
      <w:pPr>
        <w:widowControl/>
        <w:shd w:val="clear" w:color="auto" w:fill="FFFFFF"/>
        <w:spacing w:line="579" w:lineRule="atLeast"/>
        <w:jc w:val="left"/>
        <w:rPr>
          <w:rFonts w:ascii="微软雅黑" w:hAnsi="微软雅黑" w:eastAsia="微软雅黑" w:cs="微软雅黑"/>
          <w:color w:val="444444"/>
          <w:sz w:val="24"/>
        </w:rPr>
      </w:pPr>
      <w:r>
        <w:rPr>
          <w:rFonts w:hint="eastAsia" w:ascii="黑体" w:hAnsi="宋体" w:eastAsia="黑体" w:cs="黑体"/>
          <w:color w:val="444444"/>
          <w:kern w:val="0"/>
          <w:sz w:val="28"/>
          <w:szCs w:val="28"/>
          <w:shd w:val="clear" w:color="auto" w:fill="FFFFFF"/>
        </w:rPr>
        <w:t>二、部门整体支出管理及使用情况</w:t>
      </w:r>
    </w:p>
    <w:p>
      <w:pPr>
        <w:widowControl/>
        <w:shd w:val="clear" w:color="auto" w:fill="FFFFFF"/>
        <w:spacing w:line="579" w:lineRule="atLeast"/>
        <w:jc w:val="left"/>
        <w:rPr>
          <w:rFonts w:ascii="微软雅黑" w:hAnsi="微软雅黑" w:eastAsia="微软雅黑" w:cs="微软雅黑"/>
          <w:color w:val="444444"/>
          <w:sz w:val="24"/>
        </w:rPr>
      </w:pPr>
      <w:r>
        <w:rPr>
          <w:rFonts w:ascii="楷体_GB2312" w:hAnsi="微软雅黑" w:eastAsia="楷体_GB2312" w:cs="楷体_GB2312"/>
          <w:b/>
          <w:color w:val="444444"/>
          <w:kern w:val="0"/>
          <w:sz w:val="28"/>
          <w:szCs w:val="28"/>
          <w:shd w:val="clear" w:color="auto" w:fill="FFFFFF"/>
        </w:rPr>
        <w:t>（一）预算执行情况</w:t>
      </w:r>
    </w:p>
    <w:p>
      <w:pPr>
        <w:widowControl/>
        <w:shd w:val="clear" w:color="auto" w:fill="FFFFFF"/>
        <w:spacing w:line="579" w:lineRule="atLeast"/>
        <w:ind w:firstLine="640"/>
        <w:jc w:val="left"/>
        <w:rPr>
          <w:rFonts w:ascii="微软雅黑" w:hAnsi="微软雅黑" w:eastAsia="微软雅黑" w:cs="微软雅黑"/>
          <w:color w:val="444444"/>
          <w:sz w:val="24"/>
        </w:rPr>
      </w:pPr>
      <w:r>
        <w:rPr>
          <w:rFonts w:hint="eastAsia" w:ascii="宋体" w:hAnsi="宋体" w:cs="宋体"/>
          <w:color w:val="444444"/>
          <w:kern w:val="0"/>
          <w:sz w:val="28"/>
          <w:szCs w:val="28"/>
          <w:shd w:val="clear" w:color="auto" w:fill="FFFFFF"/>
        </w:rPr>
        <w:t>2021</w:t>
      </w:r>
      <w:r>
        <w:rPr>
          <w:rFonts w:ascii="仿宋_GB2312" w:hAnsi="微软雅黑" w:eastAsia="仿宋_GB2312" w:cs="仿宋_GB2312"/>
          <w:color w:val="444444"/>
          <w:kern w:val="0"/>
          <w:sz w:val="28"/>
          <w:szCs w:val="28"/>
          <w:shd w:val="clear" w:color="auto" w:fill="FFFFFF"/>
        </w:rPr>
        <w:t>年初预算数为</w:t>
      </w:r>
      <w:r>
        <w:rPr>
          <w:rFonts w:hint="eastAsia" w:ascii="仿宋_GB2312" w:hAnsi="微软雅黑" w:eastAsia="仿宋_GB2312" w:cs="仿宋_GB2312"/>
          <w:color w:val="444444"/>
          <w:kern w:val="0"/>
          <w:sz w:val="28"/>
          <w:szCs w:val="28"/>
          <w:shd w:val="clear" w:color="auto" w:fill="FFFFFF"/>
          <w:lang w:val="en-US" w:eastAsia="zh-CN"/>
        </w:rPr>
        <w:t>145.53</w:t>
      </w:r>
      <w:r>
        <w:rPr>
          <w:rFonts w:ascii="仿宋_GB2312" w:hAnsi="微软雅黑" w:eastAsia="仿宋_GB2312" w:cs="仿宋_GB2312"/>
          <w:color w:val="444444"/>
          <w:kern w:val="0"/>
          <w:sz w:val="28"/>
          <w:szCs w:val="28"/>
          <w:shd w:val="clear" w:color="auto" w:fill="FFFFFF"/>
        </w:rPr>
        <w:t>万元，调整后预算收入</w:t>
      </w:r>
      <w:r>
        <w:rPr>
          <w:rFonts w:hint="eastAsia" w:ascii="仿宋_GB2312" w:hAnsi="微软雅黑" w:eastAsia="仿宋_GB2312" w:cs="仿宋_GB2312"/>
          <w:color w:val="444444"/>
          <w:kern w:val="0"/>
          <w:sz w:val="28"/>
          <w:szCs w:val="28"/>
          <w:shd w:val="clear" w:color="auto" w:fill="FFFFFF"/>
          <w:lang w:val="en-US" w:eastAsia="zh-CN"/>
        </w:rPr>
        <w:t>197.44</w:t>
      </w:r>
      <w:r>
        <w:rPr>
          <w:rFonts w:ascii="仿宋_GB2312" w:hAnsi="微软雅黑" w:eastAsia="仿宋_GB2312" w:cs="仿宋_GB2312"/>
          <w:color w:val="444444"/>
          <w:kern w:val="0"/>
          <w:sz w:val="28"/>
          <w:szCs w:val="28"/>
          <w:shd w:val="clear" w:color="auto" w:fill="FFFFFF"/>
        </w:rPr>
        <w:t>万元</w:t>
      </w:r>
      <w:r>
        <w:rPr>
          <w:rFonts w:hint="eastAsia" w:ascii="宋体" w:hAnsi="宋体" w:cs="宋体"/>
          <w:color w:val="444444"/>
          <w:kern w:val="0"/>
          <w:sz w:val="28"/>
          <w:szCs w:val="28"/>
          <w:shd w:val="clear" w:color="auto" w:fill="FFFFFF"/>
        </w:rPr>
        <w:t>,</w:t>
      </w:r>
      <w:r>
        <w:rPr>
          <w:rFonts w:ascii="仿宋_GB2312" w:hAnsi="微软雅黑" w:eastAsia="仿宋_GB2312" w:cs="仿宋_GB2312"/>
          <w:color w:val="444444"/>
          <w:kern w:val="0"/>
          <w:sz w:val="28"/>
          <w:szCs w:val="28"/>
          <w:shd w:val="clear" w:color="auto" w:fill="FFFFFF"/>
        </w:rPr>
        <w:t>支出</w:t>
      </w:r>
      <w:r>
        <w:rPr>
          <w:rFonts w:hint="eastAsia" w:ascii="仿宋_GB2312" w:hAnsi="微软雅黑" w:eastAsia="仿宋_GB2312" w:cs="仿宋_GB2312"/>
          <w:color w:val="444444"/>
          <w:kern w:val="0"/>
          <w:sz w:val="28"/>
          <w:szCs w:val="28"/>
          <w:shd w:val="clear" w:color="auto" w:fill="FFFFFF"/>
          <w:lang w:val="en-US" w:eastAsia="zh-CN"/>
        </w:rPr>
        <w:t>197.44</w:t>
      </w:r>
      <w:r>
        <w:rPr>
          <w:rFonts w:ascii="仿宋_GB2312" w:hAnsi="微软雅黑" w:eastAsia="仿宋_GB2312" w:cs="仿宋_GB2312"/>
          <w:color w:val="444444"/>
          <w:kern w:val="0"/>
          <w:sz w:val="28"/>
          <w:szCs w:val="28"/>
          <w:shd w:val="clear" w:color="auto" w:fill="FFFFFF"/>
        </w:rPr>
        <w:t>万元</w:t>
      </w:r>
      <w:r>
        <w:rPr>
          <w:rFonts w:hint="eastAsia" w:ascii="仿宋_GB2312" w:hAnsi="微软雅黑" w:eastAsia="仿宋_GB2312" w:cs="仿宋_GB2312"/>
          <w:color w:val="444444"/>
          <w:kern w:val="0"/>
          <w:sz w:val="28"/>
          <w:szCs w:val="28"/>
          <w:shd w:val="clear" w:color="auto" w:fill="FFFFFF"/>
        </w:rPr>
        <w:t>。</w:t>
      </w:r>
    </w:p>
    <w:p>
      <w:pPr>
        <w:widowControl/>
        <w:shd w:val="clear" w:color="auto" w:fill="FFFFFF"/>
        <w:spacing w:line="579" w:lineRule="atLeast"/>
        <w:jc w:val="left"/>
        <w:rPr>
          <w:rFonts w:ascii="微软雅黑" w:hAnsi="微软雅黑" w:eastAsia="微软雅黑" w:cs="微软雅黑"/>
          <w:color w:val="444444"/>
          <w:sz w:val="24"/>
        </w:rPr>
      </w:pPr>
      <w:r>
        <w:rPr>
          <w:rFonts w:ascii="楷体_GB2312" w:hAnsi="微软雅黑" w:eastAsia="楷体_GB2312" w:cs="楷体_GB2312"/>
          <w:b/>
          <w:color w:val="444444"/>
          <w:kern w:val="0"/>
          <w:sz w:val="28"/>
          <w:szCs w:val="28"/>
          <w:shd w:val="clear" w:color="auto" w:fill="FFFFFF"/>
        </w:rPr>
        <w:t>（二）基本支出</w:t>
      </w:r>
    </w:p>
    <w:p>
      <w:pPr>
        <w:widowControl/>
        <w:shd w:val="clear" w:color="auto" w:fill="FFFFFF"/>
        <w:spacing w:line="579" w:lineRule="atLeast"/>
        <w:ind w:firstLine="640"/>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2021年部门整体支出</w:t>
      </w:r>
      <w:r>
        <w:rPr>
          <w:rFonts w:hint="eastAsia" w:ascii="仿宋_GB2312" w:hAnsi="微软雅黑" w:eastAsia="仿宋_GB2312" w:cs="仿宋_GB2312"/>
          <w:color w:val="444444"/>
          <w:kern w:val="0"/>
          <w:sz w:val="28"/>
          <w:szCs w:val="28"/>
          <w:shd w:val="clear" w:color="auto" w:fill="FFFFFF"/>
          <w:lang w:val="en-US" w:eastAsia="zh-CN"/>
        </w:rPr>
        <w:t>197.44</w:t>
      </w:r>
      <w:r>
        <w:rPr>
          <w:rFonts w:hint="eastAsia" w:ascii="仿宋_GB2312" w:hAnsi="微软雅黑" w:eastAsia="仿宋_GB2312" w:cs="仿宋_GB2312"/>
          <w:color w:val="444444"/>
          <w:kern w:val="0"/>
          <w:sz w:val="28"/>
          <w:szCs w:val="28"/>
          <w:shd w:val="clear" w:color="auto" w:fill="FFFFFF"/>
        </w:rPr>
        <w:t>万元，其中基本支出</w:t>
      </w:r>
      <w:r>
        <w:rPr>
          <w:rFonts w:hint="eastAsia" w:ascii="仿宋_GB2312" w:hAnsi="微软雅黑" w:eastAsia="仿宋_GB2312" w:cs="仿宋_GB2312"/>
          <w:color w:val="444444"/>
          <w:kern w:val="0"/>
          <w:sz w:val="28"/>
          <w:szCs w:val="28"/>
          <w:shd w:val="clear" w:color="auto" w:fill="FFFFFF"/>
          <w:lang w:val="en-US" w:eastAsia="zh-CN"/>
        </w:rPr>
        <w:t>197.44</w:t>
      </w:r>
      <w:r>
        <w:rPr>
          <w:rFonts w:hint="eastAsia" w:ascii="仿宋_GB2312" w:hAnsi="微软雅黑" w:eastAsia="仿宋_GB2312" w:cs="仿宋_GB2312"/>
          <w:color w:val="444444"/>
          <w:kern w:val="0"/>
          <w:sz w:val="28"/>
          <w:szCs w:val="28"/>
          <w:shd w:val="clear" w:color="auto" w:fill="FFFFFF"/>
        </w:rPr>
        <w:t>万元，项目支出</w:t>
      </w:r>
      <w:r>
        <w:rPr>
          <w:rFonts w:hint="eastAsia" w:ascii="仿宋_GB2312" w:hAnsi="微软雅黑" w:eastAsia="仿宋_GB2312" w:cs="仿宋_GB2312"/>
          <w:color w:val="444444"/>
          <w:kern w:val="0"/>
          <w:sz w:val="28"/>
          <w:szCs w:val="28"/>
          <w:shd w:val="clear" w:color="auto" w:fill="FFFFFF"/>
          <w:lang w:val="en-US" w:eastAsia="zh-CN"/>
        </w:rPr>
        <w:t>0</w:t>
      </w:r>
      <w:r>
        <w:rPr>
          <w:rFonts w:hint="eastAsia" w:ascii="仿宋_GB2312" w:hAnsi="微软雅黑" w:eastAsia="仿宋_GB2312" w:cs="仿宋_GB2312"/>
          <w:color w:val="444444"/>
          <w:kern w:val="0"/>
          <w:sz w:val="28"/>
          <w:szCs w:val="28"/>
          <w:shd w:val="clear" w:color="auto" w:fill="FFFFFF"/>
        </w:rPr>
        <w:t>万元。</w:t>
      </w:r>
    </w:p>
    <w:p>
      <w:pPr>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1、基本支出：2021年度财政拨款基本支出</w:t>
      </w:r>
      <w:r>
        <w:rPr>
          <w:rFonts w:hint="eastAsia" w:ascii="仿宋_GB2312" w:hAnsi="微软雅黑" w:eastAsia="仿宋_GB2312" w:cs="仿宋_GB2312"/>
          <w:color w:val="444444"/>
          <w:kern w:val="0"/>
          <w:sz w:val="28"/>
          <w:szCs w:val="28"/>
          <w:shd w:val="clear" w:color="auto" w:fill="FFFFFF"/>
          <w:lang w:val="en-US" w:eastAsia="zh-CN"/>
        </w:rPr>
        <w:t>197.44</w:t>
      </w:r>
      <w:r>
        <w:rPr>
          <w:rFonts w:hint="eastAsia" w:ascii="仿宋_GB2312" w:hAnsi="微软雅黑" w:eastAsia="仿宋_GB2312" w:cs="仿宋_GB2312"/>
          <w:color w:val="444444"/>
          <w:kern w:val="0"/>
          <w:sz w:val="28"/>
          <w:szCs w:val="28"/>
          <w:shd w:val="clear" w:color="auto" w:fill="FFFFFF"/>
        </w:rPr>
        <w:t>万元。其中：人员经费</w:t>
      </w:r>
      <w:r>
        <w:rPr>
          <w:rFonts w:hint="eastAsia" w:ascii="仿宋_GB2312" w:hAnsi="微软雅黑" w:eastAsia="仿宋_GB2312" w:cs="仿宋_GB2312"/>
          <w:color w:val="444444"/>
          <w:kern w:val="0"/>
          <w:sz w:val="28"/>
          <w:szCs w:val="28"/>
          <w:shd w:val="clear" w:color="auto" w:fill="FFFFFF"/>
          <w:lang w:val="en-US" w:eastAsia="zh-CN"/>
        </w:rPr>
        <w:t>137.68</w:t>
      </w:r>
      <w:r>
        <w:rPr>
          <w:rFonts w:hint="eastAsia" w:ascii="仿宋_GB2312" w:hAnsi="微软雅黑" w:eastAsia="仿宋_GB2312" w:cs="仿宋_GB2312"/>
          <w:color w:val="444444"/>
          <w:kern w:val="0"/>
          <w:sz w:val="28"/>
          <w:szCs w:val="28"/>
          <w:shd w:val="clear" w:color="auto" w:fill="FFFFFF"/>
        </w:rPr>
        <w:t>万元，占基本支出的</w:t>
      </w:r>
      <w:r>
        <w:rPr>
          <w:rFonts w:hint="eastAsia" w:ascii="仿宋_GB2312" w:hAnsi="微软雅黑" w:eastAsia="仿宋_GB2312" w:cs="仿宋_GB2312"/>
          <w:color w:val="444444"/>
          <w:kern w:val="0"/>
          <w:sz w:val="28"/>
          <w:szCs w:val="28"/>
          <w:shd w:val="clear" w:color="auto" w:fill="FFFFFF"/>
          <w:lang w:val="en-US" w:eastAsia="zh-CN"/>
        </w:rPr>
        <w:t>69.73</w:t>
      </w:r>
      <w:r>
        <w:rPr>
          <w:rFonts w:hint="eastAsia" w:ascii="仿宋_GB2312" w:hAnsi="微软雅黑" w:eastAsia="仿宋_GB2312" w:cs="仿宋_GB2312"/>
          <w:color w:val="444444"/>
          <w:kern w:val="0"/>
          <w:sz w:val="28"/>
          <w:szCs w:val="28"/>
          <w:shd w:val="clear" w:color="auto" w:fill="FFFFFF"/>
        </w:rPr>
        <w:t>%，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微软雅黑" w:eastAsia="仿宋_GB2312" w:cs="仿宋_GB2312"/>
          <w:color w:val="444444"/>
          <w:kern w:val="0"/>
          <w:sz w:val="28"/>
          <w:szCs w:val="28"/>
          <w:shd w:val="clear" w:color="auto" w:fill="FFFFFF"/>
          <w:lang w:val="en-US" w:eastAsia="zh-CN"/>
        </w:rPr>
        <w:t>59.76</w:t>
      </w:r>
      <w:r>
        <w:rPr>
          <w:rFonts w:hint="eastAsia" w:ascii="仿宋_GB2312" w:hAnsi="微软雅黑" w:eastAsia="仿宋_GB2312" w:cs="仿宋_GB2312"/>
          <w:color w:val="444444"/>
          <w:kern w:val="0"/>
          <w:sz w:val="28"/>
          <w:szCs w:val="28"/>
          <w:shd w:val="clear" w:color="auto" w:fill="FFFFFF"/>
        </w:rPr>
        <w:t>万元，占基本支出的</w:t>
      </w:r>
      <w:r>
        <w:rPr>
          <w:rFonts w:hint="eastAsia" w:ascii="仿宋_GB2312" w:hAnsi="微软雅黑" w:eastAsia="仿宋_GB2312" w:cs="仿宋_GB2312"/>
          <w:color w:val="444444"/>
          <w:kern w:val="0"/>
          <w:sz w:val="28"/>
          <w:szCs w:val="28"/>
          <w:shd w:val="clear" w:color="auto" w:fill="FFFFFF"/>
          <w:lang w:val="en-US" w:eastAsia="zh-CN"/>
        </w:rPr>
        <w:t>30.27</w:t>
      </w:r>
      <w:r>
        <w:rPr>
          <w:rFonts w:hint="eastAsia" w:ascii="仿宋_GB2312" w:hAnsi="微软雅黑" w:eastAsia="仿宋_GB2312" w:cs="仿宋_GB2312"/>
          <w:color w:val="444444"/>
          <w:kern w:val="0"/>
          <w:sz w:val="28"/>
          <w:szCs w:val="28"/>
          <w:shd w:val="clear" w:color="auto" w:fill="FFFFFF"/>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w:t>
      </w:r>
    </w:p>
    <w:p>
      <w:pPr>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更新、其他资本性支出。</w:t>
      </w:r>
    </w:p>
    <w:p>
      <w:pPr>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2、项目支出</w:t>
      </w:r>
    </w:p>
    <w:p>
      <w:pPr>
        <w:widowControl/>
        <w:shd w:val="clear" w:color="auto" w:fill="FFFFFF"/>
        <w:spacing w:line="579" w:lineRule="atLeast"/>
        <w:ind w:firstLine="640"/>
        <w:jc w:val="left"/>
        <w:rPr>
          <w:rFonts w:hint="eastAsia" w:ascii="仿宋_GB2312" w:hAnsi="微软雅黑" w:eastAsia="仿宋_GB2312" w:cs="仿宋_GB2312"/>
          <w:color w:val="444444"/>
          <w:kern w:val="0"/>
          <w:sz w:val="28"/>
          <w:szCs w:val="28"/>
          <w:shd w:val="clear" w:color="auto" w:fill="FFFFFF"/>
          <w:lang w:val="en-US" w:eastAsia="zh-CN"/>
        </w:rPr>
      </w:pPr>
      <w:r>
        <w:rPr>
          <w:rFonts w:hint="eastAsia" w:ascii="仿宋_GB2312" w:hAnsi="微软雅黑" w:eastAsia="仿宋_GB2312" w:cs="仿宋_GB2312"/>
          <w:color w:val="444444"/>
          <w:kern w:val="0"/>
          <w:sz w:val="28"/>
          <w:szCs w:val="28"/>
          <w:shd w:val="clear" w:color="auto" w:fill="FFFFFF"/>
        </w:rPr>
        <w:t>2021年度</w:t>
      </w:r>
      <w:r>
        <w:rPr>
          <w:rFonts w:ascii="仿宋_GB2312" w:hAnsi="微软雅黑" w:eastAsia="仿宋_GB2312" w:cs="仿宋_GB2312"/>
          <w:color w:val="444444"/>
          <w:kern w:val="0"/>
          <w:sz w:val="28"/>
          <w:szCs w:val="28"/>
          <w:shd w:val="clear" w:color="auto" w:fill="FFFFFF"/>
        </w:rPr>
        <w:t>本单位</w:t>
      </w:r>
      <w:bookmarkStart w:id="0" w:name="_GoBack"/>
      <w:bookmarkEnd w:id="0"/>
      <w:r>
        <w:rPr>
          <w:rFonts w:ascii="仿宋_GB2312" w:hAnsi="微软雅黑" w:eastAsia="仿宋_GB2312" w:cs="仿宋_GB2312"/>
          <w:color w:val="444444"/>
          <w:kern w:val="0"/>
          <w:sz w:val="28"/>
          <w:szCs w:val="28"/>
          <w:shd w:val="clear" w:color="auto" w:fill="FFFFFF"/>
        </w:rPr>
        <w:t>项目</w:t>
      </w:r>
      <w:r>
        <w:rPr>
          <w:rFonts w:hint="eastAsia" w:ascii="仿宋_GB2312" w:hAnsi="微软雅黑" w:eastAsia="仿宋_GB2312" w:cs="仿宋_GB2312"/>
          <w:color w:val="444444"/>
          <w:kern w:val="0"/>
          <w:sz w:val="28"/>
          <w:szCs w:val="28"/>
          <w:shd w:val="clear" w:color="auto" w:fill="FFFFFF"/>
        </w:rPr>
        <w:t>支出</w:t>
      </w:r>
      <w:r>
        <w:rPr>
          <w:rFonts w:hint="eastAsia" w:ascii="仿宋_GB2312" w:hAnsi="微软雅黑" w:eastAsia="仿宋_GB2312" w:cs="仿宋_GB2312"/>
          <w:color w:val="444444"/>
          <w:kern w:val="0"/>
          <w:sz w:val="28"/>
          <w:szCs w:val="28"/>
          <w:shd w:val="clear" w:color="auto" w:fill="FFFFFF"/>
          <w:lang w:val="en-US" w:eastAsia="zh-CN"/>
        </w:rPr>
        <w:t>0</w:t>
      </w:r>
      <w:r>
        <w:rPr>
          <w:rFonts w:hint="eastAsia" w:ascii="仿宋_GB2312" w:hAnsi="微软雅黑" w:eastAsia="仿宋_GB2312" w:cs="仿宋_GB2312"/>
          <w:color w:val="444444"/>
          <w:kern w:val="0"/>
          <w:sz w:val="28"/>
          <w:szCs w:val="28"/>
          <w:shd w:val="clear" w:color="auto" w:fill="FFFFFF"/>
        </w:rPr>
        <w:t>万元，项目支出</w:t>
      </w:r>
      <w:r>
        <w:rPr>
          <w:rFonts w:ascii="仿宋_GB2312" w:hAnsi="微软雅黑" w:eastAsia="仿宋_GB2312" w:cs="仿宋_GB2312"/>
          <w:color w:val="444444"/>
          <w:kern w:val="0"/>
          <w:sz w:val="28"/>
          <w:szCs w:val="28"/>
          <w:shd w:val="clear" w:color="auto" w:fill="FFFFFF"/>
        </w:rPr>
        <w:t>为专项经费全部用于专项工作，严格遵循项目管理制度</w:t>
      </w:r>
      <w:r>
        <w:rPr>
          <w:rFonts w:hint="eastAsia" w:ascii="仿宋_GB2312" w:hAnsi="微软雅黑" w:eastAsia="仿宋_GB2312" w:cs="仿宋_GB2312"/>
          <w:color w:val="444444"/>
          <w:kern w:val="0"/>
          <w:sz w:val="28"/>
          <w:szCs w:val="28"/>
          <w:shd w:val="clear" w:color="auto" w:fill="FFFFFF"/>
          <w:lang w:val="en-US" w:eastAsia="zh-CN"/>
        </w:rPr>
        <w:t>.</w:t>
      </w: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3、三公经费的支出情况</w:t>
      </w:r>
    </w:p>
    <w:p>
      <w:pPr>
        <w:pStyle w:val="1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00"/>
        <w:jc w:val="both"/>
        <w:rPr>
          <w:rFonts w:hint="default" w:ascii="仿宋_GB2312" w:hAnsi="微软雅黑" w:eastAsia="仿宋_GB2312" w:cs="仿宋_GB2312"/>
          <w:color w:val="444444"/>
          <w:sz w:val="28"/>
          <w:szCs w:val="28"/>
          <w:shd w:val="clear" w:color="auto" w:fill="FFFFFF"/>
        </w:rPr>
      </w:pPr>
      <w:r>
        <w:rPr>
          <w:rFonts w:ascii="仿宋_GB2312" w:hAnsi="微软雅黑" w:eastAsia="仿宋_GB2312" w:cs="仿宋_GB2312"/>
          <w:color w:val="444444"/>
          <w:sz w:val="28"/>
          <w:szCs w:val="28"/>
          <w:shd w:val="clear" w:color="auto" w:fill="FFFFFF"/>
        </w:rPr>
        <w:t>按照财政要求，2021年预决算及三公经费均在网站上实行公开。严格控制三公经费支出，公务接待报账必须附公函、招待审批单及菜单。从三公经费的使用情况来看，2021年度公务招待费</w:t>
      </w:r>
      <w:r>
        <w:rPr>
          <w:rFonts w:hint="eastAsia" w:ascii="仿宋_GB2312" w:hAnsi="微软雅黑" w:eastAsia="仿宋_GB2312" w:cs="仿宋_GB2312"/>
          <w:color w:val="444444"/>
          <w:sz w:val="28"/>
          <w:szCs w:val="28"/>
          <w:shd w:val="clear" w:color="auto" w:fill="FFFFFF"/>
          <w:lang w:val="en-US" w:eastAsia="zh-CN"/>
        </w:rPr>
        <w:t>0</w:t>
      </w:r>
      <w:r>
        <w:rPr>
          <w:rFonts w:ascii="仿宋_GB2312" w:hAnsi="微软雅黑" w:eastAsia="仿宋_GB2312" w:cs="仿宋_GB2312"/>
          <w:color w:val="444444"/>
          <w:sz w:val="28"/>
          <w:szCs w:val="28"/>
          <w:shd w:val="clear" w:color="auto" w:fill="FFFFFF"/>
        </w:rPr>
        <w:t>万元、出国（境）费0元、公务车运行费0万元，分别占机关运行经费</w:t>
      </w:r>
      <w:r>
        <w:rPr>
          <w:rFonts w:hint="eastAsia" w:ascii="仿宋_GB2312" w:hAnsi="微软雅黑" w:eastAsia="仿宋_GB2312" w:cs="仿宋_GB2312"/>
          <w:color w:val="444444"/>
          <w:sz w:val="28"/>
          <w:szCs w:val="28"/>
          <w:shd w:val="clear" w:color="auto" w:fill="FFFFFF"/>
          <w:lang w:val="en-US" w:eastAsia="zh-CN"/>
        </w:rPr>
        <w:t>59.76</w:t>
      </w:r>
      <w:r>
        <w:rPr>
          <w:rFonts w:ascii="仿宋_GB2312" w:hAnsi="微软雅黑" w:eastAsia="仿宋_GB2312" w:cs="仿宋_GB2312"/>
          <w:color w:val="444444"/>
          <w:sz w:val="28"/>
          <w:szCs w:val="28"/>
          <w:shd w:val="clear" w:color="auto" w:fill="FFFFFF"/>
        </w:rPr>
        <w:t>万元的</w:t>
      </w:r>
      <w:r>
        <w:rPr>
          <w:rFonts w:hint="eastAsia" w:ascii="仿宋_GB2312" w:hAnsi="微软雅黑" w:eastAsia="仿宋_GB2312" w:cs="仿宋_GB2312"/>
          <w:color w:val="444444"/>
          <w:sz w:val="28"/>
          <w:szCs w:val="28"/>
          <w:shd w:val="clear" w:color="auto" w:fill="FFFFFF"/>
          <w:lang w:val="en-US" w:eastAsia="zh-CN"/>
        </w:rPr>
        <w:t>0.00</w:t>
      </w:r>
      <w:r>
        <w:rPr>
          <w:rFonts w:ascii="仿宋_GB2312" w:hAnsi="微软雅黑" w:eastAsia="仿宋_GB2312" w:cs="仿宋_GB2312"/>
          <w:color w:val="444444"/>
          <w:sz w:val="28"/>
          <w:szCs w:val="28"/>
          <w:shd w:val="clear" w:color="auto" w:fill="FFFFFF"/>
        </w:rPr>
        <w:t>%、0.00%、0.00%， 2021年“三公”经费较2020年减少</w:t>
      </w:r>
      <w:r>
        <w:rPr>
          <w:rFonts w:hint="eastAsia" w:ascii="仿宋_GB2312" w:hAnsi="微软雅黑" w:eastAsia="仿宋_GB2312" w:cs="仿宋_GB2312"/>
          <w:color w:val="444444"/>
          <w:sz w:val="28"/>
          <w:szCs w:val="28"/>
          <w:shd w:val="clear" w:color="auto" w:fill="FFFFFF"/>
          <w:lang w:val="en-US" w:eastAsia="zh-CN"/>
        </w:rPr>
        <w:t>0.48</w:t>
      </w:r>
      <w:r>
        <w:rPr>
          <w:rFonts w:ascii="仿宋_GB2312" w:hAnsi="微软雅黑" w:eastAsia="仿宋_GB2312" w:cs="仿宋_GB2312"/>
          <w:color w:val="444444"/>
          <w:sz w:val="28"/>
          <w:szCs w:val="28"/>
          <w:shd w:val="clear" w:color="auto" w:fill="FFFFFF"/>
        </w:rPr>
        <w:t>万元，下降</w:t>
      </w:r>
      <w:r>
        <w:rPr>
          <w:rFonts w:hint="eastAsia" w:ascii="仿宋_GB2312" w:hAnsi="微软雅黑" w:eastAsia="仿宋_GB2312" w:cs="仿宋_GB2312"/>
          <w:color w:val="444444"/>
          <w:sz w:val="28"/>
          <w:szCs w:val="28"/>
          <w:shd w:val="clear" w:color="auto" w:fill="FFFFFF"/>
          <w:lang w:val="en-US" w:eastAsia="zh-CN"/>
        </w:rPr>
        <w:t>100%</w:t>
      </w:r>
      <w:r>
        <w:rPr>
          <w:rFonts w:ascii="仿宋_GB2312" w:hAnsi="微软雅黑" w:eastAsia="仿宋_GB2312" w:cs="仿宋_GB2312"/>
          <w:color w:val="444444"/>
          <w:sz w:val="28"/>
          <w:szCs w:val="28"/>
          <w:shd w:val="clear" w:color="auto" w:fill="FFFFFF"/>
        </w:rPr>
        <w:t>，原因是：2021年</w:t>
      </w:r>
      <w:r>
        <w:rPr>
          <w:rFonts w:hint="eastAsia" w:ascii="仿宋_GB2312" w:hAnsi="微软雅黑" w:eastAsia="仿宋_GB2312" w:cs="仿宋_GB2312"/>
          <w:color w:val="444444"/>
          <w:sz w:val="28"/>
          <w:szCs w:val="28"/>
          <w:shd w:val="clear" w:color="auto" w:fill="FFFFFF"/>
        </w:rPr>
        <w:t>我</w:t>
      </w:r>
      <w:r>
        <w:rPr>
          <w:rFonts w:hint="eastAsia" w:ascii="仿宋_GB2312" w:hAnsi="微软雅黑" w:eastAsia="仿宋_GB2312" w:cs="仿宋_GB2312"/>
          <w:color w:val="444444"/>
          <w:sz w:val="28"/>
          <w:szCs w:val="28"/>
          <w:shd w:val="clear" w:color="auto" w:fill="FFFFFF"/>
          <w:lang w:val="en-US" w:eastAsia="zh-CN"/>
        </w:rPr>
        <w:t>部</w:t>
      </w:r>
      <w:r>
        <w:rPr>
          <w:rFonts w:hint="eastAsia" w:ascii="仿宋_GB2312" w:hAnsi="微软雅黑" w:eastAsia="仿宋_GB2312" w:cs="仿宋_GB2312"/>
          <w:color w:val="444444"/>
          <w:sz w:val="28"/>
          <w:szCs w:val="28"/>
          <w:shd w:val="clear" w:color="auto" w:fill="FFFFFF"/>
        </w:rPr>
        <w:t>按照中央、省委、省政府要求，厉行节约，继续严控“三公”经费。</w:t>
      </w: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4、资金管理情况  </w:t>
      </w: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根据《会计法》、《预算法》、《行政单位会计制度》等法律和财政部及省财政厅有关财务规章的规定，我</w:t>
      </w:r>
      <w:r>
        <w:rPr>
          <w:rFonts w:hint="eastAsia" w:ascii="仿宋_GB2312" w:hAnsi="微软雅黑" w:eastAsia="仿宋_GB2312" w:cs="仿宋_GB2312"/>
          <w:color w:val="444444"/>
          <w:kern w:val="0"/>
          <w:sz w:val="28"/>
          <w:szCs w:val="28"/>
          <w:shd w:val="clear" w:color="auto" w:fill="FFFFFF"/>
          <w:lang w:val="en-US" w:eastAsia="zh-CN"/>
        </w:rPr>
        <w:t>部</w:t>
      </w:r>
      <w:r>
        <w:rPr>
          <w:rFonts w:hint="eastAsia" w:ascii="仿宋_GB2312" w:hAnsi="微软雅黑" w:eastAsia="仿宋_GB2312" w:cs="仿宋_GB2312"/>
          <w:color w:val="444444"/>
          <w:kern w:val="0"/>
          <w:sz w:val="28"/>
          <w:szCs w:val="28"/>
          <w:shd w:val="clear" w:color="auto" w:fill="FFFFFF"/>
        </w:rPr>
        <w:t>完善了</w:t>
      </w:r>
      <w:r>
        <w:rPr>
          <w:rFonts w:hint="eastAsia" w:ascii="仿宋_GB2312" w:hAnsi="微软雅黑" w:eastAsia="仿宋_GB2312" w:cs="仿宋_GB2312"/>
          <w:color w:val="444444"/>
          <w:kern w:val="0"/>
          <w:sz w:val="28"/>
          <w:szCs w:val="28"/>
          <w:shd w:val="clear" w:color="auto" w:fill="FFFFFF"/>
          <w:lang w:val="en-US" w:eastAsia="zh-CN"/>
        </w:rPr>
        <w:t>单位</w:t>
      </w:r>
      <w:r>
        <w:rPr>
          <w:rFonts w:hint="eastAsia" w:ascii="仿宋_GB2312" w:hAnsi="微软雅黑" w:eastAsia="仿宋_GB2312" w:cs="仿宋_GB2312"/>
          <w:color w:val="444444"/>
          <w:kern w:val="0"/>
          <w:sz w:val="28"/>
          <w:szCs w:val="28"/>
          <w:shd w:val="clear" w:color="auto" w:fill="FFFFFF"/>
        </w:rPr>
        <w:t xml:space="preserve">财务管理制度。制度明确了经费审批权限和程序，规范了财务报账流程，对公务接待、公务租车、差旅费、培训费等开支进一步细化管理，确保资金在制度下运行、在监督下运行、在阳光下运行。 </w:t>
      </w:r>
    </w:p>
    <w:p>
      <w:pPr>
        <w:widowControl/>
        <w:shd w:val="clear" w:color="auto" w:fill="FFFFFF"/>
        <w:spacing w:line="579" w:lineRule="atLeast"/>
        <w:jc w:val="left"/>
        <w:rPr>
          <w:rFonts w:ascii="楷体_GB2312" w:hAnsi="微软雅黑" w:eastAsia="楷体_GB2312" w:cs="楷体_GB2312"/>
          <w:b/>
          <w:color w:val="444444"/>
          <w:kern w:val="0"/>
          <w:sz w:val="28"/>
          <w:szCs w:val="28"/>
          <w:shd w:val="clear" w:color="auto" w:fill="FFFFFF"/>
        </w:rPr>
      </w:pPr>
      <w:r>
        <w:rPr>
          <w:rFonts w:hint="eastAsia" w:ascii="楷体_GB2312" w:hAnsi="微软雅黑" w:eastAsia="楷体_GB2312" w:cs="楷体_GB2312"/>
          <w:b/>
          <w:color w:val="444444"/>
          <w:kern w:val="0"/>
          <w:sz w:val="28"/>
          <w:szCs w:val="28"/>
          <w:shd w:val="clear" w:color="auto" w:fill="FFFFFF"/>
        </w:rPr>
        <w:t>三、资产管理情况</w:t>
      </w: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w:t>
      </w:r>
      <w:r>
        <w:rPr>
          <w:rFonts w:hint="eastAsia" w:ascii="仿宋_GB2312" w:hAnsi="微软雅黑" w:eastAsia="仿宋_GB2312" w:cs="仿宋_GB2312"/>
          <w:color w:val="444444"/>
          <w:kern w:val="0"/>
          <w:sz w:val="28"/>
          <w:szCs w:val="28"/>
          <w:shd w:val="clear" w:color="auto" w:fill="FFFFFF"/>
          <w:lang w:val="en-US" w:eastAsia="zh-CN"/>
        </w:rPr>
        <w:t>我部</w:t>
      </w:r>
      <w:r>
        <w:rPr>
          <w:rFonts w:hint="eastAsia" w:ascii="仿宋_GB2312" w:hAnsi="微软雅黑" w:eastAsia="仿宋_GB2312" w:cs="仿宋_GB2312"/>
          <w:color w:val="444444"/>
          <w:kern w:val="0"/>
          <w:sz w:val="28"/>
          <w:szCs w:val="28"/>
          <w:shd w:val="clear" w:color="auto" w:fill="FFFFFF"/>
        </w:rPr>
        <w:t>资产采购及管理分岗位负责，资产配置、管理、处置严格按照政府采购及资产管理办法程序办理。资产系统与会计账务的固定资产数据一致。我部资产管理由办公室负责，资产采购按程序实行报批采购，采购后登记造册，再派发到相关科室。我部资产配置合理、保存完整、处置规范、账实相符。202</w:t>
      </w:r>
      <w:r>
        <w:rPr>
          <w:rFonts w:hint="eastAsia" w:ascii="仿宋_GB2312" w:hAnsi="微软雅黑" w:eastAsia="仿宋_GB2312" w:cs="仿宋_GB2312"/>
          <w:color w:val="444444"/>
          <w:kern w:val="0"/>
          <w:sz w:val="28"/>
          <w:szCs w:val="28"/>
          <w:shd w:val="clear" w:color="auto" w:fill="FFFFFF"/>
          <w:lang w:val="en-US" w:eastAsia="zh-CN"/>
        </w:rPr>
        <w:t>1</w:t>
      </w:r>
      <w:r>
        <w:rPr>
          <w:rFonts w:hint="eastAsia" w:ascii="仿宋_GB2312" w:hAnsi="微软雅黑" w:eastAsia="仿宋_GB2312" w:cs="仿宋_GB2312"/>
          <w:color w:val="444444"/>
          <w:kern w:val="0"/>
          <w:sz w:val="28"/>
          <w:szCs w:val="28"/>
          <w:shd w:val="clear" w:color="auto" w:fill="FFFFFF"/>
        </w:rPr>
        <w:t>年我部全面开展固定资产清理工作，对固定资产进行盘点，对调拨和处置的固定资产进行了账务处理。</w:t>
      </w:r>
    </w:p>
    <w:p>
      <w:pPr>
        <w:widowControl/>
        <w:shd w:val="clear" w:color="auto" w:fill="FFFFFF"/>
        <w:spacing w:line="579" w:lineRule="atLeast"/>
        <w:jc w:val="left"/>
        <w:rPr>
          <w:rFonts w:ascii="楷体_GB2312" w:hAnsi="微软雅黑" w:eastAsia="楷体_GB2312" w:cs="楷体_GB2312"/>
          <w:b/>
          <w:color w:val="444444"/>
          <w:kern w:val="0"/>
          <w:sz w:val="28"/>
          <w:szCs w:val="28"/>
          <w:shd w:val="clear" w:color="auto" w:fill="FFFFFF"/>
        </w:rPr>
      </w:pPr>
      <w:r>
        <w:rPr>
          <w:rFonts w:hint="eastAsia" w:ascii="楷体_GB2312" w:hAnsi="微软雅黑" w:eastAsia="楷体_GB2312" w:cs="楷体_GB2312"/>
          <w:b/>
          <w:color w:val="444444"/>
          <w:kern w:val="0"/>
          <w:sz w:val="28"/>
          <w:szCs w:val="28"/>
          <w:shd w:val="clear" w:color="auto" w:fill="FFFFFF"/>
        </w:rPr>
        <w:t>四、绩效评价工作情况</w:t>
      </w: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我部整体绩效评价工作情况：一是职责履行良好。积极开展统战工作，按时按质完成统战工作调研，支持各民主党派开展活动，完善自身组织建设；促进民族宗教领域和谐稳定；促进非公经济健康发展；做好全</w:t>
      </w:r>
      <w:r>
        <w:rPr>
          <w:rFonts w:hint="eastAsia" w:ascii="仿宋_GB2312" w:hAnsi="微软雅黑" w:eastAsia="仿宋_GB2312" w:cs="仿宋_GB2312"/>
          <w:color w:val="444444"/>
          <w:kern w:val="0"/>
          <w:sz w:val="28"/>
          <w:szCs w:val="28"/>
          <w:shd w:val="clear" w:color="auto" w:fill="FFFFFF"/>
          <w:lang w:val="en-US" w:eastAsia="zh-CN"/>
        </w:rPr>
        <w:t>区</w:t>
      </w:r>
      <w:r>
        <w:rPr>
          <w:rFonts w:hint="eastAsia" w:ascii="仿宋_GB2312" w:hAnsi="微软雅黑" w:eastAsia="仿宋_GB2312" w:cs="仿宋_GB2312"/>
          <w:color w:val="444444"/>
          <w:kern w:val="0"/>
          <w:sz w:val="28"/>
          <w:szCs w:val="28"/>
          <w:shd w:val="clear" w:color="auto" w:fill="FFFFFF"/>
        </w:rPr>
        <w:t>海外统战工作，积极联络港澳台侨人士，做好新的社会阶层人士等各领域统战业务工作。二是统战成员凝心聚力，为经济发展做出贡献；统战宣传影响力进一步扩大</w:t>
      </w:r>
      <w:r>
        <w:rPr>
          <w:rFonts w:hint="eastAsia" w:ascii="仿宋_GB2312" w:hAnsi="微软雅黑" w:eastAsia="仿宋_GB2312" w:cs="仿宋_GB2312"/>
          <w:color w:val="444444"/>
          <w:kern w:val="0"/>
          <w:sz w:val="28"/>
          <w:szCs w:val="28"/>
          <w:shd w:val="clear" w:color="auto" w:fill="FFFFFF"/>
          <w:lang w:eastAsia="zh-CN"/>
        </w:rPr>
        <w:t>。</w:t>
      </w:r>
      <w:r>
        <w:rPr>
          <w:rFonts w:hint="eastAsia" w:ascii="仿宋_GB2312" w:hAnsi="微软雅黑" w:eastAsia="仿宋_GB2312" w:cs="仿宋_GB2312"/>
          <w:color w:val="444444"/>
          <w:kern w:val="0"/>
          <w:sz w:val="28"/>
          <w:szCs w:val="28"/>
          <w:shd w:val="clear" w:color="auto" w:fill="FFFFFF"/>
        </w:rPr>
        <w:t>三是部门预算要与履职目标衔接紧密，编制依据充分、数据详实、结构优化、细化可执行；严格“三公经费”管理和使用。四是严格按照政府信息公开有关规定公开相关预决算信息；部门使用预算资金符合相关的财务管理制度的规定。</w:t>
      </w:r>
    </w:p>
    <w:p>
      <w:pPr>
        <w:widowControl/>
        <w:shd w:val="clear" w:color="auto" w:fill="FFFFFF"/>
        <w:spacing w:line="579" w:lineRule="atLeast"/>
        <w:jc w:val="left"/>
        <w:rPr>
          <w:rFonts w:ascii="楷体_GB2312" w:hAnsi="微软雅黑" w:eastAsia="楷体_GB2312" w:cs="楷体_GB2312"/>
          <w:b/>
          <w:color w:val="444444"/>
          <w:kern w:val="0"/>
          <w:sz w:val="28"/>
          <w:szCs w:val="28"/>
          <w:shd w:val="clear" w:color="auto" w:fill="FFFFFF"/>
        </w:rPr>
      </w:pPr>
      <w:r>
        <w:rPr>
          <w:rFonts w:hint="eastAsia" w:ascii="楷体_GB2312" w:hAnsi="微软雅黑" w:eastAsia="楷体_GB2312" w:cs="楷体_GB2312"/>
          <w:b/>
          <w:color w:val="444444"/>
          <w:kern w:val="0"/>
          <w:sz w:val="28"/>
          <w:szCs w:val="28"/>
          <w:shd w:val="clear" w:color="auto" w:fill="FFFFFF"/>
        </w:rPr>
        <w:t>五、综合评价情况及评价结论</w:t>
      </w: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1.绩效目标的实现情况。统一战线各项工作平稳有序发展。2.经济效益。民主党派、非公经济、新的社会阶层等统战人士在脱贫攻坚、助学济困、社会服务等方面彰显作用。3.社会效益。统一战线宣传影响力进一步扩大。4.行政效能：统战部机关不断改善行政管理、严格经费及资产管理，厉行节约，提高了行政效率，降低了行政成本。根据对我部部门整体支出项目绩效评价指标体系和绩效情况的检查，我部部门整体绩效自评分99分。</w:t>
      </w:r>
    </w:p>
    <w:p>
      <w:pPr>
        <w:widowControl/>
        <w:numPr>
          <w:ilvl w:val="0"/>
          <w:numId w:val="2"/>
        </w:numPr>
        <w:shd w:val="clear" w:color="auto" w:fill="FFFFFF"/>
        <w:spacing w:line="579" w:lineRule="atLeast"/>
        <w:jc w:val="left"/>
        <w:rPr>
          <w:rFonts w:ascii="楷体_GB2312" w:hAnsi="微软雅黑" w:eastAsia="楷体_GB2312" w:cs="楷体_GB2312"/>
          <w:b/>
          <w:color w:val="444444"/>
          <w:kern w:val="0"/>
          <w:sz w:val="28"/>
          <w:szCs w:val="28"/>
          <w:shd w:val="clear" w:color="auto" w:fill="FFFFFF"/>
        </w:rPr>
      </w:pPr>
      <w:r>
        <w:rPr>
          <w:rFonts w:hint="eastAsia" w:ascii="楷体_GB2312" w:hAnsi="微软雅黑" w:eastAsia="楷体_GB2312" w:cs="楷体_GB2312"/>
          <w:b/>
          <w:color w:val="444444"/>
          <w:kern w:val="0"/>
          <w:sz w:val="28"/>
          <w:szCs w:val="28"/>
          <w:shd w:val="clear" w:color="auto" w:fill="FFFFFF"/>
        </w:rPr>
        <w:t>部门整体支出主要绩效</w:t>
      </w:r>
    </w:p>
    <w:p>
      <w:pPr>
        <w:widowControl/>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（一）将《条例》作为引领发展的方向指引，广泛凝聚共识</w:t>
      </w:r>
    </w:p>
    <w:p>
      <w:pPr>
        <w:widowControl/>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深入开展《中国共产党统一战线工作条例》学习宣传工作，推动《条例》内容落实落地，为凝聚统战力量打下坚实基础。强化条例学习，结合党史学习教育，把《条例》列入区委常委会会议、区委理论学习中心组会议的重点学习计划，结合党校主体班培训，把《条例》列入全区科级干部年度培训计划，纳入区委党校教学内容，结合统战领域宗教法规知识培训，把《条例》纳入下基层宣讲活动计划，开展送学《条例》进机关、进乡村、进社区、进宗教场所等，确保《条例》学习全覆盖。营造良好宣传氛围，运用“线下+线上”、自媒体、微信平台等多种形式开展《条例》学习宣传，形成良好的宣传舆论氛围。坚持把深入学习宣传《条例》和建党100周年系列宣传报道、铸牢中华民族共同体意识教育和中华优秀传统文化结合起来，传承红色基因，弘扬伟大长征精神，全面宣传《条例》修订的重大意义、主要内容；以区委统战部为主阵地，将《中国共产党统一战线工作条例》内容上墙，打造统战工作文化墙，宣传角。坚持综合运用区政府工作网站、精美北塔新媒体，大力宣传和解读阐述《条例》，协调融媒体中心开设专题专栏，在全社会营造知《条例》、学《条例》、用《条例》的浓厚氛围，确保宣传有实效、有亮点、有特色。强化责任担当，在全区统战工作会上对《中国共产党统一战线工作条例》学习贯彻进行专题部署，通过领导干部讲党课、开展专题辅导等形式提升党员干部对条例内容的掌握和理解。将《条例》的学习贯彻作为年终绩效考核重要内容，纳入各级领导班子绩效考核体系和各级党组巡察范围，以有力的监督检查推动《条例》各项要求落地落实。</w:t>
      </w:r>
    </w:p>
    <w:p>
      <w:pPr>
        <w:widowControl/>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（二）优化党外干部队伍建设，有条不紊完成换届工作</w:t>
      </w:r>
    </w:p>
    <w:p>
      <w:pPr>
        <w:widowControl/>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优化队伍架构，配齐党外干部。完善统战部牵头、各相关部门共同参与的党外人士培养联动机制，进一步发现储备培养人才，对党外代表人士进行共同物色、联合选拔，按照政策要求配备党外干部。目前，区人大、政府、政协按要求配齐了党外领导副职，区法院、区检察院均配备党外班子成员副职，区人大、区政协配备了党外委室主任。同时，成立北塔区统战事务中心，核定事业单位编制2名，目前人员已配备到位，进一步充实了统战队伍。整合资源力量，圆满完成换届。今年是换届之年，各民主党派、工商联圆满完成了换届工作。选举产生了新一届领导班子，顺利实现了各民主党派、工商联组织的新老更替和政治交接，为全区多党合作事业的可持续发展奠定了坚实基础。同时，以高度的政治责任感和紧迫感，周密安排好本届人大、政协换届工作。对本届党外人士安排情况进行全面摸底调查，掌握党外代表人士情况 ，完善了党外代表人士人才库。认真完成非公经济代表人士综合评价工作，并听取工商联、各民主党派、知联会等相关单位的意见，坚持政治标准，切实把政治上能够与党同心同德、有较强的参政议政能力，德才兼备的优秀党外人士选拔上来。今年换届，选举产生区人大代表163人，党外代表63人，占比40%；区政协委员共计147人，党外委员88人，占比60%。</w:t>
      </w:r>
    </w:p>
    <w:p>
      <w:pPr>
        <w:widowControl/>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（三）聚焦促进“两个健康”发展，推动民营经济提档升级</w:t>
      </w:r>
    </w:p>
    <w:p>
      <w:pPr>
        <w:widowControl/>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优化营商环境。区委统战部、区工商联联合区人民法院、区人社局、区总工会、区司法局分别建立完善司法保障工作机制、劳动关系预警机制和“法治体检”常态化机制。构建亲情政商关系，优化营商环境，邀请来自建筑业、制造业、商贸业等33家非公企业代表开展“廉洁清风进企业、凝心聚力促发展”座谈会，并签订《非公经济人士廉洁从业承诺书》，倡导企业诚信经营、廉洁治企。引导思源感恩促同行。完善机制，搭建平台，宣传引导民营经济人士积极参与“万企兴万村”、扶贫帮困、捐资助学等行动。十余家企业以就业帮扶形式共解决200余名贫困户就业难题；举行“同心助学·书香满校园”爱心捐赠活动；发动非公人士参与李子塘村首届黄桃文化旅游节，助力乡村振兴和同心美丽乡村建设。调研走访强本领。联同区发改局组建服务工作组，与辖区企业进行“一对一”联系服务。结合“我为群众办实事”活动开展常态化走访，掌握非公人士思想动态，听取意见建议，帮助企业纾困解难，截至目前共走访企业64家。通过考察学习，形成调研心得4篇，总结报告1篇。组织区内20家民营企业面对面开展座谈，推动金融与实体经济互利双赢、共同发展。组织企业家完成4项由中央、省发起的主题调研，为上级制定优化营商环境政策提供了真实依据。</w:t>
      </w:r>
    </w:p>
    <w:p>
      <w:pPr>
        <w:widowControl/>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（四）落实民宗领域管控措施，确保社会环境和谐稳定</w:t>
      </w:r>
    </w:p>
    <w:p>
      <w:pPr>
        <w:widowControl/>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推进民族团结创建工作。加强教育引导，开展了各级统战干部、宗教专干、宗教人士政策培训讲堂20余次，主题宣传教育活动10余次。同时，扎实开展民族团结进步创建进校园、进宗教场所、进乡村活动。茶元头中学成功创建“民族团结进步示范学校”，持续推进马家村“民族团结进步示范社区（村）”、清真西寺“民族团结进步示范宗教活动场所”市级示范点创建工作。抓实宗教领域风险管控。一方面，推进宗教领域网格化管理体系建设，建立了宗教领域区、镇（街道）、村（社区）三级网络管理和镇（街道）、村(社区)两级责任制，形成上下联动、相互配合、协调有力的管理工作机制。截止目前，全区1镇4街道38个社区已建档立册，确保全区宗教工作“层层有人管、事事有人抓、处处全覆盖”。另一方面，加强依法管理，指导区宗教界加强教风建设和宗教活动场所管理，集中力量解决宗教领域突出问题，联合公安国保、网信、市场监管等有关部门开展打击非法宗教活动、防境外宗教势力“渗透”等专项行动，进一步维护了宗教领域和谐稳定。</w:t>
      </w:r>
    </w:p>
    <w:p>
      <w:pPr>
        <w:widowControl/>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（五）主动谋划服务好中心大局，创新亮点工作有声有色</w:t>
      </w:r>
    </w:p>
    <w:p>
      <w:pPr>
        <w:widowControl/>
        <w:shd w:val="clear" w:color="auto" w:fill="FFFFFF"/>
        <w:spacing w:line="579" w:lineRule="atLeast"/>
        <w:jc w:val="left"/>
        <w:rPr>
          <w:rFonts w:ascii="黑体" w:hAnsi="宋体" w:eastAsia="黑体" w:cs="黑体"/>
          <w:color w:val="C00000"/>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党外人士咨政建言，牵头组织党外代表人士召开协商座谈会、征求意见会、情况通报会等3次,聚焦常态化疫情防控、公共法律服务、民生改善、乡村振兴、民营经济等重点领域，深入调查研究，积极建言献策，形成调研报告6篇。在北塔发展大家谈活动中，提出服务中心大局意见建议20余条，党外人士提出的5条建言献策获评“金点子建议”。区级党外代表、委员“两会”期间共提交了建议意见60余条，为全区“十四五”开好局起好步贡献了统战智慧和力量。深入推动“统战+”深度融合发展，实现与基层党建、创建文明城市、社会治理有机融合，建好“同心”阵地，不断提高统战工作与中心工作的融合度，全力构建统战工作新格局。打造李子塘、贺井、光裕村同心美丽乡村示范片区，巩固拓展脱贫攻坚与乡村振兴有效衔接，李子塘村成功创建省级同心美丽乡村；以铸牢中华民族共同体意识为纲，培育创建特色品牌，茶元小学成功创建市级民族团结创建学校；积极创建马家村示范点，发展少数民族文化；大力实施“侨心工程”，资新社区“侨胞之家”正式揭牌，涵养侨务资源；建成我区首个新的社会阶层人士实践创新基地—“君怡礼院”创新基地，我区新的社会阶层人士统战工作迈入新发展阶段。深入联络联谊汇聚侨才。今年7月，我区召开第一次归侨侨眷代表大会，选举产生了北塔区侨联第一届班子，对海外资源进行了全面摸底，经统计，北塔区现有海外华侨53人，归侨2人，归侨侨眷109人,归国留学生20人,港澳台191人，建立华侨、华人及港澳同胞重点人士信息库18人。并组织对有影响力、有代表性的港澳台胞、归侨侨眷、海外侨胞进行有针对性地走访，推介北塔的创新开放政策和营商投资环境，宣传北塔文化和改革发展的新变化、新成就，鼓励港澳同胞和海外侨胞回北塔创新创业。</w:t>
      </w:r>
    </w:p>
    <w:p>
      <w:pPr>
        <w:widowControl/>
        <w:numPr>
          <w:ilvl w:val="0"/>
          <w:numId w:val="2"/>
        </w:numPr>
        <w:shd w:val="clear" w:color="auto" w:fill="FFFFFF"/>
        <w:spacing w:line="579" w:lineRule="atLeast"/>
        <w:jc w:val="left"/>
        <w:rPr>
          <w:rFonts w:ascii="楷体_GB2312" w:hAnsi="微软雅黑" w:eastAsia="楷体_GB2312" w:cs="楷体_GB2312"/>
          <w:b/>
          <w:color w:val="444444"/>
          <w:kern w:val="0"/>
          <w:sz w:val="28"/>
          <w:szCs w:val="28"/>
          <w:shd w:val="clear" w:color="auto" w:fill="FFFFFF"/>
        </w:rPr>
      </w:pPr>
      <w:r>
        <w:rPr>
          <w:rFonts w:hint="eastAsia" w:ascii="楷体_GB2312" w:hAnsi="微软雅黑" w:eastAsia="楷体_GB2312" w:cs="楷体_GB2312"/>
          <w:b/>
          <w:color w:val="444444"/>
          <w:kern w:val="0"/>
          <w:sz w:val="28"/>
          <w:szCs w:val="28"/>
          <w:shd w:val="clear" w:color="auto" w:fill="FFFFFF"/>
        </w:rPr>
        <w:t>存在的问题</w:t>
      </w:r>
    </w:p>
    <w:p>
      <w:pPr>
        <w:widowControl/>
        <w:numPr>
          <w:ilvl w:val="0"/>
          <w:numId w:val="3"/>
        </w:numPr>
        <w:shd w:val="clear" w:color="auto" w:fill="FFFFFF"/>
        <w:spacing w:line="579" w:lineRule="atLeast"/>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统战工作任务艰巨，统战经费需求有缺口。</w:t>
      </w:r>
    </w:p>
    <w:p>
      <w:pPr>
        <w:widowControl/>
        <w:numPr>
          <w:ilvl w:val="0"/>
          <w:numId w:val="3"/>
        </w:numPr>
        <w:shd w:val="clear" w:color="auto" w:fill="FFFFFF"/>
        <w:spacing w:line="579" w:lineRule="atLeast"/>
        <w:ind w:left="0" w:leftChars="0" w:firstLine="0" w:firstLineChars="0"/>
        <w:jc w:val="left"/>
        <w:rPr>
          <w:rFonts w:hint="eastAsia"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没有正式的专职的财务人员，现在财务工作报表任务越来越重，一定程度影响了相关工作的开展。</w:t>
      </w:r>
    </w:p>
    <w:p>
      <w:pPr>
        <w:widowControl/>
        <w:numPr>
          <w:numId w:val="0"/>
        </w:numPr>
        <w:shd w:val="clear" w:color="auto" w:fill="FFFFFF"/>
        <w:spacing w:line="579" w:lineRule="atLeast"/>
        <w:ind w:leftChars="0"/>
        <w:jc w:val="left"/>
        <w:rPr>
          <w:rFonts w:ascii="微软雅黑" w:hAnsi="微软雅黑" w:eastAsia="微软雅黑" w:cs="微软雅黑"/>
          <w:color w:val="C00000"/>
          <w:sz w:val="24"/>
        </w:rPr>
      </w:pPr>
      <w:r>
        <w:rPr>
          <w:rFonts w:hint="eastAsia" w:ascii="仿宋_GB2312" w:hAnsi="微软雅黑" w:eastAsia="仿宋_GB2312" w:cs="仿宋_GB2312"/>
          <w:color w:val="444444"/>
          <w:kern w:val="0"/>
          <w:sz w:val="28"/>
          <w:szCs w:val="28"/>
          <w:shd w:val="clear" w:color="auto" w:fill="FFFFFF"/>
        </w:rPr>
        <w:t>3、固定资产管理效率还有待提高。如机关资产管理的具体工作由办公室实施，但未配备专职的资产管理人员，一人多岗的现象长期存在。</w:t>
      </w:r>
    </w:p>
    <w:p>
      <w:pPr>
        <w:widowControl/>
        <w:numPr>
          <w:ilvl w:val="0"/>
          <w:numId w:val="2"/>
        </w:numPr>
        <w:shd w:val="clear" w:color="auto" w:fill="FFFFFF"/>
        <w:spacing w:line="579" w:lineRule="atLeast"/>
        <w:jc w:val="left"/>
        <w:rPr>
          <w:rFonts w:ascii="楷体_GB2312" w:hAnsi="微软雅黑" w:eastAsia="楷体_GB2312" w:cs="楷体_GB2312"/>
          <w:b/>
          <w:color w:val="444444"/>
          <w:kern w:val="0"/>
          <w:sz w:val="28"/>
          <w:szCs w:val="28"/>
          <w:shd w:val="clear" w:color="auto" w:fill="FFFFFF"/>
        </w:rPr>
      </w:pPr>
      <w:r>
        <w:rPr>
          <w:rFonts w:hint="eastAsia" w:ascii="楷体_GB2312" w:hAnsi="微软雅黑" w:eastAsia="楷体_GB2312" w:cs="楷体_GB2312"/>
          <w:b/>
          <w:color w:val="444444"/>
          <w:kern w:val="0"/>
          <w:sz w:val="28"/>
          <w:szCs w:val="28"/>
          <w:shd w:val="clear" w:color="auto" w:fill="FFFFFF"/>
        </w:rPr>
        <w:t>改进措施和有关建议</w:t>
      </w: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r>
        <w:rPr>
          <w:rFonts w:hint="eastAsia" w:ascii="仿宋_GB2312" w:hAnsi="微软雅黑" w:eastAsia="仿宋_GB2312" w:cs="仿宋_GB2312"/>
          <w:color w:val="444444"/>
          <w:kern w:val="0"/>
          <w:sz w:val="28"/>
          <w:szCs w:val="28"/>
          <w:shd w:val="clear" w:color="auto" w:fill="FFFFFF"/>
        </w:rPr>
        <w:t xml:space="preserve">    根据统战工作性质和实际情况，提高年初部门预算额度，加强部门预算编制的准确度，进一步规范绩效目标编制，在编制项目资金绩效目标时要求指向明确、细化量化、合理可行、相应匹配。认真提高业务水平，更加严格执行预决算，保障各项工作任务圆满完成。 加强监管，定期对资产进行清查，建立资产卡片、做到账实相符。 </w:t>
      </w: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p>
    <w:p>
      <w:pPr>
        <w:widowControl/>
        <w:shd w:val="clear" w:color="auto" w:fill="FFFFFF"/>
        <w:spacing w:line="579" w:lineRule="atLeast"/>
        <w:jc w:val="left"/>
        <w:rPr>
          <w:rFonts w:ascii="仿宋_GB2312" w:hAnsi="微软雅黑" w:eastAsia="仿宋_GB2312" w:cs="仿宋_GB2312"/>
          <w:color w:val="444444"/>
          <w:kern w:val="0"/>
          <w:sz w:val="28"/>
          <w:szCs w:val="28"/>
          <w:shd w:val="clear" w:color="auto" w:fill="FFFFFF"/>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hint="eastAsia" w:ascii="黑体" w:eastAsia="黑体"/>
          <w:sz w:val="32"/>
          <w:szCs w:val="32"/>
        </w:rPr>
      </w:pPr>
    </w:p>
    <w:p>
      <w:pPr>
        <w:rPr>
          <w:rFonts w:ascii="黑体" w:hAnsi="宋体" w:eastAsia="黑体"/>
          <w:sz w:val="32"/>
          <w:szCs w:val="32"/>
        </w:rPr>
      </w:pPr>
      <w:r>
        <w:rPr>
          <w:rFonts w:hint="eastAsia" w:ascii="黑体" w:eastAsia="黑体"/>
          <w:sz w:val="32"/>
          <w:szCs w:val="32"/>
        </w:rPr>
        <w:t>附件3</w:t>
      </w:r>
    </w:p>
    <w:p>
      <w:pPr>
        <w:rPr>
          <w:rFonts w:eastAsia="黑体"/>
          <w:sz w:val="44"/>
        </w:rPr>
      </w:pPr>
    </w:p>
    <w:p>
      <w:pPr>
        <w:rPr>
          <w:rFonts w:eastAsia="黑体"/>
          <w:sz w:val="44"/>
        </w:rPr>
      </w:pPr>
    </w:p>
    <w:p>
      <w:pPr>
        <w:rPr>
          <w:rFonts w:eastAsia="黑体"/>
          <w:sz w:val="44"/>
        </w:rPr>
      </w:pPr>
    </w:p>
    <w:p>
      <w:pPr>
        <w:rPr>
          <w:rFonts w:ascii="宋体" w:hAnsi="宋体"/>
          <w:sz w:val="44"/>
          <w:szCs w:val="44"/>
        </w:rPr>
      </w:pPr>
    </w:p>
    <w:p>
      <w:pPr>
        <w:jc w:val="center"/>
        <w:rPr>
          <w:rFonts w:ascii="宋体" w:hAnsi="宋体"/>
          <w:sz w:val="44"/>
          <w:szCs w:val="44"/>
        </w:rPr>
      </w:pPr>
      <w:r>
        <w:rPr>
          <w:rFonts w:hint="eastAsia" w:ascii="宋体" w:hAnsi="宋体"/>
          <w:sz w:val="44"/>
          <w:szCs w:val="44"/>
        </w:rPr>
        <w:t xml:space="preserve">部门整体支出绩效评价报告   </w:t>
      </w:r>
    </w:p>
    <w:p>
      <w:pPr>
        <w:jc w:val="center"/>
        <w:rPr>
          <w:rFonts w:ascii="宋体" w:hAnsi="宋体"/>
          <w:sz w:val="44"/>
          <w:szCs w:val="44"/>
        </w:rPr>
      </w:pPr>
      <w:r>
        <w:rPr>
          <w:rFonts w:hint="eastAsia" w:ascii="宋体" w:hAnsi="宋体"/>
          <w:sz w:val="44"/>
          <w:szCs w:val="44"/>
        </w:rPr>
        <w:t>（封面）</w:t>
      </w:r>
    </w:p>
    <w:p>
      <w:pPr>
        <w:spacing w:line="1000" w:lineRule="exact"/>
        <w:rPr>
          <w:bCs/>
          <w:sz w:val="32"/>
          <w:szCs w:val="32"/>
          <w:u w:val="single"/>
        </w:rPr>
      </w:pPr>
      <w:r>
        <w:rPr>
          <w:rFonts w:hint="eastAsia"/>
          <w:b/>
          <w:bCs/>
          <w:sz w:val="32"/>
          <w:szCs w:val="32"/>
        </w:rPr>
        <w:t xml:space="preserve">自评单位：   </w:t>
      </w:r>
      <w:r>
        <w:rPr>
          <w:rFonts w:hint="eastAsia"/>
          <w:b/>
          <w:bCs/>
          <w:sz w:val="32"/>
          <w:szCs w:val="32"/>
          <w:lang w:val="en-US" w:eastAsia="zh-CN"/>
        </w:rPr>
        <w:t>北塔区</w:t>
      </w:r>
      <w:r>
        <w:rPr>
          <w:rFonts w:hint="eastAsia"/>
          <w:b/>
          <w:bCs/>
          <w:sz w:val="32"/>
          <w:szCs w:val="32"/>
          <w:u w:val="single"/>
        </w:rPr>
        <w:t>委统战部</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left"/>
        <w:rPr>
          <w:rFonts w:ascii="黑体" w:hAnsi="黑体" w:eastAsia="黑体" w:cs="黑体"/>
          <w:sz w:val="32"/>
          <w:szCs w:val="32"/>
        </w:rPr>
      </w:pPr>
    </w:p>
    <w:p>
      <w:pPr>
        <w:jc w:val="center"/>
        <w:rPr>
          <w:rFonts w:ascii="宋体" w:hAnsi="宋体"/>
          <w:sz w:val="44"/>
          <w:szCs w:val="44"/>
        </w:rPr>
      </w:pPr>
    </w:p>
    <w:p>
      <w:pPr>
        <w:spacing w:line="600" w:lineRule="exact"/>
        <w:rPr>
          <w:sz w:val="36"/>
        </w:rPr>
      </w:pPr>
    </w:p>
    <w:p>
      <w:pPr>
        <w:spacing w:line="600" w:lineRule="exact"/>
        <w:rPr>
          <w:sz w:val="36"/>
        </w:rPr>
      </w:pPr>
    </w:p>
    <w:p>
      <w:pPr>
        <w:widowControl/>
        <w:shd w:val="clear" w:color="auto" w:fill="FFFFFF"/>
        <w:spacing w:line="579" w:lineRule="atLeast"/>
        <w:ind w:firstLine="640"/>
        <w:jc w:val="left"/>
        <w:rPr>
          <w:rFonts w:ascii="微软雅黑" w:hAnsi="微软雅黑" w:eastAsia="微软雅黑" w:cs="微软雅黑"/>
          <w:color w:val="C00000"/>
          <w:sz w:val="24"/>
        </w:rPr>
      </w:pPr>
    </w:p>
    <w:p>
      <w:pPr>
        <w:widowControl/>
        <w:shd w:val="clear" w:color="auto" w:fill="FFFFFF"/>
        <w:ind w:firstLine="640"/>
        <w:jc w:val="center"/>
        <w:rPr>
          <w:rFonts w:ascii="微软雅黑" w:hAnsi="微软雅黑" w:eastAsia="微软雅黑" w:cs="微软雅黑"/>
          <w:color w:val="444444"/>
          <w:sz w:val="24"/>
        </w:rPr>
      </w:pPr>
      <w:r>
        <w:rPr>
          <w:rFonts w:hint="eastAsia" w:ascii="宋体" w:hAnsi="宋体" w:cs="宋体"/>
          <w:color w:val="000000"/>
          <w:kern w:val="0"/>
          <w:sz w:val="32"/>
          <w:szCs w:val="32"/>
          <w:shd w:val="clear" w:color="auto" w:fill="FFFFFF"/>
        </w:rPr>
        <w:t> </w:t>
      </w:r>
    </w:p>
    <w:p>
      <w:pPr>
        <w:widowControl/>
        <w:shd w:val="clear" w:color="auto" w:fill="FFFFFF"/>
        <w:spacing w:line="600" w:lineRule="atLeast"/>
        <w:ind w:firstLine="480"/>
        <w:jc w:val="left"/>
        <w:rPr>
          <w:rFonts w:ascii="微软雅黑" w:hAnsi="微软雅黑" w:eastAsia="微软雅黑" w:cs="微软雅黑"/>
          <w:color w:val="444444"/>
          <w:sz w:val="24"/>
        </w:rPr>
      </w:pPr>
      <w:r>
        <w:rPr>
          <w:rFonts w:hint="eastAsia" w:ascii="宋体" w:hAnsi="宋体" w:cs="宋体"/>
          <w:color w:val="444444"/>
          <w:kern w:val="0"/>
          <w:sz w:val="24"/>
          <w:shd w:val="clear" w:color="auto" w:fill="FFFFFF"/>
        </w:rPr>
        <w:t>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841DAB"/>
    <w:multiLevelType w:val="singleLevel"/>
    <w:tmpl w:val="36841DAB"/>
    <w:lvl w:ilvl="0" w:tentative="0">
      <w:start w:val="1"/>
      <w:numFmt w:val="decimal"/>
      <w:suff w:val="nothing"/>
      <w:lvlText w:val="%1、"/>
      <w:lvlJc w:val="left"/>
    </w:lvl>
  </w:abstractNum>
  <w:abstractNum w:abstractNumId="1">
    <w:nsid w:val="6322D7B0"/>
    <w:multiLevelType w:val="singleLevel"/>
    <w:tmpl w:val="6322D7B0"/>
    <w:lvl w:ilvl="0" w:tentative="0">
      <w:start w:val="2"/>
      <w:numFmt w:val="chineseCounting"/>
      <w:suff w:val="nothing"/>
      <w:lvlText w:val="（%1）"/>
      <w:lvlJc w:val="left"/>
    </w:lvl>
  </w:abstractNum>
  <w:abstractNum w:abstractNumId="2">
    <w:nsid w:val="6323DB4F"/>
    <w:multiLevelType w:val="singleLevel"/>
    <w:tmpl w:val="6323DB4F"/>
    <w:lvl w:ilvl="0" w:tentative="0">
      <w:start w:val="6"/>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mY3NmEyMzIxN2IwYzJhZjNkYjY4MjkxNjhjY2NmMmMifQ=="/>
  </w:docVars>
  <w:rsids>
    <w:rsidRoot w:val="00C454FA"/>
    <w:rsid w:val="00136ECE"/>
    <w:rsid w:val="00563E85"/>
    <w:rsid w:val="005D20FD"/>
    <w:rsid w:val="006E601D"/>
    <w:rsid w:val="009E2663"/>
    <w:rsid w:val="00A64D61"/>
    <w:rsid w:val="00C454FA"/>
    <w:rsid w:val="00D60B80"/>
    <w:rsid w:val="00EA4E40"/>
    <w:rsid w:val="0E2E0E32"/>
    <w:rsid w:val="104B27C4"/>
    <w:rsid w:val="189B7984"/>
    <w:rsid w:val="388A1EEB"/>
    <w:rsid w:val="43144A3F"/>
    <w:rsid w:val="45CC2860"/>
    <w:rsid w:val="4BB2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spacing w:after="120" w:line="480" w:lineRule="auto"/>
      <w:ind w:left="420" w:leftChars="200"/>
      <w:textAlignment w:val="baseline"/>
    </w:pPr>
  </w:style>
  <w:style w:type="paragraph" w:styleId="3">
    <w:name w:val="Body Text Indent"/>
    <w:basedOn w:val="1"/>
    <w:qFormat/>
    <w:uiPriority w:val="0"/>
    <w:pPr>
      <w:ind w:left="420" w:leftChars="200"/>
    </w:pPr>
    <w:rPr>
      <w:kern w:val="0"/>
      <w:sz w:val="24"/>
      <w:szCs w:val="2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Body Text First Indent 2"/>
    <w:basedOn w:val="3"/>
    <w:next w:val="1"/>
    <w:qFormat/>
    <w:uiPriority w:val="0"/>
    <w:pPr>
      <w:ind w:firstLine="420" w:firstLineChars="200"/>
    </w:pPr>
  </w:style>
  <w:style w:type="paragraph" w:customStyle="1" w:styleId="10">
    <w:name w:val="[Normal]"/>
    <w:basedOn w:val="1"/>
    <w:qFormat/>
    <w:uiPriority w:val="0"/>
    <w:pPr>
      <w:widowControl/>
      <w:jc w:val="left"/>
    </w:pPr>
    <w:rPr>
      <w:rFonts w:hint="eastAsia" w:ascii="宋体" w:hAnsi="宋体"/>
      <w:kern w:val="0"/>
      <w:sz w:val="24"/>
      <w:szCs w:val="20"/>
    </w:rPr>
  </w:style>
  <w:style w:type="paragraph" w:customStyle="1" w:styleId="11">
    <w:name w:val="样式1"/>
    <w:basedOn w:val="1"/>
    <w:qFormat/>
    <w:uiPriority w:val="0"/>
    <w:rPr>
      <w:sz w:val="32"/>
      <w:szCs w:val="32"/>
    </w:rPr>
  </w:style>
  <w:style w:type="character" w:customStyle="1" w:styleId="12">
    <w:name w:val="页眉 Char"/>
    <w:basedOn w:val="9"/>
    <w:link w:val="5"/>
    <w:qFormat/>
    <w:uiPriority w:val="0"/>
    <w:rPr>
      <w:rFonts w:ascii="Calibri" w:hAnsi="Calibri"/>
      <w:kern w:val="2"/>
      <w:sz w:val="18"/>
      <w:szCs w:val="18"/>
    </w:rPr>
  </w:style>
  <w:style w:type="character" w:customStyle="1" w:styleId="13">
    <w:name w:val="页脚 Char"/>
    <w:basedOn w:val="9"/>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9705</Words>
  <Characters>10128</Characters>
  <Lines>77</Lines>
  <Paragraphs>21</Paragraphs>
  <TotalTime>36</TotalTime>
  <ScaleCrop>false</ScaleCrop>
  <LinksUpToDate>false</LinksUpToDate>
  <CharactersWithSpaces>10336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2022-09-13T02:52:00Z</dcterms:created>
  <dc:creator>Administrator</dc:creator>
  <cp:lastModifiedBy>筠</cp:lastModifiedBy>
  <dcterms:modified xsi:type="dcterms:W3CDTF">2022-10-26T14:14:50Z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D60564A6B72C4F16A53C163B3445FAAC</vt:lpwstr>
  </property>
</Properties>
</file>