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pStyle w:val="5"/>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中国共产主义青年团邵阳市北塔区委员会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0"/>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pStyle w:val="21"/>
        <w:ind w:left="0" w:leftChars="0" w:firstLine="0" w:firstLineChars="0"/>
        <w:rPr>
          <w:rFonts w:hint="eastAsia" w:ascii="仿宋" w:hAnsi="仿宋" w:eastAsia="仿宋"/>
          <w:b/>
          <w:bCs/>
          <w:sz w:val="30"/>
          <w:szCs w:val="30"/>
        </w:rPr>
      </w:pPr>
    </w:p>
    <w:p>
      <w:pPr>
        <w:pStyle w:val="21"/>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_Toc25906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一、</w:t>
          </w:r>
          <w:r>
            <w:rPr>
              <w:rFonts w:hint="default" w:ascii="Times New Roman" w:hAnsi="Times New Roman" w:eastAsia="仿宋" w:cs="Times New Roman"/>
              <w:bCs/>
              <w:sz w:val="32"/>
              <w:szCs w:val="32"/>
              <w:lang w:val="en-US" w:eastAsia="zh-CN"/>
            </w:rPr>
            <w:t>单位基本情况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_Toc25906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_Toc26247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（一）部门概况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_Toc26247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_Toc1674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（二）主要职责</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_Toc1674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2</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_Toc28393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（三）人员情况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_Toc28393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_Toc32578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二、部门整体收支情况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_Toc32578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_Toc18889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（一）资金收入情况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_Toc18889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_Toc12209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（二）资金使用情况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_Toc12209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_Toc17644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（三）资金管理情况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_Toc17644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4</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_Toc10771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三、制度建设情况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_Toc10771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_Toc24326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（一）内控制度建设情况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_Toc24326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_Toc23077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（二）资产管理制度建设及使用情况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_Toc23077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_Toc1361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（三）政府采购制度建设情况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_Toc1361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_Toc12004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四、第三方重点绩效评价工作情况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_Toc12004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_Toc28375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（一）重点绩效评价目的</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_Toc28375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5</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_Toc32553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（二）重点绩效评价工作过程</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_Toc32553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_Toc2846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五、部门整体支出绩效情况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_Toc2846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6</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_Toc26674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（一）部门整体实际产出情况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_Toc26674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_Toc26674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w:t>
          </w:r>
          <w:r>
            <w:rPr>
              <w:rFonts w:hint="eastAsia" w:ascii="Times New Roman" w:hAnsi="Times New Roman" w:eastAsia="仿宋" w:cs="Times New Roman"/>
              <w:bCs/>
              <w:sz w:val="32"/>
              <w:szCs w:val="32"/>
              <w:lang w:val="en-US" w:eastAsia="zh-CN"/>
            </w:rPr>
            <w:t>二</w:t>
          </w:r>
          <w:r>
            <w:rPr>
              <w:rFonts w:hint="default" w:ascii="Times New Roman" w:hAnsi="Times New Roman" w:eastAsia="仿宋" w:cs="Times New Roman"/>
              <w:bCs/>
              <w:sz w:val="32"/>
              <w:szCs w:val="32"/>
              <w:lang w:val="en-US" w:eastAsia="zh-CN"/>
            </w:rPr>
            <w:t>）部门整体</w:t>
          </w:r>
          <w:r>
            <w:rPr>
              <w:rFonts w:hint="eastAsia" w:ascii="Times New Roman" w:hAnsi="Times New Roman" w:eastAsia="仿宋" w:cs="Times New Roman"/>
              <w:bCs/>
              <w:sz w:val="32"/>
              <w:szCs w:val="32"/>
              <w:lang w:val="en-US" w:eastAsia="zh-CN"/>
            </w:rPr>
            <w:t>效益情况</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_Toc26674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7</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_Toc32623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（三）部门整体满意度</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_Toc32623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_Toc23852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六、综合评价情况及评价结论</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_Toc23852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_Toc31053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七、存在的主要问题</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_Toc31053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8</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_Toc7763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（一）绩效管理方面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_Toc7763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_Toc14005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（二）政府采购方面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_Toc14005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_Toc15392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（三）财务管理方面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_Toc15392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_Toc20824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（四）资产管理方面</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_Toc20824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9</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_Toc11704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八、相关建议</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_Toc11704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_Toc24371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（一）</w:t>
          </w:r>
          <w:r>
            <w:rPr>
              <w:rFonts w:hint="default" w:ascii="Times New Roman" w:hAnsi="Times New Roman" w:eastAsia="仿宋" w:cs="Times New Roman"/>
              <w:bCs/>
              <w:sz w:val="32"/>
              <w:szCs w:val="32"/>
              <w:highlight w:val="none"/>
            </w:rPr>
            <w:t>增强绩效目标管理意识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_Toc24371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_Toc26336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highlight w:val="none"/>
              <w:lang w:val="en-US" w:eastAsia="zh-CN"/>
            </w:rPr>
            <w:t>（二）加强政府采购管理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_Toc26336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_Toc27565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（三）提高财务管理规范性</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_Toc27565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2"/>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_Toc31031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sz w:val="32"/>
              <w:szCs w:val="32"/>
              <w:lang w:val="en-US" w:eastAsia="zh-CN"/>
            </w:rPr>
            <w:t>（四）规范资产管理</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_Toc31031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10</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pStyle w:val="11"/>
            <w:tabs>
              <w:tab w:val="right" w:leader="dot" w:pos="8392"/>
            </w:tabs>
            <w:rPr>
              <w:rFonts w:hint="default" w:ascii="Times New Roman" w:hAnsi="Times New Roman" w:eastAsia="仿宋"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\l _Toc28280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bCs/>
              <w:kern w:val="2"/>
              <w:sz w:val="32"/>
              <w:szCs w:val="32"/>
              <w:lang w:val="en-US" w:eastAsia="zh-CN" w:bidi="ar-SA"/>
            </w:rPr>
            <w:t>九、报告使用情况说明</w:t>
          </w:r>
          <w:r>
            <w:rPr>
              <w:rFonts w:hint="default" w:ascii="Times New Roman" w:hAnsi="Times New Roman" w:eastAsia="仿宋" w:cs="Times New Roman"/>
              <w:sz w:val="32"/>
              <w:szCs w:val="32"/>
            </w:rPr>
            <w:tab/>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PAGEREF _Toc28280 \h </w:instrText>
          </w:r>
          <w:r>
            <w:rPr>
              <w:rFonts w:hint="default" w:ascii="Times New Roman" w:hAnsi="Times New Roman" w:eastAsia="仿宋" w:cs="Times New Roman"/>
              <w:sz w:val="32"/>
              <w:szCs w:val="32"/>
            </w:rPr>
            <w:fldChar w:fldCharType="separate"/>
          </w:r>
          <w:r>
            <w:rPr>
              <w:rFonts w:hint="default" w:ascii="Times New Roman" w:hAnsi="Times New Roman" w:eastAsia="仿宋" w:cs="Times New Roman"/>
              <w:sz w:val="32"/>
              <w:szCs w:val="32"/>
            </w:rPr>
            <w:t>11</w: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sectPr>
          <w:headerReference r:id="rId3" w:type="default"/>
          <w:footerReference r:id="rId4" w:type="default"/>
          <w:pgSz w:w="11906" w:h="16838"/>
          <w:pgMar w:top="1440" w:right="1757" w:bottom="1440" w:left="175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82</w:t>
      </w:r>
      <w:r>
        <w:rPr>
          <w:rFonts w:hint="default" w:ascii="Times New Roman Regular" w:hAnsi="Times New Roman Regular" w:eastAsia="仿宋" w:cs="Times New Roman Regular"/>
          <w:b/>
          <w:bCs/>
          <w:sz w:val="33"/>
          <w:lang w:val="en-US" w:eastAsia="zh-CN"/>
        </w:rPr>
        <w:t>号</w:t>
      </w:r>
      <w:bookmarkStart w:id="115" w:name="_GoBack"/>
      <w:bookmarkEnd w:id="115"/>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中国共产主义青年团邵阳市北塔区委员会</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eastAsia" w:ascii="Times New Roman" w:hAnsi="Times New Roman" w:eastAsia="仿宋" w:cs="Times New Roman"/>
          <w:b w:val="0"/>
          <w:bCs w:val="0"/>
          <w:sz w:val="32"/>
          <w:szCs w:val="32"/>
          <w:lang w:val="en-US" w:eastAsia="zh-CN"/>
        </w:rPr>
        <w:t>、</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w:hAnsi="Times New Roman" w:eastAsia="仿宋" w:cs="Times New Roman"/>
          <w:b w:val="0"/>
          <w:bCs w:val="0"/>
          <w:sz w:val="32"/>
          <w:szCs w:val="32"/>
          <w:lang w:val="en-US" w:eastAsia="zh-CN"/>
        </w:rPr>
        <w:t>等精神及相关工作要求，受</w:t>
      </w:r>
      <w:r>
        <w:rPr>
          <w:rFonts w:hint="eastAsia" w:ascii="Times New Roman" w:hAnsi="Times New Roman" w:eastAsia="仿宋" w:cs="Times New Roman"/>
          <w:b w:val="0"/>
          <w:bCs w:val="0"/>
          <w:sz w:val="32"/>
          <w:szCs w:val="32"/>
          <w:lang w:val="en-US" w:eastAsia="zh-CN"/>
        </w:rPr>
        <w:t>邵阳市北塔区</w:t>
      </w:r>
      <w:r>
        <w:rPr>
          <w:rFonts w:hint="default" w:ascii="Times New Roman" w:hAnsi="Times New Roman" w:eastAsia="仿宋" w:cs="Times New Roman"/>
          <w:b w:val="0"/>
          <w:bCs w:val="0"/>
          <w:sz w:val="32"/>
          <w:szCs w:val="32"/>
          <w:lang w:val="en-US" w:eastAsia="zh-CN"/>
        </w:rPr>
        <w:t>财政局委托，湖南财正会计师事务所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ascii="Times New Roman" w:hAnsi="Times New Roman" w:eastAsia="仿宋"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w:t>
      </w:r>
      <w:r>
        <w:rPr>
          <w:rFonts w:hint="eastAsia" w:ascii="Times New Roman" w:hAnsi="Times New Roman" w:eastAsia="仿宋" w:cs="Times New Roman"/>
          <w:b w:val="0"/>
          <w:bCs w:val="0"/>
          <w:sz w:val="32"/>
          <w:szCs w:val="32"/>
          <w:lang w:val="en-US" w:eastAsia="zh-CN"/>
        </w:rPr>
        <w:t>中国共产主义青年团邵阳市北塔区委员会</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2" w:firstLineChars="200"/>
        <w:jc w:val="both"/>
        <w:textAlignment w:val="auto"/>
        <w:outlineLvl w:val="0"/>
        <w:rPr>
          <w:rFonts w:hint="default" w:ascii="Times New Roman" w:hAnsi="Times New Roman" w:eastAsia="仿宋" w:cs="Times New Roman"/>
          <w:b/>
          <w:bCs/>
          <w:kern w:val="2"/>
          <w:sz w:val="31"/>
          <w:szCs w:val="31"/>
          <w:lang w:val="en-US" w:eastAsia="zh-CN" w:bidi="ar-SA"/>
        </w:rPr>
        <w:sectPr>
          <w:footerReference r:id="rId5"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25906"/>
      <w:bookmarkStart w:id="1" w:name="_Toc23508"/>
      <w:bookmarkStart w:id="2" w:name="_Toc21670"/>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bookmarkEnd w:id="1"/>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26247"/>
      <w:bookmarkStart w:id="4" w:name="_Toc7170"/>
      <w:bookmarkStart w:id="5" w:name="_Toc30979"/>
      <w:r>
        <w:rPr>
          <w:rFonts w:hint="default" w:ascii="Times New Roman Regular" w:hAnsi="Times New Roman Regular" w:eastAsia="楷体" w:cs="Times New Roman Regular"/>
          <w:b/>
          <w:bCs/>
          <w:sz w:val="32"/>
          <w:szCs w:val="32"/>
          <w:lang w:val="en-US" w:eastAsia="zh-CN"/>
        </w:rPr>
        <w:t>（一）部门概况</w:t>
      </w:r>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_GB2312"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中国共产主义青年团邵阳市北塔区委员会（以下简称“共青团北塔区委”）是邵阳市北塔区各界团员青年的群众团体。共青团北塔区委</w:t>
      </w:r>
      <w:r>
        <w:rPr>
          <w:rFonts w:hint="eastAsia" w:ascii="仿宋_GB2312" w:hAnsi="仿宋_GB2312" w:eastAsia="仿宋_GB2312" w:cs="仿宋_GB2312"/>
          <w:kern w:val="0"/>
          <w:sz w:val="32"/>
          <w:szCs w:val="32"/>
          <w:lang w:bidi="ar"/>
        </w:rPr>
        <w:t>设</w:t>
      </w:r>
      <w:r>
        <w:rPr>
          <w:rFonts w:hint="default" w:ascii="Times New Roman" w:hAnsi="Times New Roman" w:eastAsia="仿宋_GB2312" w:cs="Times New Roman"/>
          <w:kern w:val="0"/>
          <w:sz w:val="32"/>
          <w:szCs w:val="32"/>
          <w:lang w:bidi="ar"/>
        </w:rPr>
        <w:t>3</w:t>
      </w:r>
      <w:r>
        <w:rPr>
          <w:rFonts w:hint="eastAsia" w:ascii="仿宋_GB2312" w:hAnsi="仿宋_GB2312" w:eastAsia="仿宋_GB2312" w:cs="仿宋_GB2312"/>
          <w:kern w:val="0"/>
          <w:sz w:val="32"/>
          <w:szCs w:val="32"/>
          <w:lang w:bidi="ar"/>
        </w:rPr>
        <w:t>个内设机构，分别为办公室、组宣部、青年发展部</w:t>
      </w:r>
      <w:r>
        <w:rPr>
          <w:rFonts w:hint="eastAsia" w:ascii="仿宋_GB2312" w:hAnsi="仿宋_GB2312" w:eastAsia="仿宋_GB2312" w:cs="仿宋_GB2312"/>
          <w:kern w:val="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6" w:name="_Toc1887"/>
      <w:bookmarkStart w:id="7" w:name="_Toc1674"/>
      <w:bookmarkStart w:id="8" w:name="_Toc23398"/>
      <w:r>
        <w:rPr>
          <w:rFonts w:hint="default" w:ascii="Times New Roman Regular" w:hAnsi="Times New Roman Regular" w:eastAsia="楷体" w:cs="Times New Roman Regular"/>
          <w:b/>
          <w:bCs/>
          <w:sz w:val="32"/>
          <w:szCs w:val="32"/>
          <w:lang w:val="en-US" w:eastAsia="zh-CN"/>
        </w:rPr>
        <w:t>（二）主要职责</w:t>
      </w:r>
      <w:bookmarkEnd w:id="6"/>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共青团北塔区委主要职责是：领导全区共青团的工作，指导、督促、检查全区各级团组织的工作、总结、交流、推广团的工作经验。承担区委区政府和上级团委部署的青年工作事务；</w:t>
      </w:r>
      <w:r>
        <w:rPr>
          <w:rFonts w:hint="eastAsia" w:ascii="仿宋_GB2312" w:hAnsi="仿宋_GB2312" w:eastAsia="仿宋_GB2312" w:cs="仿宋_GB2312"/>
          <w:sz w:val="32"/>
          <w:szCs w:val="32"/>
        </w:rPr>
        <w:t>对广大团员经常性的政治思想教育，引导青年坚定正确的政治方向，树立正确的世界观、人生观、价值观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围绕经济建设中心，开展各种有益的活动，团结带领青年积极投身全区重点建设项目，充分发挥生力军和突击队作用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关心青少年成长，协调有关部门保护青少年的合法权益，预防和减少青少年违法犯罪，为青少年的成长、成才服务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研究新时期团的组织建设问题，指导基层加强团的组织建设问题，协助党组织管理、选拔和培训各乡办场、区直机关单位、学校团组织的干部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负责实施希望工程，全面组织发动，引导社会各界捐助贫困学生等工作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负责全区农村青年增收成才的工作，组织青年农民培训，指导就业转移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负责青年统战工作，广泛团结各族青年，巩固和扩大青年爱国统一战线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指导区少先队工作委员会的日常工作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完成区委区政府和上级团委交办的其他工作</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9" w:name="_Toc29481"/>
      <w:bookmarkStart w:id="10" w:name="_Toc28393"/>
      <w:bookmarkStart w:id="11" w:name="_Toc3110"/>
      <w:r>
        <w:rPr>
          <w:rFonts w:hint="default" w:ascii="Times New Roman Regular" w:hAnsi="Times New Roman Regular" w:eastAsia="楷体" w:cs="Times New Roman Regular"/>
          <w:b/>
          <w:bCs/>
          <w:sz w:val="32"/>
          <w:szCs w:val="32"/>
          <w:lang w:val="en-US" w:eastAsia="zh-CN"/>
        </w:rPr>
        <w:t>（三）人员情况</w:t>
      </w:r>
      <w:bookmarkEnd w:id="9"/>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楷体" w:cs="Times New Roman Regular"/>
          <w:b/>
          <w:bCs/>
          <w:color w:val="FF0000"/>
          <w:sz w:val="32"/>
          <w:szCs w:val="32"/>
          <w:lang w:val="en-US" w:eastAsia="zh-CN"/>
        </w:rPr>
      </w:pPr>
      <w:r>
        <w:rPr>
          <w:rFonts w:hint="eastAsia" w:ascii="Times New Roman Regular" w:hAnsi="Times New Roman Regular" w:eastAsia="仿宋" w:cs="Times New Roman Regular"/>
          <w:b w:val="0"/>
          <w:bCs w:val="0"/>
          <w:sz w:val="32"/>
          <w:szCs w:val="32"/>
          <w:lang w:val="en-US" w:eastAsia="zh-CN"/>
        </w:rPr>
        <w:t>共青团北塔区委机关行政编制1名，事业编制2名，设书记1名，副书记1名，办公室工作人员1名</w:t>
      </w:r>
      <w:r>
        <w:rPr>
          <w:rFonts w:hint="eastAsia"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12" w:name="_Toc32578"/>
      <w:bookmarkStart w:id="13" w:name="_Toc3999"/>
      <w:bookmarkStart w:id="14" w:name="_Toc8464"/>
      <w:r>
        <w:rPr>
          <w:rFonts w:hint="default" w:ascii="Times New Roman Regular" w:hAnsi="Times New Roman Regular" w:eastAsia="黑体" w:cs="Times New Roman Regular"/>
          <w:b/>
          <w:bCs/>
          <w:kern w:val="2"/>
          <w:sz w:val="32"/>
          <w:szCs w:val="32"/>
          <w:lang w:val="en-US" w:eastAsia="zh-CN" w:bidi="ar-SA"/>
        </w:rPr>
        <w:t>二、部门整体收支情况</w:t>
      </w:r>
      <w:bookmarkEnd w:id="12"/>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5" w:name="_Toc20736"/>
      <w:bookmarkStart w:id="16" w:name="_Toc28014"/>
      <w:bookmarkStart w:id="17" w:name="_Toc18889"/>
      <w:r>
        <w:rPr>
          <w:rFonts w:hint="default" w:ascii="Times New Roman Regular" w:hAnsi="Times New Roman Regular" w:eastAsia="楷体" w:cs="Times New Roman Regular"/>
          <w:b/>
          <w:bCs/>
          <w:sz w:val="32"/>
          <w:szCs w:val="32"/>
          <w:lang w:val="en-US" w:eastAsia="zh-CN"/>
        </w:rPr>
        <w:t>（一）资金收入情况</w:t>
      </w:r>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2022年度部门决算报表，2022</w:t>
      </w:r>
      <w:r>
        <w:rPr>
          <w:rFonts w:hint="eastAsia" w:ascii="Times New Roman Regular" w:hAnsi="Times New Roman Regular" w:eastAsia="仿宋" w:cs="Times New Roman Regular"/>
          <w:b w:val="0"/>
          <w:bCs w:val="0"/>
          <w:sz w:val="32"/>
          <w:szCs w:val="32"/>
          <w:lang w:val="en-US" w:eastAsia="zh-CN"/>
        </w:rPr>
        <w:t>年度部门收入决算数</w:t>
      </w:r>
      <w:r>
        <w:rPr>
          <w:rFonts w:hint="default" w:ascii="Times New Roman Regular" w:hAnsi="Times New Roman Regular" w:eastAsia="仿宋" w:cs="Times New Roman Regular"/>
          <w:b w:val="0"/>
          <w:bCs w:val="0"/>
          <w:sz w:val="32"/>
          <w:szCs w:val="32"/>
          <w:lang w:val="en-US" w:eastAsia="zh-CN"/>
        </w:rPr>
        <w:t>为</w:t>
      </w:r>
      <w:r>
        <w:rPr>
          <w:rFonts w:hint="eastAsia" w:ascii="Times New Roman Regular" w:hAnsi="Times New Roman Regular" w:eastAsia="仿宋" w:cs="Times New Roman Regular"/>
          <w:b w:val="0"/>
          <w:bCs w:val="0"/>
          <w:sz w:val="32"/>
          <w:szCs w:val="32"/>
          <w:lang w:val="en-US" w:eastAsia="zh-CN"/>
        </w:rPr>
        <w:t>59.09</w:t>
      </w:r>
      <w:r>
        <w:rPr>
          <w:rFonts w:hint="default" w:ascii="Times New Roman Regular" w:hAnsi="Times New Roman Regular" w:eastAsia="仿宋" w:cs="Times New Roman Regular"/>
          <w:b w:val="0"/>
          <w:bCs w:val="0"/>
          <w:sz w:val="32"/>
          <w:szCs w:val="32"/>
          <w:lang w:val="en-US" w:eastAsia="zh-CN"/>
        </w:rPr>
        <w:t>万元，其中；一般公共预算财政拨款收入</w:t>
      </w:r>
      <w:r>
        <w:rPr>
          <w:rFonts w:hint="eastAsia" w:ascii="Times New Roman Regular" w:hAnsi="Times New Roman Regular" w:eastAsia="仿宋" w:cs="Times New Roman Regular"/>
          <w:b w:val="0"/>
          <w:bCs w:val="0"/>
          <w:sz w:val="32"/>
          <w:szCs w:val="32"/>
          <w:lang w:val="en-US" w:eastAsia="zh-CN"/>
        </w:rPr>
        <w:t>45.43</w:t>
      </w:r>
      <w:r>
        <w:rPr>
          <w:rFonts w:hint="default" w:ascii="Times New Roman Regular" w:hAnsi="Times New Roman Regular" w:eastAsia="仿宋" w:cs="Times New Roman Regular"/>
          <w:b w:val="0"/>
          <w:bCs w:val="0"/>
          <w:sz w:val="32"/>
          <w:szCs w:val="32"/>
          <w:lang w:val="en-US" w:eastAsia="zh-CN"/>
        </w:rPr>
        <w:t>万元、其他收入</w:t>
      </w:r>
      <w:r>
        <w:rPr>
          <w:rFonts w:hint="eastAsia" w:ascii="Times New Roman Regular" w:hAnsi="Times New Roman Regular" w:eastAsia="仿宋" w:cs="Times New Roman Regular"/>
          <w:b w:val="0"/>
          <w:bCs w:val="0"/>
          <w:sz w:val="32"/>
          <w:szCs w:val="32"/>
          <w:lang w:val="en-US" w:eastAsia="zh-CN"/>
        </w:rPr>
        <w:t>13.66</w:t>
      </w:r>
      <w:r>
        <w:rPr>
          <w:rFonts w:hint="default" w:ascii="Times New Roman Regular" w:hAnsi="Times New Roman Regular" w:eastAsia="仿宋" w:cs="Times New Roman Regular"/>
          <w:b w:val="0"/>
          <w:bCs w:val="0"/>
          <w:sz w:val="32"/>
          <w:szCs w:val="32"/>
          <w:lang w:val="en-US" w:eastAsia="zh-CN"/>
        </w:rPr>
        <w:t>万元</w:t>
      </w:r>
      <w:r>
        <w:rPr>
          <w:rFonts w:hint="eastAsia"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8" w:name="_Toc12209"/>
      <w:bookmarkStart w:id="19" w:name="_Toc2199"/>
      <w:bookmarkStart w:id="20" w:name="_Toc606"/>
      <w:r>
        <w:rPr>
          <w:rFonts w:hint="default" w:ascii="Times New Roman Regular" w:hAnsi="Times New Roman Regular" w:eastAsia="楷体" w:cs="Times New Roman Regular"/>
          <w:b/>
          <w:bCs/>
          <w:sz w:val="32"/>
          <w:szCs w:val="32"/>
          <w:lang w:val="en-US" w:eastAsia="zh-CN"/>
        </w:rPr>
        <w:t>（二）资金使用情况</w:t>
      </w:r>
      <w:bookmarkEnd w:id="18"/>
      <w:bookmarkEnd w:id="19"/>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2022年度部门决算报表，2022年度共计支出</w:t>
      </w:r>
      <w:r>
        <w:rPr>
          <w:rFonts w:hint="eastAsia" w:ascii="Times New Roman Regular" w:hAnsi="Times New Roman Regular" w:eastAsia="仿宋" w:cs="Times New Roman Regular"/>
          <w:b w:val="0"/>
          <w:bCs w:val="0"/>
          <w:sz w:val="32"/>
          <w:szCs w:val="32"/>
          <w:lang w:val="en-US" w:eastAsia="zh-CN"/>
        </w:rPr>
        <w:t>59.09</w:t>
      </w:r>
      <w:r>
        <w:rPr>
          <w:rFonts w:hint="default" w:ascii="Times New Roman Regular" w:hAnsi="Times New Roman Regular" w:eastAsia="仿宋" w:cs="Times New Roman Regular"/>
          <w:b w:val="0"/>
          <w:bCs w:val="0"/>
          <w:sz w:val="32"/>
          <w:szCs w:val="32"/>
          <w:lang w:val="en-US" w:eastAsia="zh-CN"/>
        </w:rPr>
        <w:t>万元，其中：基本支出</w:t>
      </w:r>
      <w:r>
        <w:rPr>
          <w:rFonts w:hint="eastAsia" w:ascii="Times New Roman Regular" w:hAnsi="Times New Roman Regular" w:eastAsia="仿宋" w:cs="Times New Roman Regular"/>
          <w:b w:val="0"/>
          <w:bCs w:val="0"/>
          <w:sz w:val="32"/>
          <w:szCs w:val="32"/>
          <w:lang w:val="en-US" w:eastAsia="zh-CN"/>
        </w:rPr>
        <w:t>59.09</w:t>
      </w:r>
      <w:r>
        <w:rPr>
          <w:rFonts w:hint="default" w:ascii="Times New Roman Regular" w:hAnsi="Times New Roman Regular" w:eastAsia="仿宋" w:cs="Times New Roman Regular"/>
          <w:b w:val="0"/>
          <w:bCs w:val="0"/>
          <w:sz w:val="32"/>
          <w:szCs w:val="32"/>
          <w:lang w:val="en-US" w:eastAsia="zh-CN"/>
        </w:rPr>
        <w:t>万元，项目支出</w:t>
      </w:r>
      <w:r>
        <w:rPr>
          <w:rFonts w:hint="eastAsia" w:ascii="Times New Roman Regular" w:hAnsi="Times New Roman Regular" w:eastAsia="仿宋" w:cs="Times New Roman Regular"/>
          <w:b w:val="0"/>
          <w:bCs w:val="0"/>
          <w:sz w:val="32"/>
          <w:szCs w:val="32"/>
          <w:lang w:val="en-US" w:eastAsia="zh-CN"/>
        </w:rPr>
        <w:t>0.00</w:t>
      </w:r>
      <w:r>
        <w:rPr>
          <w:rFonts w:hint="default" w:ascii="Times New Roman Regular" w:hAnsi="Times New Roman Regular" w:eastAsia="仿宋" w:cs="Times New Roman Regular"/>
          <w:b w:val="0"/>
          <w:bCs w:val="0"/>
          <w:sz w:val="32"/>
          <w:szCs w:val="32"/>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2022年度部门决算报表，2022年度</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基本支出共计</w:t>
      </w:r>
      <w:r>
        <w:rPr>
          <w:rFonts w:hint="eastAsia" w:ascii="Times New Roman Regular" w:hAnsi="Times New Roman Regular" w:eastAsia="仿宋" w:cs="Times New Roman Regular"/>
          <w:b w:val="0"/>
          <w:bCs w:val="0"/>
          <w:sz w:val="32"/>
          <w:szCs w:val="32"/>
          <w:lang w:val="en-US" w:eastAsia="zh-CN"/>
        </w:rPr>
        <w:t>59.09</w:t>
      </w:r>
      <w:r>
        <w:rPr>
          <w:rFonts w:hint="default" w:ascii="Times New Roman Regular" w:hAnsi="Times New Roman Regular" w:eastAsia="仿宋" w:cs="Times New Roman Regular"/>
          <w:b w:val="0"/>
          <w:bCs w:val="0"/>
          <w:sz w:val="32"/>
          <w:szCs w:val="32"/>
          <w:lang w:val="en-US" w:eastAsia="zh-CN"/>
        </w:rPr>
        <w:t>万元，</w:t>
      </w:r>
      <w:r>
        <w:rPr>
          <w:rFonts w:hint="default" w:ascii="Times New Roman Regular" w:hAnsi="Times New Roman Regular" w:eastAsia="仿宋" w:cs="Times New Roman Regular"/>
          <w:b w:val="0"/>
          <w:bCs w:val="0"/>
          <w:color w:val="auto"/>
          <w:sz w:val="32"/>
          <w:szCs w:val="32"/>
          <w:lang w:val="en-US" w:eastAsia="zh-CN"/>
        </w:rPr>
        <w:t>其中</w:t>
      </w:r>
      <w:r>
        <w:rPr>
          <w:rFonts w:hint="eastAsia" w:ascii="Times New Roman Regular" w:hAnsi="Times New Roman Regular" w:eastAsia="仿宋" w:cs="Times New Roman Regular"/>
          <w:b w:val="0"/>
          <w:bCs w:val="0"/>
          <w:color w:val="auto"/>
          <w:sz w:val="32"/>
          <w:szCs w:val="32"/>
          <w:lang w:val="en-US" w:eastAsia="zh-CN"/>
        </w:rPr>
        <w:t>一般公共预算财政拨款支出45.43万元（人员经费18.67万元，公用经费26.76万元），其他支出13.66万元。一般公共预算财政拨款支出中人员经费和公用经费</w:t>
      </w:r>
      <w:r>
        <w:rPr>
          <w:rFonts w:hint="default" w:ascii="Times New Roman Regular" w:hAnsi="Times New Roman Regular" w:eastAsia="仿宋" w:cs="Times New Roman Regular"/>
          <w:b w:val="0"/>
          <w:bCs w:val="0"/>
          <w:color w:val="auto"/>
          <w:sz w:val="32"/>
          <w:szCs w:val="32"/>
          <w:lang w:val="en-US" w:eastAsia="zh-CN"/>
        </w:rPr>
        <w:t>具体明细如下：</w:t>
      </w:r>
    </w:p>
    <w:tbl>
      <w:tblPr>
        <w:tblStyle w:val="17"/>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3"/>
        <w:gridCol w:w="4978"/>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序号</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6"/>
                <w:sz w:val="21"/>
                <w:szCs w:val="21"/>
              </w:rPr>
              <w:t>支出项目</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eastAsia="zh-CN"/>
              </w:rPr>
            </w:pPr>
            <w:r>
              <w:rPr>
                <w:rFonts w:hint="default" w:ascii="Times New Roman" w:hAnsi="Times New Roman" w:eastAsia="仿宋" w:cs="Times New Roman"/>
                <w:b/>
                <w:bCs/>
                <w:spacing w:val="4"/>
                <w:sz w:val="21"/>
                <w:szCs w:val="21"/>
              </w:rPr>
              <w:t>金额</w:t>
            </w:r>
            <w:r>
              <w:rPr>
                <w:rFonts w:hint="default" w:ascii="Times New Roman" w:hAnsi="Times New Roman" w:eastAsia="仿宋" w:cs="Times New Roman"/>
                <w:b/>
                <w:bCs/>
                <w:spacing w:val="4"/>
                <w:sz w:val="21"/>
                <w:szCs w:val="21"/>
                <w:lang w:eastAsia="zh-CN"/>
              </w:rPr>
              <w:t>（</w:t>
            </w:r>
            <w:r>
              <w:rPr>
                <w:rFonts w:hint="default" w:ascii="Times New Roman" w:hAnsi="Times New Roman" w:eastAsia="仿宋" w:cs="Times New Roman"/>
                <w:b/>
                <w:bCs/>
                <w:spacing w:val="4"/>
                <w:sz w:val="21"/>
                <w:szCs w:val="21"/>
              </w:rPr>
              <w:t>万元</w:t>
            </w:r>
            <w:r>
              <w:rPr>
                <w:rFonts w:hint="default" w:ascii="Times New Roman" w:hAnsi="Times New Roman" w:eastAsia="仿宋" w:cs="Times New Roman"/>
                <w:b/>
                <w:bCs/>
                <w:spacing w:val="4"/>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b/>
                <w:bCs/>
                <w:sz w:val="21"/>
                <w:szCs w:val="21"/>
                <w:lang w:val="en-US" w:eastAsia="zh-CN"/>
              </w:rPr>
              <w:t>一</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b/>
                <w:bCs/>
                <w:spacing w:val="-5"/>
                <w:sz w:val="21"/>
                <w:szCs w:val="21"/>
              </w:rPr>
              <w:t>人员经费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eastAsia" w:ascii="Times New Roman" w:hAnsi="Times New Roman" w:eastAsia="仿宋" w:cs="Times New Roman"/>
                <w:b/>
                <w:bCs/>
                <w:spacing w:val="-4"/>
                <w:sz w:val="21"/>
                <w:szCs w:val="21"/>
                <w:lang w:val="en-US" w:eastAsia="zh-CN"/>
              </w:rPr>
              <w:t>18.67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bookmarkStart w:id="21" w:name="OLE_LINK1" w:colFirst="2" w:colLast="2"/>
            <w:r>
              <w:rPr>
                <w:rFonts w:hint="default" w:ascii="Times New Roman" w:hAnsi="Times New Roman" w:eastAsia="仿宋" w:cs="Times New Roman"/>
                <w:sz w:val="21"/>
                <w:szCs w:val="21"/>
                <w:lang w:val="en-US" w:eastAsia="zh-CN"/>
              </w:rPr>
              <w:t>1</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基本工资</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5</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津贴补贴</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3</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spacing w:val="-2"/>
                <w:kern w:val="0"/>
                <w:sz w:val="21"/>
                <w:szCs w:val="21"/>
                <w:lang w:val="en-US" w:eastAsia="zh-CN"/>
              </w:rPr>
            </w:pPr>
            <w:r>
              <w:rPr>
                <w:rFonts w:hint="eastAsia" w:ascii="仿宋" w:hAnsi="仿宋" w:eastAsia="仿宋" w:cs="仿宋"/>
                <w:i w:val="0"/>
                <w:iCs w:val="0"/>
                <w:color w:val="000000"/>
                <w:kern w:val="0"/>
                <w:sz w:val="22"/>
                <w:szCs w:val="22"/>
                <w:u w:val="none"/>
                <w:lang w:val="en-US" w:eastAsia="zh-CN" w:bidi="ar"/>
              </w:rPr>
              <w:t>奖金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spacing w:val="-2"/>
                <w:kern w:val="0"/>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4</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伙食补助费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2959" w:type="pct"/>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2"/>
                <w:szCs w:val="22"/>
                <w:u w:val="none"/>
                <w:lang w:val="en-US" w:eastAsia="zh-CN" w:bidi="ar"/>
              </w:rPr>
              <w:t>绩效工资</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eastAsia="zh-CN"/>
              </w:rPr>
            </w:pPr>
            <w:r>
              <w:rPr>
                <w:rFonts w:hint="default" w:ascii="Times New Roman" w:hAnsi="Times New Roman" w:eastAsia="宋体" w:cs="Times New Roman"/>
                <w:i w:val="0"/>
                <w:iCs w:val="0"/>
                <w:color w:val="000000"/>
                <w:kern w:val="0"/>
                <w:sz w:val="20"/>
                <w:szCs w:val="20"/>
                <w:u w:val="none"/>
                <w:lang w:val="en-US" w:eastAsia="zh-CN" w:bidi="ar"/>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机关事业单位基本养老保险缴费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2959" w:type="pct"/>
            <w:vAlign w:val="center"/>
          </w:tcPr>
          <w:p>
            <w:pPr>
              <w:keepNext w:val="0"/>
              <w:keepLines w:val="0"/>
              <w:widowControl/>
              <w:suppressLineNumbers w:val="0"/>
              <w:jc w:val="center"/>
              <w:textAlignment w:val="center"/>
              <w:rPr>
                <w:rFonts w:hint="eastAsia" w:ascii="仿宋" w:hAnsi="仿宋" w:eastAsia="仿宋" w:cs="仿宋"/>
                <w:spacing w:val="1"/>
                <w:sz w:val="21"/>
                <w:szCs w:val="21"/>
              </w:rPr>
            </w:pPr>
            <w:r>
              <w:rPr>
                <w:rFonts w:hint="eastAsia" w:ascii="仿宋" w:hAnsi="仿宋" w:eastAsia="仿宋" w:cs="仿宋"/>
                <w:i w:val="0"/>
                <w:iCs w:val="0"/>
                <w:color w:val="000000"/>
                <w:kern w:val="0"/>
                <w:sz w:val="22"/>
                <w:szCs w:val="22"/>
                <w:u w:val="none"/>
                <w:lang w:val="en-US" w:eastAsia="zh-CN" w:bidi="ar"/>
              </w:rPr>
              <w:t>职工基本医疗保险缴费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其他社会保障缴费</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.0</w:t>
            </w:r>
            <w:r>
              <w:rPr>
                <w:rFonts w:hint="eastAsia" w:ascii="Times New Roman" w:hAnsi="Times New Roman" w:eastAsia="宋体" w:cs="Times New Roman"/>
                <w:i w:val="0"/>
                <w:iCs w:val="0"/>
                <w:color w:val="000000"/>
                <w:kern w:val="0"/>
                <w:sz w:val="20"/>
                <w:szCs w:val="20"/>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住房公积金</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2</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2959" w:type="pct"/>
            <w:vAlign w:val="center"/>
          </w:tcPr>
          <w:p>
            <w:pPr>
              <w:keepNext w:val="0"/>
              <w:keepLines w:val="0"/>
              <w:widowControl/>
              <w:suppressLineNumbers w:val="0"/>
              <w:jc w:val="center"/>
              <w:textAlignment w:val="center"/>
              <w:rPr>
                <w:rFonts w:hint="eastAsia" w:ascii="仿宋" w:hAnsi="仿宋" w:eastAsia="仿宋" w:cs="仿宋"/>
                <w:snapToGrid w:val="0"/>
                <w:color w:val="000000"/>
                <w:kern w:val="0"/>
                <w:sz w:val="21"/>
                <w:szCs w:val="21"/>
              </w:rPr>
            </w:pPr>
            <w:r>
              <w:rPr>
                <w:rFonts w:hint="eastAsia" w:ascii="仿宋" w:hAnsi="仿宋" w:eastAsia="仿宋" w:cs="仿宋"/>
                <w:i w:val="0"/>
                <w:iCs w:val="0"/>
                <w:color w:val="000000"/>
                <w:kern w:val="0"/>
                <w:sz w:val="22"/>
                <w:szCs w:val="22"/>
                <w:u w:val="none"/>
                <w:lang w:val="en-US" w:eastAsia="zh-CN" w:bidi="ar"/>
              </w:rPr>
              <w:t>其他工资福利支出</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2959" w:type="pct"/>
            <w:vAlign w:val="center"/>
          </w:tcPr>
          <w:p>
            <w:pPr>
              <w:keepNext w:val="0"/>
              <w:keepLines w:val="0"/>
              <w:widowControl/>
              <w:suppressLineNumbers w:val="0"/>
              <w:jc w:val="center"/>
              <w:textAlignment w:val="center"/>
              <w:rPr>
                <w:rFonts w:hint="eastAsia" w:ascii="仿宋" w:hAnsi="仿宋" w:eastAsia="仿宋" w:cs="仿宋"/>
                <w:spacing w:val="2"/>
                <w:sz w:val="21"/>
                <w:szCs w:val="21"/>
              </w:rPr>
            </w:pPr>
            <w:r>
              <w:rPr>
                <w:rFonts w:hint="eastAsia" w:ascii="仿宋" w:hAnsi="仿宋" w:eastAsia="仿宋" w:cs="仿宋"/>
                <w:i w:val="0"/>
                <w:iCs w:val="0"/>
                <w:color w:val="000000"/>
                <w:kern w:val="0"/>
                <w:sz w:val="22"/>
                <w:szCs w:val="22"/>
                <w:u w:val="none"/>
                <w:lang w:val="en-US" w:eastAsia="zh-CN" w:bidi="ar"/>
              </w:rPr>
              <w:t>对个人和家庭的补助</w:t>
            </w:r>
          </w:p>
        </w:tc>
        <w:tc>
          <w:tcPr>
            <w:tcW w:w="1235" w:type="pct"/>
            <w:vAlign w:val="bottom"/>
          </w:tcPr>
          <w:p>
            <w:pPr>
              <w:keepNext w:val="0"/>
              <w:keepLines w:val="0"/>
              <w:widowControl/>
              <w:suppressLineNumbers w:val="0"/>
              <w:jc w:val="center"/>
              <w:textAlignment w:val="bottom"/>
              <w:rPr>
                <w:rFonts w:hint="default" w:ascii="Times New Roman" w:hAnsi="Times New Roman" w:eastAsia="仿宋" w:cs="Times New Roman"/>
                <w:spacing w:val="-3"/>
                <w:sz w:val="21"/>
                <w:szCs w:val="21"/>
                <w:lang w:val="en-US" w:eastAsia="zh-CN"/>
              </w:rPr>
            </w:pPr>
            <w:r>
              <w:rPr>
                <w:rFonts w:hint="eastAsia" w:ascii="Times New Roman" w:hAnsi="Times New Roman" w:eastAsia="宋体" w:cs="Times New Roman"/>
                <w:i w:val="0"/>
                <w:iCs w:val="0"/>
                <w:color w:val="000000"/>
                <w:kern w:val="0"/>
                <w:sz w:val="20"/>
                <w:szCs w:val="20"/>
                <w:u w:val="none"/>
                <w:lang w:val="en-US" w:eastAsia="zh-CN" w:bidi="ar"/>
              </w:rPr>
              <w:t>0</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Times New Roman" w:hAnsi="Times New Roman" w:eastAsia="宋体"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position w:val="-4"/>
                <w:sz w:val="21"/>
                <w:szCs w:val="21"/>
              </w:rPr>
              <w:t>二</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b/>
                <w:bCs/>
                <w:spacing w:val="-1"/>
                <w:sz w:val="21"/>
                <w:szCs w:val="21"/>
              </w:rPr>
              <w:t>公用经费</w:t>
            </w: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26.76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1</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办公费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Times New Roman" w:hAnsi="Times New Roman" w:eastAsia="仿宋" w:cs="Times New Roman"/>
                <w:i w:val="0"/>
                <w:iCs w:val="0"/>
                <w:color w:val="000000"/>
                <w:kern w:val="0"/>
                <w:sz w:val="20"/>
                <w:szCs w:val="20"/>
                <w:u w:val="none"/>
                <w:lang w:val="en-US" w:eastAsia="zh-CN" w:bidi="ar"/>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2</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印刷费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1</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3</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eastAsia" w:ascii="Times New Roman" w:hAnsi="Times New Roman" w:eastAsia="仿宋" w:cs="Times New Roman"/>
                <w:i w:val="0"/>
                <w:iCs w:val="0"/>
                <w:color w:val="000000"/>
                <w:kern w:val="0"/>
                <w:sz w:val="22"/>
                <w:szCs w:val="22"/>
                <w:u w:val="none"/>
                <w:lang w:val="en-US" w:eastAsia="zh-CN" w:bidi="ar"/>
              </w:rPr>
              <w:t>水</w:t>
            </w:r>
            <w:r>
              <w:rPr>
                <w:rFonts w:hint="default" w:ascii="Times New Roman" w:hAnsi="Times New Roman" w:eastAsia="仿宋" w:cs="Times New Roman"/>
                <w:i w:val="0"/>
                <w:iCs w:val="0"/>
                <w:color w:val="000000"/>
                <w:kern w:val="0"/>
                <w:sz w:val="22"/>
                <w:szCs w:val="22"/>
                <w:u w:val="none"/>
                <w:lang w:val="en-US" w:eastAsia="zh-CN" w:bidi="ar"/>
              </w:rPr>
              <w:t>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Times New Roman" w:hAnsi="Times New Roman" w:eastAsia="仿宋" w:cs="Times New Roman"/>
                <w:i w:val="0"/>
                <w:iCs w:val="0"/>
                <w:color w:val="000000"/>
                <w:kern w:val="0"/>
                <w:sz w:val="20"/>
                <w:szCs w:val="20"/>
                <w:u w:val="none"/>
                <w:lang w:val="en-US" w:eastAsia="zh-CN" w:bidi="ar"/>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4</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差旅费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Times New Roman" w:hAnsi="Times New Roman" w:eastAsia="仿宋"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5</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维修（护）费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Times New Roman" w:hAnsi="Times New Roman" w:eastAsia="仿宋"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6</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专用材料费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0</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7</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劳务费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11</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8</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eastAsia="zh-CN"/>
              </w:rPr>
            </w:pPr>
            <w:r>
              <w:rPr>
                <w:rFonts w:hint="default" w:ascii="Times New Roman" w:hAnsi="Times New Roman" w:eastAsia="仿宋" w:cs="Times New Roman"/>
                <w:i w:val="0"/>
                <w:iCs w:val="0"/>
                <w:color w:val="000000"/>
                <w:kern w:val="0"/>
                <w:sz w:val="22"/>
                <w:szCs w:val="22"/>
                <w:u w:val="none"/>
                <w:lang w:val="en-US" w:eastAsia="zh-CN" w:bidi="ar"/>
              </w:rPr>
              <w:t>委托业务费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1.</w:t>
            </w:r>
            <w:r>
              <w:rPr>
                <w:rFonts w:hint="eastAsia" w:ascii="Times New Roman" w:hAnsi="Times New Roman" w:eastAsia="仿宋" w:cs="Times New Roman"/>
                <w:i w:val="0"/>
                <w:iCs w:val="0"/>
                <w:color w:val="000000"/>
                <w:kern w:val="0"/>
                <w:sz w:val="20"/>
                <w:szCs w:val="20"/>
                <w:u w:val="none"/>
                <w:lang w:val="en-US" w:eastAsia="zh-CN" w:bidi="ar"/>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z w:val="21"/>
                <w:szCs w:val="21"/>
              </w:rPr>
              <w:t>9</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工会经费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2</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spacing w:val="-6"/>
                <w:sz w:val="21"/>
                <w:szCs w:val="21"/>
                <w:lang w:val="en-US" w:eastAsia="zh-CN"/>
              </w:rPr>
              <w:t>10</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kern w:val="0"/>
                <w:sz w:val="21"/>
                <w:szCs w:val="21"/>
              </w:rPr>
            </w:pPr>
            <w:r>
              <w:rPr>
                <w:rFonts w:hint="default" w:ascii="Times New Roman" w:hAnsi="Times New Roman" w:eastAsia="仿宋" w:cs="Times New Roman"/>
                <w:i w:val="0"/>
                <w:iCs w:val="0"/>
                <w:color w:val="000000"/>
                <w:kern w:val="0"/>
                <w:sz w:val="22"/>
                <w:szCs w:val="22"/>
                <w:u w:val="none"/>
                <w:lang w:val="en-US" w:eastAsia="zh-CN" w:bidi="ar"/>
              </w:rPr>
              <w:t>福利费</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i w:val="0"/>
                <w:iCs w:val="0"/>
                <w:color w:val="000000"/>
                <w:kern w:val="0"/>
                <w:sz w:val="20"/>
                <w:szCs w:val="20"/>
                <w:u w:val="none"/>
                <w:lang w:val="en-US" w:eastAsia="zh-CN" w:bidi="ar"/>
              </w:rPr>
              <w:t>0.</w:t>
            </w:r>
            <w:r>
              <w:rPr>
                <w:rFonts w:hint="eastAsia" w:ascii="Times New Roman" w:hAnsi="Times New Roman" w:eastAsia="仿宋" w:cs="Times New Roman"/>
                <w:i w:val="0"/>
                <w:iCs w:val="0"/>
                <w:color w:val="000000"/>
                <w:kern w:val="0"/>
                <w:sz w:val="20"/>
                <w:szCs w:val="20"/>
                <w:u w:val="none"/>
                <w:lang w:val="en-US" w:eastAsia="zh-CN" w:bidi="ar"/>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spacing w:val="-6"/>
                <w:kern w:val="0"/>
                <w:sz w:val="21"/>
                <w:szCs w:val="21"/>
                <w:lang w:val="en-US" w:eastAsia="zh-CN"/>
              </w:rPr>
            </w:pPr>
            <w:r>
              <w:rPr>
                <w:rFonts w:hint="default" w:ascii="Times New Roman" w:hAnsi="Times New Roman" w:eastAsia="仿宋" w:cs="Times New Roman"/>
                <w:spacing w:val="-6"/>
                <w:sz w:val="21"/>
                <w:szCs w:val="21"/>
                <w:lang w:val="en-US" w:eastAsia="zh-CN"/>
              </w:rPr>
              <w:t>11</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snapToGrid w:val="0"/>
                <w:color w:val="000000"/>
                <w:spacing w:val="2"/>
                <w:kern w:val="0"/>
                <w:sz w:val="21"/>
                <w:szCs w:val="21"/>
                <w:lang w:val="en-US" w:eastAsia="zh-CN"/>
              </w:rPr>
            </w:pPr>
            <w:r>
              <w:rPr>
                <w:rFonts w:hint="default" w:ascii="Times New Roman" w:hAnsi="Times New Roman" w:eastAsia="仿宋" w:cs="Times New Roman"/>
                <w:i w:val="0"/>
                <w:iCs w:val="0"/>
                <w:color w:val="000000"/>
                <w:kern w:val="0"/>
                <w:sz w:val="22"/>
                <w:szCs w:val="22"/>
                <w:u w:val="none"/>
                <w:lang w:val="en-US" w:eastAsia="zh-CN" w:bidi="ar"/>
              </w:rPr>
              <w:t>其他交通费用</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0</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pacing w:val="-6"/>
                <w:sz w:val="21"/>
                <w:szCs w:val="21"/>
                <w:lang w:val="en-US" w:eastAsia="zh-CN"/>
              </w:rPr>
            </w:pPr>
            <w:r>
              <w:rPr>
                <w:rFonts w:hint="eastAsia" w:ascii="Times New Roman" w:hAnsi="Times New Roman" w:eastAsia="仿宋" w:cs="Times New Roman"/>
                <w:spacing w:val="-6"/>
                <w:sz w:val="21"/>
                <w:szCs w:val="21"/>
                <w:lang w:val="en-US" w:eastAsia="zh-CN"/>
              </w:rPr>
              <w:t>12</w:t>
            </w:r>
          </w:p>
        </w:tc>
        <w:tc>
          <w:tcPr>
            <w:tcW w:w="2959" w:type="pct"/>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2"/>
                <w:sz w:val="22"/>
                <w:szCs w:val="22"/>
                <w:u w:val="none"/>
                <w:lang w:val="en-US" w:eastAsia="zh-CN" w:bidi="ar-SA"/>
              </w:rPr>
            </w:pPr>
            <w:r>
              <w:rPr>
                <w:rFonts w:hint="default" w:ascii="Times New Roman" w:hAnsi="Times New Roman" w:eastAsia="仿宋" w:cs="Times New Roman"/>
                <w:i w:val="0"/>
                <w:iCs w:val="0"/>
                <w:color w:val="000000"/>
                <w:kern w:val="0"/>
                <w:sz w:val="22"/>
                <w:szCs w:val="22"/>
                <w:u w:val="none"/>
                <w:lang w:val="en-US" w:eastAsia="zh-CN" w:bidi="ar"/>
              </w:rPr>
              <w:t>其他商品和服务支出</w:t>
            </w:r>
          </w:p>
        </w:tc>
        <w:tc>
          <w:tcPr>
            <w:tcW w:w="2075" w:type="dxa"/>
            <w:vAlign w:val="bottom"/>
          </w:tcPr>
          <w:p>
            <w:pPr>
              <w:keepNext w:val="0"/>
              <w:keepLines w:val="0"/>
              <w:widowControl/>
              <w:suppressLineNumbers w:val="0"/>
              <w:jc w:val="center"/>
              <w:textAlignment w:val="bottom"/>
              <w:rPr>
                <w:rFonts w:hint="default" w:ascii="Times New Roman" w:hAnsi="Times New Roman" w:eastAsia="仿宋" w:cs="Times New Roman"/>
                <w:sz w:val="21"/>
                <w:szCs w:val="21"/>
                <w:lang w:val="en-US" w:eastAsia="zh-CN"/>
              </w:rPr>
            </w:pPr>
            <w:r>
              <w:rPr>
                <w:rFonts w:hint="eastAsia" w:ascii="Times New Roman" w:hAnsi="Times New Roman" w:eastAsia="仿宋" w:cs="Times New Roman"/>
                <w:i w:val="0"/>
                <w:iCs w:val="0"/>
                <w:color w:val="000000"/>
                <w:kern w:val="0"/>
                <w:sz w:val="20"/>
                <w:szCs w:val="20"/>
                <w:u w:val="none"/>
                <w:lang w:val="en-US" w:eastAsia="zh-CN" w:bidi="ar"/>
              </w:rPr>
              <w:t>7</w:t>
            </w:r>
            <w:r>
              <w:rPr>
                <w:rFonts w:hint="default" w:ascii="Times New Roman" w:hAnsi="Times New Roman" w:eastAsia="仿宋" w:cs="Times New Roman"/>
                <w:i w:val="0"/>
                <w:iCs w:val="0"/>
                <w:color w:val="000000"/>
                <w:kern w:val="0"/>
                <w:sz w:val="20"/>
                <w:szCs w:val="20"/>
                <w:u w:val="none"/>
                <w:lang w:val="en-US" w:eastAsia="zh-CN" w:bidi="ar"/>
              </w:rPr>
              <w:t>.</w:t>
            </w:r>
            <w:r>
              <w:rPr>
                <w:rFonts w:hint="eastAsia" w:ascii="Times New Roman" w:hAnsi="Times New Roman" w:eastAsia="仿宋" w:cs="Times New Roman"/>
                <w:i w:val="0"/>
                <w:iCs w:val="0"/>
                <w:color w:val="000000"/>
                <w:kern w:val="0"/>
                <w:sz w:val="20"/>
                <w:szCs w:val="20"/>
                <w:u w:val="none"/>
                <w:lang w:val="en-US" w:eastAsia="zh-CN" w:bidi="ar"/>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80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仿宋" w:cs="Times New Roman"/>
                <w:snapToGrid w:val="0"/>
                <w:color w:val="000000"/>
                <w:kern w:val="0"/>
                <w:sz w:val="21"/>
                <w:szCs w:val="21"/>
                <w:lang w:val="en-US" w:eastAsia="zh-CN"/>
              </w:rPr>
            </w:pPr>
            <w:r>
              <w:rPr>
                <w:rFonts w:hint="default" w:ascii="Times New Roman" w:hAnsi="Times New Roman" w:eastAsia="仿宋" w:cs="Times New Roman"/>
                <w:b/>
                <w:bCs/>
                <w:spacing w:val="-3"/>
                <w:sz w:val="21"/>
                <w:szCs w:val="21"/>
              </w:rPr>
              <w:t>合计</w:t>
            </w:r>
          </w:p>
        </w:tc>
        <w:tc>
          <w:tcPr>
            <w:tcW w:w="29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rPr>
            </w:pPr>
          </w:p>
        </w:tc>
        <w:tc>
          <w:tcPr>
            <w:tcW w:w="12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仿宋" w:cs="Times New Roman"/>
                <w:snapToGrid w:val="0"/>
                <w:color w:val="000000"/>
                <w:kern w:val="0"/>
                <w:sz w:val="21"/>
                <w:szCs w:val="21"/>
                <w:lang w:val="en-US" w:eastAsia="zh-CN"/>
              </w:rPr>
            </w:pPr>
            <w:r>
              <w:rPr>
                <w:rFonts w:hint="eastAsia" w:ascii="Times New Roman" w:hAnsi="Times New Roman" w:eastAsia="仿宋" w:cs="Times New Roman"/>
                <w:b/>
                <w:bCs/>
                <w:spacing w:val="-4"/>
                <w:sz w:val="21"/>
                <w:szCs w:val="21"/>
                <w:lang w:val="en-US" w:eastAsia="zh-CN"/>
              </w:rPr>
              <w:t>45.43</w:t>
            </w:r>
          </w:p>
        </w:tc>
      </w:tr>
      <w:bookmarkEnd w:id="21"/>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 w:cs="Times New Roman"/>
          <w:b w:val="0"/>
          <w:bCs w:val="0"/>
          <w:color w:val="FF000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2022年度部门决算报表，2022年</w:t>
      </w:r>
      <w:r>
        <w:rPr>
          <w:rFonts w:hint="eastAsia" w:ascii="仿宋" w:hAnsi="仿宋" w:eastAsia="仿宋" w:cs="仿宋"/>
          <w:b w:val="0"/>
          <w:bCs w:val="0"/>
          <w:sz w:val="32"/>
          <w:szCs w:val="32"/>
          <w:lang w:val="en-US" w:eastAsia="zh-CN"/>
        </w:rPr>
        <w:t>“三公经费”</w:t>
      </w:r>
      <w:r>
        <w:rPr>
          <w:rFonts w:hint="default" w:ascii="Times New Roman" w:hAnsi="Times New Roman" w:eastAsia="仿宋" w:cs="Times New Roman"/>
          <w:b w:val="0"/>
          <w:bCs w:val="0"/>
          <w:sz w:val="32"/>
          <w:szCs w:val="32"/>
          <w:lang w:val="en-US" w:eastAsia="zh-CN"/>
        </w:rPr>
        <w:t>年初预算数为</w:t>
      </w:r>
      <w:r>
        <w:rPr>
          <w:rFonts w:hint="eastAsia" w:ascii="Times New Roman" w:hAnsi="Times New Roman" w:eastAsia="仿宋" w:cs="Times New Roman"/>
          <w:b w:val="0"/>
          <w:bCs w:val="0"/>
          <w:sz w:val="32"/>
          <w:szCs w:val="32"/>
          <w:lang w:val="en-US" w:eastAsia="zh-CN"/>
        </w:rPr>
        <w:t>0.10</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，2022年共计支出</w:t>
      </w:r>
      <w:r>
        <w:rPr>
          <w:rFonts w:hint="eastAsia" w:ascii="Times New Roman" w:hAnsi="Times New Roman" w:eastAsia="仿宋" w:cs="Times New Roman"/>
          <w:b w:val="0"/>
          <w:bCs w:val="0"/>
          <w:color w:val="auto"/>
          <w:sz w:val="32"/>
          <w:szCs w:val="32"/>
          <w:lang w:val="en-US" w:eastAsia="zh-CN"/>
        </w:rPr>
        <w:t>0.00</w:t>
      </w:r>
      <w:r>
        <w:rPr>
          <w:rFonts w:hint="default" w:ascii="Times New Roman" w:hAnsi="Times New Roman" w:eastAsia="仿宋" w:cs="Times New Roman"/>
          <w:b w:val="0"/>
          <w:bCs w:val="0"/>
          <w:color w:val="auto"/>
          <w:sz w:val="32"/>
          <w:szCs w:val="32"/>
          <w:lang w:val="en-US" w:eastAsia="zh-CN"/>
        </w:rPr>
        <w:t>万元。</w:t>
      </w:r>
      <w:r>
        <w:rPr>
          <w:rFonts w:hint="eastAsia" w:ascii="Times New Roman" w:hAnsi="Times New Roman" w:eastAsia="仿宋" w:cs="Times New Roman"/>
          <w:b w:val="0"/>
          <w:bCs w:val="0"/>
          <w:color w:val="auto"/>
          <w:sz w:val="32"/>
          <w:szCs w:val="32"/>
          <w:lang w:val="en-US" w:eastAsia="zh-CN"/>
        </w:rPr>
        <w:t>具体见下表：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741"/>
        <w:gridCol w:w="170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eastAsia" w:ascii="仿宋" w:hAnsi="仿宋" w:eastAsia="仿宋" w:cs="仿宋"/>
                <w:b/>
                <w:bCs/>
                <w:sz w:val="21"/>
                <w:szCs w:val="21"/>
                <w:vertAlign w:val="baseline"/>
                <w:lang w:val="en-US" w:eastAsia="zh-CN"/>
              </w:rPr>
              <w:t>“三公经费”</w:t>
            </w:r>
            <w:r>
              <w:rPr>
                <w:rFonts w:hint="default" w:ascii="Times New Roman" w:hAnsi="Times New Roman" w:eastAsia="仿宋" w:cs="Times New Roman"/>
                <w:b/>
                <w:bCs/>
                <w:sz w:val="21"/>
                <w:szCs w:val="21"/>
                <w:vertAlign w:val="baseline"/>
                <w:lang w:val="en-US" w:eastAsia="zh-CN"/>
              </w:rPr>
              <w:t>类别</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预算数</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决算数</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sz w:val="21"/>
                <w:szCs w:val="21"/>
                <w:vertAlign w:val="baseline"/>
                <w:lang w:val="en-US" w:eastAsia="zh-CN"/>
              </w:rPr>
            </w:pPr>
            <w:r>
              <w:rPr>
                <w:rFonts w:hint="default" w:ascii="Times New Roman" w:hAnsi="Times New Roman" w:eastAsia="仿宋" w:cs="Times New Roman"/>
                <w:b/>
                <w:bCs/>
                <w:sz w:val="21"/>
                <w:szCs w:val="21"/>
                <w:vertAlign w:val="baseline"/>
                <w:lang w:val="en-US" w:eastAsia="zh-CN"/>
              </w:rPr>
              <w:t>偏离</w:t>
            </w:r>
            <w:r>
              <w:rPr>
                <w:rFonts w:hint="eastAsia" w:ascii="Times New Roman" w:hAnsi="Times New Roman" w:eastAsia="仿宋" w:cs="Times New Roman"/>
                <w:b/>
                <w:bCs/>
                <w:sz w:val="21"/>
                <w:szCs w:val="21"/>
                <w:vertAlign w:val="baseline"/>
                <w:lang w:val="en-US" w:eastAsia="zh-CN"/>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因公出国（境）费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公务用车购置及运行维护费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 w:cs="Times New Roman"/>
                <w:b w:val="0"/>
                <w:bCs w:val="0"/>
                <w:sz w:val="21"/>
                <w:szCs w:val="21"/>
                <w:vertAlign w:val="baseline"/>
                <w:lang w:val="en-US" w:eastAsia="zh-CN"/>
              </w:rPr>
            </w:pPr>
            <w:r>
              <w:rPr>
                <w:rFonts w:hint="default" w:ascii="Times New Roman" w:hAnsi="Times New Roman" w:eastAsia="仿宋" w:cs="Times New Roman"/>
                <w:b w:val="0"/>
                <w:bCs w:val="0"/>
                <w:sz w:val="21"/>
                <w:szCs w:val="21"/>
                <w:vertAlign w:val="baseline"/>
                <w:lang w:val="en-US" w:eastAsia="zh-CN"/>
              </w:rPr>
              <w:t>公务接待费</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0.10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合计</w:t>
            </w:r>
          </w:p>
        </w:tc>
        <w:tc>
          <w:tcPr>
            <w:tcW w:w="17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0.10</w:t>
            </w:r>
          </w:p>
        </w:tc>
        <w:tc>
          <w:tcPr>
            <w:tcW w:w="17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0.00</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1"/>
                <w:szCs w:val="21"/>
                <w:vertAlign w:val="baseline"/>
                <w:lang w:val="en-US" w:eastAsia="zh-CN"/>
              </w:rPr>
            </w:pPr>
            <w:r>
              <w:rPr>
                <w:rFonts w:hint="eastAsia" w:ascii="Times New Roman" w:hAnsi="Times New Roman" w:eastAsia="仿宋" w:cs="Times New Roman"/>
                <w:b w:val="0"/>
                <w:bCs w:val="0"/>
                <w:sz w:val="21"/>
                <w:szCs w:val="21"/>
                <w:vertAlign w:val="baseline"/>
                <w:lang w:val="en-US" w:eastAsia="zh-CN"/>
              </w:rPr>
              <w:t>0.10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2" w:name="_Toc4432"/>
      <w:bookmarkStart w:id="23" w:name="_Toc17644"/>
      <w:bookmarkStart w:id="24" w:name="_Toc8359"/>
      <w:r>
        <w:rPr>
          <w:rFonts w:hint="default" w:ascii="Times New Roman Regular" w:hAnsi="Times New Roman Regular" w:eastAsia="楷体" w:cs="Times New Roman Regular"/>
          <w:b/>
          <w:bCs/>
          <w:sz w:val="32"/>
          <w:szCs w:val="32"/>
          <w:lang w:val="en-US" w:eastAsia="zh-CN"/>
        </w:rPr>
        <w:t>（三）资金管理情况</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区团委收入支出管理制度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、《区团委收入管理暂行办法》、《区团委经费支出管理办法》等</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从收入管理、支出管理、资产管理、财务监督等方面进行了有关规定，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5" w:name="_Toc13805"/>
      <w:bookmarkStart w:id="26" w:name="_Toc10771"/>
      <w:bookmarkStart w:id="27" w:name="_Toc6041"/>
      <w:r>
        <w:rPr>
          <w:rFonts w:hint="default" w:ascii="Times New Roman Regular" w:hAnsi="Times New Roman Regular" w:eastAsia="黑体" w:cs="Times New Roman Regular"/>
          <w:b/>
          <w:bCs/>
          <w:kern w:val="2"/>
          <w:sz w:val="32"/>
          <w:szCs w:val="32"/>
          <w:lang w:val="en-US" w:eastAsia="zh-CN" w:bidi="ar-SA"/>
        </w:rPr>
        <w:t>三、制度建设情况</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8" w:name="_Toc20335"/>
      <w:bookmarkStart w:id="29" w:name="_Toc22164"/>
      <w:bookmarkStart w:id="30" w:name="_Toc24326"/>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内控</w:t>
      </w:r>
      <w:r>
        <w:rPr>
          <w:rFonts w:hint="default" w:ascii="Times New Roman Regular" w:hAnsi="Times New Roman Regular" w:eastAsia="楷体" w:cs="Times New Roman Regular"/>
          <w:b/>
          <w:bCs/>
          <w:sz w:val="32"/>
          <w:szCs w:val="32"/>
          <w:lang w:val="en-US" w:eastAsia="zh-CN"/>
        </w:rPr>
        <w:t>制度建设情况</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制定</w:t>
      </w:r>
      <w:r>
        <w:rPr>
          <w:rFonts w:hint="eastAsia" w:ascii="Times New Roman Regular" w:hAnsi="Times New Roman Regular" w:eastAsia="仿宋" w:cs="Times New Roman Regular"/>
          <w:b w:val="0"/>
          <w:bCs w:val="0"/>
          <w:sz w:val="32"/>
          <w:szCs w:val="32"/>
          <w:lang w:val="en-US" w:eastAsia="zh-CN"/>
        </w:rPr>
        <w:t>了《共青团北塔区委内部控制建设工作实施方案》</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1" w:name="_Toc19087"/>
      <w:bookmarkStart w:id="32" w:name="_Toc14812"/>
      <w:bookmarkStart w:id="33" w:name="_Toc23077"/>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在《资产管理制度》对有关资产管理进行了规定。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截</w:t>
      </w:r>
      <w:r>
        <w:rPr>
          <w:rFonts w:hint="eastAsia" w:ascii="Times New Roman Regular" w:hAnsi="Times New Roman Regular" w:eastAsia="仿宋" w:cs="Times New Roman Regular"/>
          <w:b w:val="0"/>
          <w:bCs w:val="0"/>
          <w:color w:val="auto"/>
          <w:sz w:val="32"/>
          <w:szCs w:val="32"/>
          <w:lang w:val="en-US" w:eastAsia="zh-CN"/>
        </w:rPr>
        <w:t>至</w:t>
      </w:r>
      <w:r>
        <w:rPr>
          <w:rFonts w:hint="default" w:ascii="Times New Roman Regular" w:hAnsi="Times New Roman Regular" w:eastAsia="仿宋" w:cs="Times New Roman Regular"/>
          <w:b w:val="0"/>
          <w:bCs w:val="0"/>
          <w:color w:val="auto"/>
          <w:sz w:val="32"/>
          <w:szCs w:val="32"/>
          <w:lang w:val="en-US" w:eastAsia="zh-CN"/>
        </w:rPr>
        <w:t>2022年12月31日，</w:t>
      </w:r>
      <w:r>
        <w:rPr>
          <w:rFonts w:hint="eastAsia" w:ascii="Times New Roman Regular" w:hAnsi="Times New Roman Regular" w:eastAsia="仿宋" w:cs="Times New Roman Regular"/>
          <w:b w:val="0"/>
          <w:bCs w:val="0"/>
          <w:color w:val="auto"/>
          <w:sz w:val="32"/>
          <w:szCs w:val="32"/>
          <w:lang w:val="en-US" w:eastAsia="zh-CN"/>
        </w:rPr>
        <w:t>共青团北塔区委</w:t>
      </w:r>
      <w:r>
        <w:rPr>
          <w:rFonts w:hint="default" w:ascii="Times New Roman Regular" w:hAnsi="Times New Roman Regular" w:eastAsia="仿宋" w:cs="Times New Roman Regular"/>
          <w:b w:val="0"/>
          <w:bCs w:val="0"/>
          <w:color w:val="auto"/>
          <w:sz w:val="32"/>
          <w:szCs w:val="32"/>
          <w:lang w:val="en-US" w:eastAsia="zh-CN"/>
        </w:rPr>
        <w:t>固定资产账面原值</w:t>
      </w:r>
      <w:r>
        <w:rPr>
          <w:rFonts w:hint="eastAsia" w:ascii="Times New Roman Regular" w:hAnsi="Times New Roman Regular" w:eastAsia="仿宋" w:cs="Times New Roman Regular"/>
          <w:b w:val="0"/>
          <w:bCs w:val="0"/>
          <w:color w:val="auto"/>
          <w:sz w:val="32"/>
          <w:szCs w:val="32"/>
          <w:lang w:val="en-US" w:eastAsia="zh-CN"/>
        </w:rPr>
        <w:t>3.51</w:t>
      </w:r>
      <w:r>
        <w:rPr>
          <w:rFonts w:hint="default" w:ascii="Times New Roman Regular" w:hAnsi="Times New Roman Regular" w:eastAsia="仿宋" w:cs="Times New Roman Regular"/>
          <w:b w:val="0"/>
          <w:bCs w:val="0"/>
          <w:color w:val="auto"/>
          <w:sz w:val="32"/>
          <w:szCs w:val="32"/>
          <w:lang w:val="en-US" w:eastAsia="zh-CN"/>
        </w:rPr>
        <w:t>万元。其中：通用设备</w:t>
      </w:r>
      <w:r>
        <w:rPr>
          <w:rFonts w:hint="eastAsia" w:ascii="Times New Roman Regular" w:hAnsi="Times New Roman Regular" w:eastAsia="仿宋" w:cs="Times New Roman Regular"/>
          <w:b w:val="0"/>
          <w:bCs w:val="0"/>
          <w:color w:val="auto"/>
          <w:sz w:val="32"/>
          <w:szCs w:val="32"/>
          <w:lang w:val="en-US" w:eastAsia="zh-CN"/>
        </w:rPr>
        <w:t>1.14</w:t>
      </w:r>
      <w:r>
        <w:rPr>
          <w:rFonts w:hint="default" w:ascii="Times New Roman Regular" w:hAnsi="Times New Roman Regular" w:eastAsia="仿宋" w:cs="Times New Roman Regular"/>
          <w:b w:val="0"/>
          <w:bCs w:val="0"/>
          <w:color w:val="auto"/>
          <w:sz w:val="32"/>
          <w:szCs w:val="32"/>
          <w:lang w:val="en-US" w:eastAsia="zh-CN"/>
        </w:rPr>
        <w:t>万元；家具、用具、装具及动植物</w:t>
      </w:r>
      <w:r>
        <w:rPr>
          <w:rFonts w:hint="eastAsia" w:ascii="Times New Roman Regular" w:hAnsi="Times New Roman Regular" w:eastAsia="仿宋" w:cs="Times New Roman Regular"/>
          <w:b w:val="0"/>
          <w:bCs w:val="0"/>
          <w:color w:val="auto"/>
          <w:sz w:val="32"/>
          <w:szCs w:val="32"/>
          <w:lang w:val="en-US" w:eastAsia="zh-CN"/>
        </w:rPr>
        <w:t>2.37</w:t>
      </w:r>
      <w:r>
        <w:rPr>
          <w:rFonts w:hint="default" w:ascii="Times New Roman Regular" w:hAnsi="Times New Roman Regular" w:eastAsia="仿宋" w:cs="Times New Roman Regular"/>
          <w:b w:val="0"/>
          <w:bCs w:val="0"/>
          <w:color w:val="auto"/>
          <w:sz w:val="32"/>
          <w:szCs w:val="32"/>
          <w:lang w:val="en-US" w:eastAsia="zh-CN"/>
        </w:rPr>
        <w:t>万元。资产在用</w:t>
      </w:r>
      <w:r>
        <w:rPr>
          <w:rFonts w:hint="eastAsia" w:ascii="Times New Roman Regular" w:hAnsi="Times New Roman Regular" w:eastAsia="仿宋" w:cs="Times New Roman Regular"/>
          <w:b w:val="0"/>
          <w:bCs w:val="0"/>
          <w:color w:val="auto"/>
          <w:sz w:val="32"/>
          <w:szCs w:val="32"/>
          <w:lang w:val="en-US" w:eastAsia="zh-CN"/>
        </w:rPr>
        <w:t>3.51</w:t>
      </w:r>
      <w:r>
        <w:rPr>
          <w:rFonts w:hint="default" w:ascii="Times New Roman Regular" w:hAnsi="Times New Roman Regular" w:eastAsia="仿宋" w:cs="Times New Roman Regular"/>
          <w:b w:val="0"/>
          <w:bCs w:val="0"/>
          <w:color w:val="auto"/>
          <w:sz w:val="32"/>
          <w:szCs w:val="32"/>
          <w:lang w:val="en-US" w:eastAsia="zh-CN"/>
        </w:rPr>
        <w:t>万元，资产使用率</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4" w:name="_Toc10378"/>
      <w:bookmarkStart w:id="35" w:name="_Toc1361"/>
      <w:bookmarkStart w:id="36" w:name="_Toc19688"/>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共青团北塔区委在《政府采购管理实施办法》中明确了政府采购相关规定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37" w:name="_Toc30521"/>
      <w:bookmarkStart w:id="38" w:name="_Toc15041"/>
      <w:bookmarkStart w:id="39" w:name="_Toc12004"/>
      <w:r>
        <w:rPr>
          <w:rFonts w:hint="default" w:ascii="Times New Roman Regular" w:hAnsi="Times New Roman Regular" w:eastAsia="黑体" w:cs="Times New Roman Regular"/>
          <w:b/>
          <w:bCs/>
          <w:kern w:val="2"/>
          <w:sz w:val="32"/>
          <w:szCs w:val="32"/>
          <w:lang w:val="en-US" w:eastAsia="zh-CN" w:bidi="ar-SA"/>
        </w:rPr>
        <w:t>四、第三方重点绩效评价工作情况</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40" w:name="_Toc12758"/>
      <w:bookmarkStart w:id="41" w:name="_Toc32407"/>
      <w:bookmarkStart w:id="42" w:name="_Toc28375"/>
      <w:r>
        <w:rPr>
          <w:rFonts w:hint="default" w:ascii="Times New Roman Regular" w:hAnsi="Times New Roman Regular" w:eastAsia="楷体" w:cs="Times New Roman Regular"/>
          <w:b/>
          <w:bCs/>
          <w:sz w:val="32"/>
          <w:szCs w:val="32"/>
          <w:lang w:val="en-US" w:eastAsia="zh-CN"/>
        </w:rPr>
        <w:t>（一）重点绩效评价目的</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整体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43" w:name="_Toc886"/>
      <w:bookmarkStart w:id="44" w:name="_Toc27861"/>
      <w:bookmarkStart w:id="45" w:name="_Toc32553"/>
      <w:r>
        <w:rPr>
          <w:rFonts w:hint="default" w:ascii="Times New Roman Regular" w:hAnsi="Times New Roman Regular" w:eastAsia="楷体" w:cs="Times New Roman Regular"/>
          <w:b/>
          <w:bCs/>
          <w:sz w:val="32"/>
          <w:szCs w:val="32"/>
          <w:lang w:val="en-US" w:eastAsia="zh-CN"/>
        </w:rPr>
        <w:t>（二）重点绩效评价工作过程</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参考</w:t>
      </w:r>
      <w:r>
        <w:rPr>
          <w:rFonts w:hint="eastAsia" w:ascii="仿宋_GB2312" w:hAnsi="仿宋_GB2312" w:eastAsia="仿宋_GB2312" w:cs="仿宋_GB2312"/>
          <w:sz w:val="32"/>
          <w:szCs w:val="32"/>
          <w:lang w:val="en-US" w:eastAsia="zh-CN"/>
        </w:rPr>
        <w:t>《湖南省财政厅关于印发&lt;湖南省预算支出绩效评价管理办法&gt;的通知》（湘财绩〔</w:t>
      </w:r>
      <w:r>
        <w:rPr>
          <w:rFonts w:hint="eastAsia" w:ascii="Times New Roman" w:hAnsi="Times New Roman" w:eastAsia="仿宋_GB2312" w:cs="仿宋_GB2312"/>
          <w:sz w:val="32"/>
          <w:szCs w:val="32"/>
          <w:lang w:val="en-US" w:eastAsia="zh-CN"/>
        </w:rPr>
        <w:t>2020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号）</w:t>
      </w:r>
      <w:r>
        <w:rPr>
          <w:rFonts w:hint="default" w:ascii="Times New Roman Regular" w:hAnsi="Times New Roman Regular" w:eastAsia="仿宋" w:cs="Times New Roman Regular"/>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46" w:name="_Toc2846"/>
      <w:bookmarkStart w:id="47" w:name="_Toc23076"/>
      <w:bookmarkStart w:id="48" w:name="_Toc7889"/>
      <w:r>
        <w:rPr>
          <w:rFonts w:hint="default" w:ascii="Times New Roman Regular" w:hAnsi="Times New Roman Regular" w:eastAsia="黑体" w:cs="Times New Roman Regular"/>
          <w:b/>
          <w:bCs/>
          <w:kern w:val="2"/>
          <w:sz w:val="32"/>
          <w:szCs w:val="32"/>
          <w:lang w:val="en-US" w:eastAsia="zh-CN" w:bidi="ar-SA"/>
        </w:rPr>
        <w:t>五、部门整体支出绩效情况</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49" w:name="_Toc26674"/>
      <w:bookmarkStart w:id="50" w:name="_Toc21733"/>
      <w:bookmarkStart w:id="51" w:name="_Toc17327"/>
      <w:r>
        <w:rPr>
          <w:rFonts w:hint="default" w:ascii="Times New Roman Regular" w:hAnsi="Times New Roman Regular" w:eastAsia="楷体" w:cs="Times New Roman Regular"/>
          <w:b/>
          <w:bCs/>
          <w:sz w:val="32"/>
          <w:szCs w:val="32"/>
          <w:lang w:val="en-US" w:eastAsia="zh-CN"/>
        </w:rPr>
        <w:t>（一）部门整体实际产出情况</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仿宋"/>
          <w:bCs/>
          <w:spacing w:val="-6"/>
          <w:sz w:val="32"/>
          <w:szCs w:val="32"/>
          <w:lang w:val="en-US" w:eastAsia="zh-CN"/>
        </w:rPr>
      </w:pPr>
      <w:bookmarkStart w:id="52" w:name="_Toc26383"/>
      <w:bookmarkStart w:id="53" w:name="_Toc9722"/>
      <w:r>
        <w:rPr>
          <w:rFonts w:hint="eastAsia" w:ascii="Times New Roman Regular" w:hAnsi="Times New Roman Regular" w:eastAsia="仿宋" w:cs="Times New Roman Regular"/>
          <w:b w:val="0"/>
          <w:bCs w:val="0"/>
          <w:sz w:val="32"/>
          <w:szCs w:val="32"/>
          <w:lang w:val="en-US" w:eastAsia="zh-CN"/>
        </w:rPr>
        <w:t>1.共青团北塔区委2022年度开展志愿服务活动数共计21次，活动主题包括“文明健康 志愿同行”、</w:t>
      </w:r>
      <w:r>
        <w:rPr>
          <w:rFonts w:hint="eastAsia" w:ascii="仿宋" w:hAnsi="仿宋" w:eastAsia="仿宋" w:cs="仿宋"/>
          <w:spacing w:val="-6"/>
          <w:kern w:val="2"/>
          <w:sz w:val="32"/>
          <w:szCs w:val="32"/>
        </w:rPr>
        <w:t>“幸福敲门、平安到家”</w:t>
      </w:r>
      <w:r>
        <w:rPr>
          <w:rFonts w:hint="eastAsia" w:ascii="仿宋" w:hAnsi="仿宋" w:eastAsia="仿宋" w:cs="仿宋"/>
          <w:spacing w:val="-6"/>
          <w:kern w:val="2"/>
          <w:sz w:val="32"/>
          <w:szCs w:val="32"/>
          <w:lang w:eastAsia="zh-CN"/>
        </w:rPr>
        <w:t>、</w:t>
      </w:r>
      <w:r>
        <w:rPr>
          <w:rFonts w:hint="eastAsia" w:ascii="仿宋" w:hAnsi="仿宋" w:eastAsia="仿宋" w:cs="仿宋"/>
          <w:spacing w:val="-6"/>
          <w:kern w:val="2"/>
          <w:sz w:val="32"/>
          <w:szCs w:val="32"/>
        </w:rPr>
        <w:t>“情满北塔，暖冬行动”</w:t>
      </w:r>
      <w:r>
        <w:rPr>
          <w:rFonts w:hint="eastAsia" w:ascii="仿宋" w:hAnsi="仿宋" w:eastAsia="仿宋" w:cs="仿宋"/>
          <w:spacing w:val="-6"/>
          <w:kern w:val="2"/>
          <w:sz w:val="32"/>
          <w:szCs w:val="32"/>
          <w:lang w:eastAsia="zh-CN"/>
        </w:rPr>
        <w:t>、</w:t>
      </w:r>
      <w:r>
        <w:rPr>
          <w:rFonts w:hint="eastAsia" w:ascii="仿宋" w:hAnsi="仿宋" w:eastAsia="仿宋" w:cs="仿宋"/>
          <w:bCs/>
          <w:spacing w:val="-6"/>
          <w:sz w:val="32"/>
          <w:szCs w:val="32"/>
        </w:rPr>
        <w:t>“疫情防控齐出力，守护社区平安行”</w:t>
      </w:r>
      <w:r>
        <w:rPr>
          <w:rFonts w:hint="eastAsia" w:ascii="仿宋" w:hAnsi="仿宋" w:eastAsia="仿宋" w:cs="仿宋"/>
          <w:bCs/>
          <w:spacing w:val="-6"/>
          <w:sz w:val="32"/>
          <w:szCs w:val="32"/>
          <w:lang w:val="en-US" w:eastAsia="zh-CN"/>
        </w:rPr>
        <w:t>等。</w:t>
      </w:r>
      <w:bookmarkEnd w:id="52"/>
      <w:bookmarkEnd w:id="53"/>
    </w:p>
    <w:p>
      <w:pPr>
        <w:pStyle w:val="2"/>
        <w:rPr>
          <w:rFonts w:hint="default" w:ascii="Times New Roman Regular" w:hAnsi="Times New Roman Regular" w:eastAsia="仿宋" w:cs="Times New Roman Regular"/>
          <w:b w:val="0"/>
          <w:bCs w:val="0"/>
          <w:kern w:val="2"/>
          <w:sz w:val="32"/>
          <w:szCs w:val="32"/>
          <w:lang w:val="en-US" w:eastAsia="zh-CN" w:bidi="ar-SA"/>
        </w:rPr>
      </w:pPr>
      <w:r>
        <w:rPr>
          <w:rFonts w:hint="eastAsia" w:ascii="仿宋" w:hAnsi="仿宋" w:eastAsia="仿宋" w:cs="仿宋"/>
          <w:bCs/>
          <w:spacing w:val="-6"/>
          <w:sz w:val="32"/>
          <w:szCs w:val="32"/>
          <w:lang w:val="en-US" w:eastAsia="zh-CN"/>
        </w:rPr>
        <w:t xml:space="preserve">   </w:t>
      </w:r>
      <w:r>
        <w:rPr>
          <w:rFonts w:hint="default" w:ascii="Times New Roman" w:hAnsi="Times New Roman" w:eastAsia="仿宋" w:cs="Times New Roman"/>
          <w:bCs/>
          <w:spacing w:val="-6"/>
          <w:sz w:val="32"/>
          <w:szCs w:val="32"/>
          <w:lang w:val="en-US" w:eastAsia="zh-CN"/>
        </w:rPr>
        <w:t xml:space="preserve"> </w:t>
      </w:r>
      <w:r>
        <w:rPr>
          <w:rFonts w:hint="eastAsia" w:ascii="Times New Roman" w:hAnsi="Times New Roman" w:eastAsia="仿宋" w:cs="Times New Roman"/>
          <w:bCs/>
          <w:spacing w:val="-6"/>
          <w:sz w:val="32"/>
          <w:szCs w:val="32"/>
          <w:lang w:val="en-US" w:eastAsia="zh-CN"/>
        </w:rPr>
        <w:t xml:space="preserve"> </w:t>
      </w:r>
      <w:r>
        <w:rPr>
          <w:rFonts w:hint="default" w:ascii="Times New Roman" w:hAnsi="Times New Roman" w:eastAsia="仿宋" w:cs="Times New Roman"/>
          <w:bCs/>
          <w:spacing w:val="-6"/>
          <w:sz w:val="32"/>
          <w:szCs w:val="32"/>
          <w:lang w:val="en-US" w:eastAsia="zh-CN"/>
        </w:rPr>
        <w:t>2.</w:t>
      </w:r>
      <w:r>
        <w:rPr>
          <w:rFonts w:hint="eastAsia" w:ascii="Times New Roman Regular" w:hAnsi="Times New Roman Regular" w:eastAsia="仿宋" w:cs="Times New Roman Regular"/>
          <w:b w:val="0"/>
          <w:bCs w:val="0"/>
          <w:kern w:val="2"/>
          <w:sz w:val="32"/>
          <w:szCs w:val="32"/>
          <w:lang w:val="en-US" w:eastAsia="zh-CN" w:bidi="ar-SA"/>
        </w:rPr>
        <w:t>工资及政策性社会保障性资金按月支付次数共12次。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4" w:name="_Toc15681"/>
      <w:bookmarkStart w:id="55" w:name="_Toc7510"/>
      <w:bookmarkStart w:id="56" w:name="_Toc11073"/>
      <w:r>
        <w:rPr>
          <w:rFonts w:hint="default" w:ascii="Times New Roman Regular" w:hAnsi="Times New Roman Regular" w:eastAsia="楷体" w:cs="Times New Roman Regular"/>
          <w:b/>
          <w:bCs/>
          <w:sz w:val="32"/>
          <w:szCs w:val="32"/>
          <w:lang w:val="en-US" w:eastAsia="zh-CN"/>
        </w:rPr>
        <w:t>（二）部门整体效益情况</w:t>
      </w:r>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57" w:name="_Toc18931"/>
      <w:bookmarkStart w:id="58" w:name="_Toc21621"/>
      <w:bookmarkStart w:id="59" w:name="_Toc15398"/>
      <w:bookmarkStart w:id="60" w:name="_Toc16987"/>
      <w:r>
        <w:rPr>
          <w:rFonts w:hint="eastAsia" w:ascii="Times New Roman Regular" w:hAnsi="Times New Roman Regular" w:eastAsia="仿宋" w:cs="Times New Roman Regular"/>
          <w:b w:val="0"/>
          <w:bCs w:val="0"/>
          <w:color w:val="auto"/>
          <w:sz w:val="32"/>
          <w:szCs w:val="32"/>
          <w:lang w:val="en-US" w:eastAsia="zh-CN"/>
        </w:rPr>
        <w:t>2022年，</w:t>
      </w:r>
      <w:bookmarkEnd w:id="57"/>
      <w:bookmarkEnd w:id="58"/>
      <w:r>
        <w:rPr>
          <w:rFonts w:hint="eastAsia" w:ascii="Times New Roman Regular" w:hAnsi="Times New Roman Regular" w:eastAsia="仿宋" w:cs="Times New Roman Regular"/>
          <w:b w:val="0"/>
          <w:bCs w:val="0"/>
          <w:sz w:val="32"/>
          <w:szCs w:val="32"/>
          <w:lang w:val="en-US" w:eastAsia="zh-CN"/>
        </w:rPr>
        <w:t>共青团北塔区委</w:t>
      </w:r>
      <w:r>
        <w:rPr>
          <w:rFonts w:hint="eastAsia" w:ascii="Times New Roman Regular" w:hAnsi="Times New Roman Regular" w:eastAsia="仿宋" w:cs="Times New Roman Regular"/>
          <w:b w:val="0"/>
          <w:bCs w:val="0"/>
          <w:color w:val="auto"/>
          <w:sz w:val="32"/>
          <w:szCs w:val="32"/>
          <w:lang w:val="en-US" w:eastAsia="zh-CN"/>
        </w:rPr>
        <w:t>充分履行职责职能，严格执行各项管理制度，经济、社会等效益显著、社会公众满意度上升，较好地完成了全年工作目标。</w:t>
      </w:r>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1" w:name="_Toc6772"/>
      <w:bookmarkStart w:id="62" w:name="_Toc30651"/>
      <w:r>
        <w:rPr>
          <w:rFonts w:hint="eastAsia" w:ascii="Times New Roman Regular" w:hAnsi="Times New Roman Regular" w:eastAsia="仿宋" w:cs="Times New Roman Regular"/>
          <w:b w:val="0"/>
          <w:bCs w:val="0"/>
          <w:color w:val="auto"/>
          <w:sz w:val="32"/>
          <w:szCs w:val="32"/>
          <w:lang w:val="en-US" w:eastAsia="zh-CN"/>
        </w:rPr>
        <w:t>1.落实基层党建工作，严抓队伍建设。</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3" w:name="_Toc18657"/>
      <w:bookmarkStart w:id="64" w:name="_Toc8350"/>
      <w:r>
        <w:rPr>
          <w:rFonts w:hint="eastAsia" w:ascii="Times New Roman Regular" w:hAnsi="Times New Roman Regular" w:eastAsia="仿宋" w:cs="Times New Roman Regular"/>
          <w:b w:val="0"/>
          <w:bCs w:val="0"/>
          <w:color w:val="auto"/>
          <w:sz w:val="32"/>
          <w:szCs w:val="32"/>
          <w:lang w:val="en-US" w:eastAsia="zh-CN"/>
        </w:rPr>
        <w:t>开展《习近平谈治国理政》第四卷宣讲活动，在全区各学校开展党的二十大精神宣讲活动，推动广大党员、干部和群众深入学习贯彻习近平新时代中国特色社会主义思想。组织全区各级团组织开展“喜迎二十大，永远跟党走，奋进新征程”主题教育实践等系列活动和学习贯彻习近平总书记在庆祝中国共青团成立100周年大会上的重要讲话精神等主题团日活动，以上率下，由点及面，推动为党育人的政治责任落深落实。</w:t>
      </w:r>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5" w:name="_Toc7603"/>
      <w:bookmarkStart w:id="66" w:name="_Toc30442"/>
      <w:r>
        <w:rPr>
          <w:rFonts w:hint="eastAsia" w:ascii="Times New Roman Regular" w:hAnsi="Times New Roman Regular" w:eastAsia="仿宋" w:cs="Times New Roman Regular"/>
          <w:b w:val="0"/>
          <w:bCs w:val="0"/>
          <w:color w:val="auto"/>
          <w:sz w:val="32"/>
          <w:szCs w:val="32"/>
          <w:lang w:val="en-US" w:eastAsia="zh-CN"/>
        </w:rPr>
        <w:t>2.加强风险防控。</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7" w:name="_Toc15640"/>
      <w:bookmarkStart w:id="68" w:name="_Toc2723"/>
      <w:r>
        <w:rPr>
          <w:rFonts w:hint="eastAsia" w:ascii="Times New Roman Regular" w:hAnsi="Times New Roman Regular" w:eastAsia="仿宋" w:cs="Times New Roman Regular"/>
          <w:b w:val="0"/>
          <w:bCs w:val="0"/>
          <w:color w:val="auto"/>
          <w:sz w:val="32"/>
          <w:szCs w:val="32"/>
          <w:lang w:val="en-US" w:eastAsia="zh-CN"/>
        </w:rPr>
        <w:t>一是通过组织各类宣传教育，在预防青少年违法犯罪方面下功夫，开展进校园、村（社区）普法宣传活动；二是在传统节日及敏感时期注重安全教育、寒冬送温暖等各类活动助推地方平稳发展。</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69" w:name="_Toc29968"/>
      <w:bookmarkStart w:id="70" w:name="_Toc17673"/>
      <w:r>
        <w:rPr>
          <w:rFonts w:hint="eastAsia" w:ascii="Times New Roman Regular" w:hAnsi="Times New Roman Regular" w:eastAsia="仿宋" w:cs="Times New Roman Regular"/>
          <w:b w:val="0"/>
          <w:bCs w:val="0"/>
          <w:color w:val="auto"/>
          <w:sz w:val="32"/>
          <w:szCs w:val="32"/>
          <w:lang w:val="en-US" w:eastAsia="zh-CN"/>
        </w:rPr>
        <w:t>3.全力以赴，打赢疫情防控攻坚战。</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71" w:name="_Toc1982"/>
      <w:bookmarkStart w:id="72" w:name="_Toc15542"/>
      <w:r>
        <w:rPr>
          <w:rFonts w:hint="eastAsia" w:ascii="Times New Roman Regular" w:hAnsi="Times New Roman Regular" w:eastAsia="仿宋" w:cs="Times New Roman Regular"/>
          <w:b w:val="0"/>
          <w:bCs w:val="0"/>
          <w:color w:val="auto"/>
          <w:sz w:val="32"/>
          <w:szCs w:val="32"/>
          <w:lang w:val="en-US" w:eastAsia="zh-CN"/>
        </w:rPr>
        <w:t>在今年全市突发的两次疫情高压态势下，团区委积极发动辖区社会志愿者参与疫情防控工作，招募辖区志愿者1800余人活跃在样本转运、关卡值守、隔离点后勤服务、物资接收、社区核酸检测维持秩序等各种岗位上，为全区打赢疫情防控战起到了重要作用。</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73" w:name="_Toc2659"/>
      <w:bookmarkStart w:id="74" w:name="_Toc26816"/>
      <w:r>
        <w:rPr>
          <w:rFonts w:hint="eastAsia" w:ascii="Times New Roman Regular" w:hAnsi="Times New Roman Regular" w:eastAsia="仿宋" w:cs="Times New Roman Regular"/>
          <w:b w:val="0"/>
          <w:bCs w:val="0"/>
          <w:color w:val="auto"/>
          <w:sz w:val="32"/>
          <w:szCs w:val="32"/>
          <w:lang w:val="en-US" w:eastAsia="zh-CN"/>
        </w:rPr>
        <w:t>4.开展文明创建工作。</w:t>
      </w:r>
      <w:bookmarkEnd w:id="73"/>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Times New Roman Regular" w:hAnsi="Times New Roman Regular" w:eastAsia="仿宋" w:cs="Times New Roman Regular"/>
          <w:b w:val="0"/>
          <w:bCs w:val="0"/>
          <w:color w:val="auto"/>
          <w:sz w:val="32"/>
          <w:szCs w:val="32"/>
          <w:lang w:val="en-US" w:eastAsia="zh-CN"/>
        </w:rPr>
      </w:pPr>
      <w:bookmarkStart w:id="75" w:name="_Toc6578"/>
      <w:bookmarkStart w:id="76" w:name="_Toc3530"/>
      <w:r>
        <w:rPr>
          <w:rFonts w:hint="eastAsia" w:ascii="Times New Roman Regular" w:hAnsi="Times New Roman Regular" w:eastAsia="仿宋" w:cs="Times New Roman Regular"/>
          <w:b w:val="0"/>
          <w:bCs w:val="0"/>
          <w:color w:val="auto"/>
          <w:sz w:val="32"/>
          <w:szCs w:val="32"/>
          <w:lang w:val="en-US" w:eastAsia="zh-CN"/>
        </w:rPr>
        <w:t>开展“情满旅途，暖冬行动”春运志愿活动，举办青年创文广告设计大赛，七夕期间开展的“爱在邵阳、幸福相约”青年联系活动均获得省级媒体宣传，定期开展“河小青”志愿服务活动。</w:t>
      </w:r>
      <w:bookmarkEnd w:id="75"/>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77" w:name="_Toc19695"/>
      <w:bookmarkStart w:id="78" w:name="_Toc32623"/>
      <w:bookmarkStart w:id="79" w:name="_Toc21374"/>
      <w:r>
        <w:rPr>
          <w:rFonts w:hint="default" w:ascii="Times New Roman Regular" w:hAnsi="Times New Roman Regular" w:eastAsia="楷体" w:cs="Times New Roman Regular"/>
          <w:b/>
          <w:bCs/>
          <w:sz w:val="32"/>
          <w:szCs w:val="32"/>
          <w:lang w:val="en-US" w:eastAsia="zh-CN"/>
        </w:rPr>
        <w:t>（三）部门整体满意度</w:t>
      </w:r>
      <w:bookmarkEnd w:id="77"/>
      <w:bookmarkEnd w:id="78"/>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sz w:val="32"/>
          <w:szCs w:val="32"/>
          <w:lang w:val="en-US" w:eastAsia="zh-CN"/>
        </w:rPr>
        <w:t>绩效评价小组针对</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整体情况通过</w:t>
      </w:r>
      <w:r>
        <w:rPr>
          <w:rFonts w:hint="eastAsia" w:ascii="Times New Roman Regular" w:hAnsi="Times New Roman Regular" w:eastAsia="仿宋" w:cs="Times New Roman Regular"/>
          <w:b w:val="0"/>
          <w:bCs w:val="0"/>
          <w:sz w:val="32"/>
          <w:szCs w:val="32"/>
          <w:lang w:val="en-US" w:eastAsia="zh-CN"/>
        </w:rPr>
        <w:t>电子问卷向单位职工</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相关受益群体</w:t>
      </w:r>
      <w:r>
        <w:rPr>
          <w:rFonts w:hint="default" w:ascii="Times New Roman Regular" w:hAnsi="Times New Roman Regular" w:eastAsia="仿宋" w:cs="Times New Roman Regular"/>
          <w:b w:val="0"/>
          <w:bCs w:val="0"/>
          <w:sz w:val="32"/>
          <w:szCs w:val="32"/>
          <w:lang w:val="en-US" w:eastAsia="zh-CN"/>
        </w:rPr>
        <w:t>发放问卷进行满意度调查，共收集有效问卷</w:t>
      </w:r>
      <w:r>
        <w:rPr>
          <w:rFonts w:hint="eastAsia" w:ascii="Times New Roman Regular" w:hAnsi="Times New Roman Regular" w:eastAsia="仿宋" w:cs="Times New Roman Regular"/>
          <w:b w:val="0"/>
          <w:bCs w:val="0"/>
          <w:color w:val="auto"/>
          <w:sz w:val="32"/>
          <w:szCs w:val="32"/>
          <w:lang w:val="en-US" w:eastAsia="zh-CN"/>
        </w:rPr>
        <w:t>15</w:t>
      </w:r>
      <w:r>
        <w:rPr>
          <w:rFonts w:hint="default" w:ascii="Times New Roman Regular" w:hAnsi="Times New Roman Regular" w:eastAsia="仿宋" w:cs="Times New Roman Regular"/>
          <w:b w:val="0"/>
          <w:bCs w:val="0"/>
          <w:color w:val="auto"/>
          <w:sz w:val="32"/>
          <w:szCs w:val="32"/>
          <w:lang w:val="en-US" w:eastAsia="zh-CN"/>
        </w:rPr>
        <w:t>份。经统计，2022年</w:t>
      </w:r>
      <w:r>
        <w:rPr>
          <w:rFonts w:hint="eastAsia" w:ascii="Times New Roman Regular" w:hAnsi="Times New Roman Regular" w:eastAsia="仿宋" w:cs="Times New Roman Regular"/>
          <w:b w:val="0"/>
          <w:bCs w:val="0"/>
          <w:color w:val="auto"/>
          <w:sz w:val="32"/>
          <w:szCs w:val="32"/>
          <w:lang w:val="en-US" w:eastAsia="zh-CN"/>
        </w:rPr>
        <w:t>共青团北塔区委</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80" w:name="_Toc12488"/>
      <w:bookmarkStart w:id="81" w:name="_Toc23852"/>
      <w:bookmarkStart w:id="82" w:name="_Toc12645"/>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80"/>
      <w:bookmarkEnd w:id="81"/>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根据资金绩效评价指标体系和绩效检查情况，</w:t>
      </w:r>
      <w:r>
        <w:rPr>
          <w:rFonts w:hint="eastAsia" w:ascii="Times New Roman Regular" w:hAnsi="Times New Roman Regular" w:eastAsia="仿宋" w:cs="Times New Roman Regular"/>
          <w:b w:val="0"/>
          <w:bCs w:val="0"/>
          <w:sz w:val="32"/>
          <w:szCs w:val="32"/>
          <w:lang w:val="en-US" w:eastAsia="zh-CN"/>
        </w:rPr>
        <w:t>共青团北塔区委</w:t>
      </w:r>
      <w:r>
        <w:rPr>
          <w:rFonts w:hint="default" w:ascii="Times New Roman Regular" w:hAnsi="Times New Roman Regular" w:eastAsia="仿宋" w:cs="Times New Roman Regular"/>
          <w:b w:val="0"/>
          <w:bCs w:val="0"/>
          <w:sz w:val="32"/>
          <w:szCs w:val="32"/>
          <w:lang w:val="en-US" w:eastAsia="zh-CN"/>
        </w:rPr>
        <w:t>2022年度部门整体支出重点绩效评价分值100分，从部门决策、部门预算、内部制度管理、部门产出、部门效益等方面总体评价，实得</w:t>
      </w:r>
      <w:r>
        <w:rPr>
          <w:rFonts w:hint="eastAsia" w:ascii="Times New Roman Regular" w:hAnsi="Times New Roman Regular" w:eastAsia="仿宋" w:cs="Times New Roman Regular"/>
          <w:b w:val="0"/>
          <w:bCs w:val="0"/>
          <w:color w:val="auto"/>
          <w:sz w:val="32"/>
          <w:szCs w:val="32"/>
          <w:lang w:val="en-US" w:eastAsia="zh-CN"/>
        </w:rPr>
        <w:t>93</w:t>
      </w:r>
      <w:r>
        <w:rPr>
          <w:rFonts w:hint="default" w:ascii="Times New Roman Regular" w:hAnsi="Times New Roman Regular" w:eastAsia="仿宋" w:cs="Times New Roman Regular"/>
          <w:b w:val="0"/>
          <w:bCs w:val="0"/>
          <w:sz w:val="32"/>
          <w:szCs w:val="32"/>
          <w:lang w:val="en-US" w:eastAsia="zh-CN"/>
        </w:rPr>
        <w:t>分，被评为</w:t>
      </w:r>
      <w:r>
        <w:rPr>
          <w:rFonts w:hint="eastAsia" w:ascii="仿宋" w:hAnsi="仿宋" w:eastAsia="仿宋" w:cs="仿宋"/>
          <w:b w:val="0"/>
          <w:bCs w:val="0"/>
          <w:sz w:val="32"/>
          <w:szCs w:val="32"/>
          <w:lang w:val="en-US" w:eastAsia="zh-CN"/>
        </w:rPr>
        <w:t>“优”等级（详见附件）</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83" w:name="_Toc31053"/>
      <w:bookmarkStart w:id="84" w:name="_Toc22595"/>
      <w:bookmarkStart w:id="85" w:name="_Toc4731"/>
      <w:r>
        <w:rPr>
          <w:rFonts w:hint="default" w:ascii="Times New Roman Regular" w:hAnsi="Times New Roman Regular" w:eastAsia="黑体" w:cs="Times New Roman Regular"/>
          <w:b/>
          <w:bCs/>
          <w:kern w:val="2"/>
          <w:sz w:val="32"/>
          <w:szCs w:val="32"/>
          <w:lang w:val="en-US" w:eastAsia="zh-CN" w:bidi="ar-SA"/>
        </w:rPr>
        <w:t>七、存在的主要问题</w:t>
      </w:r>
      <w:bookmarkEnd w:id="83"/>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outlineLvl w:val="1"/>
        <w:rPr>
          <w:rFonts w:hint="eastAsia" w:ascii="Times New Roman Regular" w:hAnsi="Times New Roman Regular" w:eastAsia="仿宋" w:cs="Times New Roman Regular"/>
          <w:b w:val="0"/>
          <w:bCs w:val="0"/>
          <w:kern w:val="2"/>
          <w:sz w:val="32"/>
          <w:szCs w:val="32"/>
          <w:highlight w:val="none"/>
          <w:lang w:val="en-US" w:eastAsia="zh-CN" w:bidi="ar-SA"/>
        </w:rPr>
      </w:pPr>
      <w:bookmarkStart w:id="86" w:name="_Toc31004"/>
      <w:bookmarkStart w:id="87" w:name="_Toc7763"/>
      <w:bookmarkStart w:id="88" w:name="_Toc23743"/>
      <w:r>
        <w:rPr>
          <w:rFonts w:hint="eastAsia" w:ascii="Times New Roman Regular" w:hAnsi="Times New Roman Regular" w:eastAsia="楷体" w:cs="Times New Roman Regular"/>
          <w:b/>
          <w:bCs/>
          <w:sz w:val="32"/>
          <w:szCs w:val="32"/>
          <w:highlight w:val="none"/>
          <w:lang w:val="en-US" w:eastAsia="zh-CN"/>
        </w:rPr>
        <w:t>（一）绩效管理方面</w:t>
      </w:r>
      <w:bookmarkEnd w:id="86"/>
      <w:bookmarkEnd w:id="87"/>
    </w:p>
    <w:p>
      <w:pPr>
        <w:pStyle w:val="2"/>
        <w:spacing w:line="360" w:lineRule="auto"/>
        <w:ind w:firstLine="640"/>
        <w:rPr>
          <w:rFonts w:hint="eastAsia" w:ascii="Times New Roman Regular" w:hAnsi="Times New Roman Regular" w:eastAsia="仿宋" w:cs="Times New Roman Regular"/>
          <w:b w:val="0"/>
          <w:bCs w:val="0"/>
          <w:kern w:val="2"/>
          <w:sz w:val="32"/>
          <w:szCs w:val="32"/>
          <w:highlight w:val="none"/>
          <w:lang w:val="en-US" w:eastAsia="zh-CN" w:bidi="ar-SA"/>
        </w:rPr>
      </w:pPr>
      <w:r>
        <w:rPr>
          <w:rFonts w:hint="eastAsia" w:ascii="Times New Roman Regular" w:hAnsi="Times New Roman Regular" w:eastAsia="仿宋" w:cs="Times New Roman Regular"/>
          <w:b/>
          <w:bCs/>
          <w:kern w:val="2"/>
          <w:sz w:val="32"/>
          <w:szCs w:val="32"/>
          <w:highlight w:val="none"/>
          <w:lang w:val="en-US" w:eastAsia="zh-CN" w:bidi="ar-SA"/>
        </w:rPr>
        <w:t>绩效指标设立不全面。</w:t>
      </w:r>
      <w:r>
        <w:rPr>
          <w:rFonts w:hint="eastAsia" w:ascii="Times New Roman Regular" w:hAnsi="Times New Roman Regular" w:eastAsia="仿宋" w:cs="Times New Roman Regular"/>
          <w:b w:val="0"/>
          <w:bCs w:val="0"/>
          <w:kern w:val="2"/>
          <w:sz w:val="32"/>
          <w:szCs w:val="32"/>
          <w:highlight w:val="none"/>
          <w:lang w:val="en-US" w:eastAsia="zh-CN" w:bidi="ar-SA"/>
        </w:rPr>
        <w:t>2022年整体支出绩效目标中，产出指标仅设置数量指标、时效指标，未设置质量指标、成本指标。未制定事中监控机制，2022年度未实施绩效运行跟踪监控。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89" w:name="_Toc24486"/>
      <w:bookmarkStart w:id="90" w:name="_Toc14005"/>
      <w:r>
        <w:rPr>
          <w:rFonts w:hint="eastAsia" w:ascii="Times New Roman Regular" w:hAnsi="Times New Roman Regular" w:eastAsia="楷体" w:cs="Times New Roman Regular"/>
          <w:b/>
          <w:bCs/>
          <w:sz w:val="32"/>
          <w:szCs w:val="32"/>
          <w:highlight w:val="none"/>
          <w:lang w:val="en-US" w:eastAsia="zh-CN"/>
        </w:rPr>
        <w:t>（二）政府采购方面</w:t>
      </w:r>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highlight w:val="none"/>
          <w:lang w:val="en-US" w:eastAsia="zh-CN"/>
        </w:rPr>
      </w:pPr>
      <w:r>
        <w:rPr>
          <w:rFonts w:hint="eastAsia" w:ascii="Times New Roman Regular" w:hAnsi="Times New Roman Regular" w:eastAsia="仿宋" w:cs="Times New Roman Regular"/>
          <w:b/>
          <w:bCs/>
          <w:sz w:val="32"/>
          <w:szCs w:val="32"/>
          <w:highlight w:val="none"/>
          <w:lang w:val="en-US" w:eastAsia="zh-CN"/>
        </w:rPr>
        <w:t>政府采购无预算。</w:t>
      </w:r>
      <w:r>
        <w:rPr>
          <w:rFonts w:hint="eastAsia" w:ascii="Times New Roman Regular" w:hAnsi="Times New Roman Regular" w:eastAsia="仿宋" w:cs="Times New Roman Regular"/>
          <w:b w:val="0"/>
          <w:bCs w:val="0"/>
          <w:sz w:val="32"/>
          <w:szCs w:val="32"/>
          <w:highlight w:val="none"/>
          <w:lang w:val="en-US" w:eastAsia="zh-CN"/>
        </w:rPr>
        <w:t>经查看共青团北塔区委2022年度预算报表，单位未进行2022年度政府采购预算。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91" w:name="_Toc15392"/>
      <w:bookmarkStart w:id="92" w:name="_Toc29816"/>
      <w:bookmarkStart w:id="93" w:name="_Toc7224"/>
      <w:r>
        <w:rPr>
          <w:rFonts w:hint="default" w:ascii="Times New Roman Regular" w:hAnsi="Times New Roman Regular" w:eastAsia="楷体" w:cs="Times New Roman Regular"/>
          <w:b/>
          <w:bCs/>
          <w:sz w:val="32"/>
          <w:szCs w:val="32"/>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三</w:t>
      </w:r>
      <w:r>
        <w:rPr>
          <w:rFonts w:hint="default" w:ascii="Times New Roman Regular" w:hAnsi="Times New Roman Regular" w:eastAsia="楷体" w:cs="Times New Roman Regular"/>
          <w:b/>
          <w:bCs/>
          <w:sz w:val="32"/>
          <w:szCs w:val="32"/>
          <w:highlight w:val="none"/>
          <w:lang w:val="en-US" w:eastAsia="zh-CN"/>
        </w:rPr>
        <w:t>）</w:t>
      </w:r>
      <w:r>
        <w:rPr>
          <w:rFonts w:hint="eastAsia" w:ascii="Times New Roman Regular" w:hAnsi="Times New Roman Regular" w:eastAsia="楷体" w:cs="Times New Roman Regular"/>
          <w:b/>
          <w:bCs/>
          <w:sz w:val="32"/>
          <w:szCs w:val="32"/>
          <w:highlight w:val="none"/>
          <w:lang w:val="en-US" w:eastAsia="zh-CN"/>
        </w:rPr>
        <w:t>财务管理方面</w:t>
      </w:r>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highlight w:val="yellow"/>
          <w:lang w:val="en-US" w:eastAsia="zh-CN"/>
        </w:rPr>
      </w:pPr>
      <w:r>
        <w:rPr>
          <w:rFonts w:hint="eastAsia" w:ascii="Times New Roman Regular" w:hAnsi="Times New Roman Regular" w:eastAsia="仿宋" w:cs="Times New Roman Regular"/>
          <w:b/>
          <w:bCs/>
          <w:sz w:val="32"/>
          <w:szCs w:val="32"/>
          <w:highlight w:val="none"/>
          <w:lang w:val="en-US" w:eastAsia="zh-CN"/>
        </w:rPr>
        <w:t>附件不齐全。</w:t>
      </w:r>
      <w:r>
        <w:rPr>
          <w:rFonts w:hint="eastAsia" w:ascii="Times New Roman Regular" w:hAnsi="Times New Roman Regular" w:eastAsia="仿宋" w:cs="Times New Roman Regular"/>
          <w:b w:val="0"/>
          <w:bCs w:val="0"/>
          <w:sz w:val="32"/>
          <w:szCs w:val="32"/>
          <w:highlight w:val="none"/>
          <w:lang w:val="en-US" w:eastAsia="zh-CN"/>
        </w:rPr>
        <w:t>经查看共青团北塔区委2022年12月23#凭证，固定资产内部调整0.66万元，未附相关明细附件资料。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highlight w:val="none"/>
          <w:lang w:val="en-US" w:eastAsia="zh-CN"/>
        </w:rPr>
      </w:pPr>
      <w:bookmarkStart w:id="94" w:name="_Toc20824"/>
      <w:bookmarkStart w:id="95" w:name="_Toc12704"/>
      <w:bookmarkStart w:id="96" w:name="_Toc19409"/>
      <w:r>
        <w:rPr>
          <w:rFonts w:hint="eastAsia" w:ascii="Times New Roman Regular" w:hAnsi="Times New Roman Regular" w:eastAsia="楷体" w:cs="Times New Roman Regular"/>
          <w:b/>
          <w:bCs/>
          <w:sz w:val="32"/>
          <w:szCs w:val="32"/>
          <w:highlight w:val="none"/>
          <w:lang w:val="en-US" w:eastAsia="zh-CN"/>
        </w:rPr>
        <w:t>（四）资产管理方面</w:t>
      </w:r>
      <w:bookmarkEnd w:id="94"/>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highlight w:val="yellow"/>
          <w:lang w:val="en-US" w:eastAsia="zh-CN"/>
        </w:rPr>
      </w:pPr>
      <w:r>
        <w:rPr>
          <w:rFonts w:hint="eastAsia" w:ascii="Times New Roman Regular" w:hAnsi="Times New Roman Regular" w:eastAsia="仿宋" w:cs="Times New Roman Regular"/>
          <w:b/>
          <w:bCs/>
          <w:sz w:val="32"/>
          <w:szCs w:val="32"/>
          <w:highlight w:val="none"/>
          <w:lang w:val="en-US" w:eastAsia="zh-CN"/>
        </w:rPr>
        <w:t>资产管理不规范。</w:t>
      </w:r>
      <w:r>
        <w:rPr>
          <w:rFonts w:hint="eastAsia" w:ascii="Times New Roman Regular" w:hAnsi="Times New Roman Regular" w:eastAsia="仿宋" w:cs="Times New Roman Regular"/>
          <w:b w:val="0"/>
          <w:bCs w:val="0"/>
          <w:sz w:val="32"/>
          <w:szCs w:val="32"/>
          <w:highlight w:val="none"/>
          <w:lang w:val="en-US" w:eastAsia="zh-CN"/>
        </w:rPr>
        <w:t>经现场检查单位资产，一是资产均未贴标，且大部分资产在资产卡片列表中未写明资产存放位置，不利于单位资产管理；二是个别资产类别分类、型号品牌未登记，如资产编号2019000002，资产编号TY2021000001等未登记型号品牌；三是存在资产未及时进行账务核销的情况，如资产编号2019000001实际使用状态“已报废”，但是资产卡片系统使用状态为“在用”；四是资产名称不明确，如资产编号JJ2020000001资产名称为台、桌类，实际资产包括办公皮椅、办公桌、办公茶几、铁皮柜、投影仪等；五是资产系统使用状态与实际使用状态不一致，如资产编号2019000001，资产系统使用状态为“在用”，实际使用状态为“闲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97" w:name="_Toc14824"/>
      <w:bookmarkStart w:id="98" w:name="_Toc11704"/>
      <w:bookmarkStart w:id="99" w:name="_Toc18558"/>
      <w:r>
        <w:rPr>
          <w:rFonts w:hint="default" w:ascii="Times New Roman Regular" w:hAnsi="Times New Roman Regular" w:eastAsia="黑体" w:cs="Times New Roman Regular"/>
          <w:b/>
          <w:bCs/>
          <w:kern w:val="2"/>
          <w:sz w:val="32"/>
          <w:szCs w:val="32"/>
          <w:lang w:val="en-US" w:eastAsia="zh-CN" w:bidi="ar-SA"/>
        </w:rPr>
        <w:t>八、相关建议</w:t>
      </w:r>
      <w:bookmarkEnd w:id="97"/>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100" w:name="_Toc25649"/>
      <w:bookmarkStart w:id="101" w:name="_Toc5463"/>
      <w:bookmarkStart w:id="102" w:name="_Toc24371"/>
      <w:r>
        <w:rPr>
          <w:rFonts w:hint="eastAsia" w:ascii="Times New Roman Regular" w:hAnsi="Times New Roman Regular" w:eastAsia="楷体" w:cs="Times New Roman Regular"/>
          <w:b/>
          <w:bCs/>
          <w:sz w:val="32"/>
          <w:szCs w:val="32"/>
          <w:highlight w:val="none"/>
          <w:lang w:val="en-US" w:eastAsia="zh-CN"/>
        </w:rPr>
        <w:t>（一）</w:t>
      </w:r>
      <w:bookmarkEnd w:id="100"/>
      <w:r>
        <w:rPr>
          <w:rFonts w:hint="eastAsia" w:ascii="Times New Roman Regular" w:hAnsi="Times New Roman Regular" w:eastAsia="楷体" w:cs="Times New Roman Regular"/>
          <w:b/>
          <w:bCs/>
          <w:sz w:val="32"/>
          <w:szCs w:val="32"/>
          <w:highlight w:val="none"/>
        </w:rPr>
        <w:t>增强绩效目标管理意识</w:t>
      </w:r>
      <w:bookmarkEnd w:id="101"/>
      <w:bookmarkEnd w:id="10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Times New Roman Regular" w:hAnsi="Times New Roman Regular" w:eastAsia="仿宋" w:cs="Times New Roman Regular"/>
          <w:b w:val="0"/>
          <w:bCs w:val="0"/>
          <w:kern w:val="2"/>
          <w:sz w:val="32"/>
          <w:szCs w:val="32"/>
          <w:lang w:val="en-US" w:eastAsia="zh-CN" w:bidi="ar-SA"/>
        </w:rPr>
      </w:pPr>
      <w:r>
        <w:rPr>
          <w:rFonts w:hint="eastAsia" w:ascii="Times New Roman Regular" w:hAnsi="Times New Roman Regular" w:eastAsia="仿宋" w:cs="Times New Roman Regular"/>
          <w:b w:val="0"/>
          <w:bCs w:val="0"/>
          <w:kern w:val="2"/>
          <w:sz w:val="32"/>
          <w:szCs w:val="32"/>
          <w:lang w:val="en-US" w:eastAsia="zh-CN" w:bidi="ar-SA"/>
        </w:rPr>
        <w:t>单位可以通过开展绩效管理培训等方式，让行政事业单位的负责人和承担项目绩效管理的相关人员深化财政项目绩效理念，逐步增强责任意识，提升项目预算管理水平。项目单位应在项目入库前结合项目具体建设内容、预算情况、实施条件以及项目特点，编制相应的预算草案、绩效目标，并将整体的绩效目标细化、分解为清晰、可衡量的绩效指标，在编制项目预算的同时编制绩效目标，实现绩效目标与预算编制一体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highlight w:val="none"/>
          <w:lang w:val="en-US" w:eastAsia="zh-CN"/>
        </w:rPr>
      </w:pPr>
      <w:bookmarkStart w:id="103" w:name="_Toc17699"/>
      <w:bookmarkStart w:id="104" w:name="_Toc1567"/>
      <w:bookmarkStart w:id="105" w:name="_Toc26336"/>
      <w:r>
        <w:rPr>
          <w:rFonts w:hint="eastAsia" w:ascii="Times New Roman Regular" w:hAnsi="Times New Roman Regular" w:eastAsia="楷体" w:cs="Times New Roman Regular"/>
          <w:b/>
          <w:bCs/>
          <w:sz w:val="32"/>
          <w:szCs w:val="32"/>
          <w:highlight w:val="none"/>
          <w:lang w:val="en-US" w:eastAsia="zh-CN"/>
        </w:rPr>
        <w:t>（二）加强政府采购管理</w:t>
      </w:r>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二是采购项目不得超过预算定额，增强采购的计划性</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06" w:name="_Toc21159"/>
      <w:bookmarkStart w:id="107" w:name="_Toc679"/>
      <w:bookmarkStart w:id="108" w:name="_Toc27565"/>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提高财务</w:t>
      </w:r>
      <w:r>
        <w:rPr>
          <w:rFonts w:hint="default" w:ascii="Times New Roman Regular" w:hAnsi="Times New Roman Regular" w:eastAsia="楷体" w:cs="Times New Roman Regular"/>
          <w:b/>
          <w:bCs/>
          <w:sz w:val="32"/>
          <w:szCs w:val="32"/>
          <w:lang w:val="en-US" w:eastAsia="zh-CN"/>
        </w:rPr>
        <w:t>管理</w:t>
      </w:r>
      <w:r>
        <w:rPr>
          <w:rFonts w:hint="eastAsia" w:ascii="Times New Roman Regular" w:hAnsi="Times New Roman Regular" w:eastAsia="楷体" w:cs="Times New Roman Regular"/>
          <w:b/>
          <w:bCs/>
          <w:sz w:val="32"/>
          <w:szCs w:val="32"/>
          <w:lang w:val="en-US" w:eastAsia="zh-CN"/>
        </w:rPr>
        <w:t>规范性</w:t>
      </w:r>
      <w:bookmarkEnd w:id="106"/>
      <w:bookmarkEnd w:id="107"/>
      <w:bookmarkEnd w:id="10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color w:val="auto"/>
          <w:sz w:val="32"/>
          <w:szCs w:val="32"/>
          <w:lang w:val="en-US" w:eastAsia="zh-CN" w:bidi="ar"/>
        </w:rPr>
      </w:pPr>
      <w:r>
        <w:rPr>
          <w:rFonts w:hint="default" w:ascii="Times New Roman" w:hAnsi="Times New Roman" w:eastAsia="仿宋" w:cs="Times New Roman"/>
          <w:b w:val="0"/>
          <w:bCs/>
          <w:color w:val="auto"/>
          <w:sz w:val="32"/>
          <w:szCs w:val="32"/>
          <w:lang w:val="en-US" w:eastAsia="zh-CN" w:bidi="ar"/>
        </w:rPr>
        <w:t>强化单位财务制度执行。按照自身制定的各项管理制度，</w:t>
      </w:r>
      <w:r>
        <w:rPr>
          <w:rFonts w:hint="eastAsia" w:ascii="Times New Roman" w:hAnsi="Times New Roman" w:eastAsia="仿宋" w:cs="Times New Roman"/>
          <w:b w:val="0"/>
          <w:bCs/>
          <w:color w:val="auto"/>
          <w:sz w:val="32"/>
          <w:szCs w:val="32"/>
          <w:lang w:val="en-US" w:eastAsia="zh-CN" w:bidi="ar"/>
        </w:rPr>
        <w:t>加大</w:t>
      </w:r>
      <w:r>
        <w:rPr>
          <w:rFonts w:hint="default" w:ascii="Times New Roman" w:hAnsi="Times New Roman" w:eastAsia="仿宋" w:cs="Times New Roman"/>
          <w:b w:val="0"/>
          <w:bCs/>
          <w:color w:val="auto"/>
          <w:sz w:val="32"/>
          <w:szCs w:val="32"/>
          <w:lang w:val="en-US" w:eastAsia="zh-CN" w:bidi="ar"/>
        </w:rPr>
        <w:t>对支出的审核力度，对相关资料不完整的经济事项要求补充，待补充完整相关资料后方予以支付款项。加强支出审核控制，规范资金使用，严格执行支出先审制度，规范财务支出流程，</w:t>
      </w:r>
      <w:r>
        <w:rPr>
          <w:rFonts w:hint="eastAsia" w:eastAsia="仿宋" w:cs="Times New Roman"/>
          <w:b w:val="0"/>
          <w:bCs/>
          <w:color w:val="auto"/>
          <w:sz w:val="32"/>
          <w:szCs w:val="32"/>
          <w:lang w:val="en-US" w:eastAsia="zh-CN" w:bidi="ar"/>
        </w:rPr>
        <w:t>确保原始</w:t>
      </w:r>
      <w:r>
        <w:rPr>
          <w:rFonts w:hint="default" w:ascii="Times New Roman" w:hAnsi="Times New Roman" w:eastAsia="仿宋" w:cs="Times New Roman"/>
          <w:b w:val="0"/>
          <w:bCs/>
          <w:color w:val="auto"/>
          <w:sz w:val="32"/>
          <w:szCs w:val="32"/>
          <w:lang w:val="en-US" w:eastAsia="zh-CN" w:bidi="ar"/>
        </w:rPr>
        <w:t>资料的完整性。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09" w:name="_Toc31031"/>
      <w:bookmarkStart w:id="110" w:name="_Toc29580"/>
      <w:bookmarkStart w:id="111" w:name="_Toc22533"/>
      <w:r>
        <w:rPr>
          <w:rFonts w:hint="eastAsia" w:ascii="Times New Roman Regular" w:hAnsi="Times New Roman Regular" w:eastAsia="楷体" w:cs="Times New Roman Regular"/>
          <w:b/>
          <w:bCs/>
          <w:sz w:val="32"/>
          <w:szCs w:val="32"/>
          <w:lang w:val="en-US" w:eastAsia="zh-CN"/>
        </w:rPr>
        <w:t>（四）规范资产管理</w:t>
      </w:r>
      <w:bookmarkEnd w:id="109"/>
      <w:bookmarkEnd w:id="110"/>
      <w:bookmarkEnd w:id="111"/>
    </w:p>
    <w:p>
      <w:pPr>
        <w:pStyle w:val="11"/>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Regular" w:hAnsi="Times New Roman Regular" w:eastAsia="仿宋" w:cs="Times New Roman Regular"/>
          <w:b w:val="0"/>
          <w:bCs w:val="0"/>
          <w:kern w:val="2"/>
          <w:sz w:val="32"/>
          <w:szCs w:val="32"/>
          <w:lang w:val="en-US" w:eastAsia="zh-CN" w:bidi="ar-SA"/>
        </w:rPr>
      </w:pPr>
      <w:r>
        <w:rPr>
          <w:rFonts w:hint="default" w:ascii="Times New Roman Regular" w:hAnsi="Times New Roman Regular" w:eastAsia="仿宋" w:cs="Times New Roman Regular"/>
          <w:b w:val="0"/>
          <w:bCs w:val="0"/>
          <w:kern w:val="2"/>
          <w:sz w:val="32"/>
          <w:szCs w:val="32"/>
          <w:lang w:val="en-US" w:eastAsia="zh-CN" w:bidi="ar-SA"/>
        </w:rPr>
        <w:t>建议</w:t>
      </w:r>
      <w:r>
        <w:rPr>
          <w:rFonts w:hint="eastAsia" w:ascii="Times New Roman Regular" w:hAnsi="Times New Roman Regular" w:eastAsia="仿宋" w:cs="Times New Roman Regular"/>
          <w:b w:val="0"/>
          <w:bCs w:val="0"/>
          <w:kern w:val="2"/>
          <w:sz w:val="32"/>
          <w:szCs w:val="32"/>
          <w:lang w:val="en-US" w:eastAsia="zh-CN" w:bidi="ar-SA"/>
        </w:rPr>
        <w:t>单位进一步</w:t>
      </w:r>
      <w:r>
        <w:rPr>
          <w:rFonts w:hint="default" w:ascii="Times New Roman Regular" w:hAnsi="Times New Roman Regular" w:eastAsia="仿宋" w:cs="Times New Roman Regular"/>
          <w:b w:val="0"/>
          <w:bCs w:val="0"/>
          <w:kern w:val="2"/>
          <w:sz w:val="32"/>
          <w:szCs w:val="32"/>
          <w:lang w:val="en-US" w:eastAsia="zh-CN" w:bidi="ar-SA"/>
        </w:rPr>
        <w:t>规范实物资产的管理，对</w:t>
      </w:r>
      <w:r>
        <w:rPr>
          <w:rFonts w:hint="eastAsia" w:ascii="Times New Roman Regular" w:hAnsi="Times New Roman Regular" w:eastAsia="仿宋" w:cs="Times New Roman Regular"/>
          <w:b w:val="0"/>
          <w:bCs w:val="0"/>
          <w:kern w:val="2"/>
          <w:sz w:val="32"/>
          <w:szCs w:val="32"/>
          <w:lang w:val="en-US" w:eastAsia="zh-CN" w:bidi="ar-SA"/>
        </w:rPr>
        <w:t>实物</w:t>
      </w:r>
      <w:r>
        <w:rPr>
          <w:rFonts w:hint="default" w:ascii="Times New Roman Regular" w:hAnsi="Times New Roman Regular" w:eastAsia="仿宋" w:cs="Times New Roman Regular"/>
          <w:b w:val="0"/>
          <w:bCs w:val="0"/>
          <w:kern w:val="2"/>
          <w:sz w:val="32"/>
          <w:szCs w:val="32"/>
          <w:lang w:val="en-US" w:eastAsia="zh-CN" w:bidi="ar-SA"/>
        </w:rPr>
        <w:t>资产进行定期或不定期的盘点，</w:t>
      </w:r>
      <w:r>
        <w:rPr>
          <w:rFonts w:hint="eastAsia" w:ascii="Times New Roman Regular" w:hAnsi="Times New Roman Regular" w:eastAsia="仿宋" w:cs="Times New Roman Regular"/>
          <w:b w:val="0"/>
          <w:bCs w:val="0"/>
          <w:kern w:val="2"/>
          <w:sz w:val="32"/>
          <w:szCs w:val="32"/>
          <w:lang w:val="en-US" w:eastAsia="zh-CN" w:bidi="ar-SA"/>
        </w:rPr>
        <w:t>对于资产分类、资产品牌、规格型号等资产信息录入错误的情况及时更正，</w:t>
      </w:r>
      <w:r>
        <w:rPr>
          <w:rFonts w:hint="default" w:ascii="Times New Roman Regular" w:hAnsi="Times New Roman Regular" w:eastAsia="仿宋" w:cs="Times New Roman Regular"/>
          <w:b w:val="0"/>
          <w:bCs w:val="0"/>
          <w:kern w:val="2"/>
          <w:sz w:val="32"/>
          <w:szCs w:val="32"/>
          <w:lang w:val="en-US" w:eastAsia="zh-CN" w:bidi="ar-SA"/>
        </w:rPr>
        <w:t>确保固定资产账实相符，对固定资产实行卡片管理，</w:t>
      </w:r>
      <w:r>
        <w:rPr>
          <w:rFonts w:hint="eastAsia" w:ascii="Times New Roman Regular" w:hAnsi="Times New Roman Regular" w:eastAsia="仿宋" w:cs="Times New Roman Regular"/>
          <w:b w:val="0"/>
          <w:bCs w:val="0"/>
          <w:kern w:val="2"/>
          <w:sz w:val="32"/>
          <w:szCs w:val="32"/>
          <w:lang w:val="en-US" w:eastAsia="zh-CN" w:bidi="ar-SA"/>
        </w:rPr>
        <w:t>每一个固定资产进行贴标，</w:t>
      </w:r>
      <w:r>
        <w:rPr>
          <w:rFonts w:hint="default" w:ascii="Times New Roman Regular" w:hAnsi="Times New Roman Regular" w:eastAsia="仿宋" w:cs="Times New Roman Regular"/>
          <w:b w:val="0"/>
          <w:bCs w:val="0"/>
          <w:kern w:val="2"/>
          <w:sz w:val="32"/>
          <w:szCs w:val="32"/>
          <w:lang w:val="en-US" w:eastAsia="zh-CN" w:bidi="ar-SA"/>
        </w:rPr>
        <w:t>明确使用部门及责任，确保国有资产的安全、完整。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12" w:name="_Toc28280"/>
      <w:bookmarkStart w:id="113" w:name="_Toc24893"/>
      <w:bookmarkStart w:id="114" w:name="_Toc5114"/>
      <w:r>
        <w:rPr>
          <w:rFonts w:hint="default" w:ascii="Times New Roman Regular" w:hAnsi="Times New Roman Regular" w:eastAsia="黑体" w:cs="Times New Roman Regular"/>
          <w:b/>
          <w:bCs/>
          <w:kern w:val="2"/>
          <w:sz w:val="32"/>
          <w:szCs w:val="32"/>
          <w:lang w:val="en-US" w:eastAsia="zh-CN" w:bidi="ar-SA"/>
        </w:rPr>
        <w:t>九、报告使用情况说明</w:t>
      </w:r>
      <w:bookmarkEnd w:id="112"/>
      <w:bookmarkEnd w:id="113"/>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中国共产主义青年团邵阳市北塔区委员会</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1"/>
        <w:rPr>
          <w:rFonts w:hint="default" w:ascii="Times New Roman Regular" w:hAnsi="Times New Roman Regular" w:eastAsia="仿宋" w:cs="Times New Roman Regular"/>
          <w:b w:val="0"/>
          <w:bCs w:val="0"/>
          <w:sz w:val="32"/>
          <w:szCs w:val="32"/>
          <w:lang w:val="en-US" w:eastAsia="zh-CN"/>
        </w:rPr>
      </w:pPr>
    </w:p>
    <w:p>
      <w:pPr>
        <w:pStyle w:val="11"/>
        <w:rPr>
          <w:rFonts w:hint="default" w:ascii="Times New Roman Regular" w:hAnsi="Times New Roman Regular" w:eastAsia="仿宋" w:cs="Times New Roman Regular"/>
          <w:b w:val="0"/>
          <w:bCs w:val="0"/>
          <w:sz w:val="28"/>
          <w:szCs w:val="28"/>
          <w:lang w:val="en-US" w:eastAsia="zh-CN"/>
        </w:rPr>
      </w:pPr>
      <w:r>
        <w:rPr>
          <w:rFonts w:hint="eastAsia" w:ascii="Times New Roman Regular" w:hAnsi="Times New Roman Regular" w:eastAsia="仿宋" w:cs="Times New Roman Regular"/>
          <w:b w:val="0"/>
          <w:bCs w:val="0"/>
          <w:sz w:val="32"/>
          <w:szCs w:val="32"/>
          <w:lang w:val="en-US" w:eastAsia="zh-CN"/>
        </w:rPr>
        <w:t>附件1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中国共产主义青年团邵阳市北塔区委员会</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1"/>
        <w:rPr>
          <w:rFonts w:hint="default" w:ascii="Times New Roman Regular" w:hAnsi="Times New Roman Regular" w:eastAsia="仿宋" w:cs="Times New Roman Regular"/>
          <w:b w:val="0"/>
          <w:bCs w:val="0"/>
          <w:sz w:val="28"/>
          <w:szCs w:val="28"/>
          <w:lang w:val="en-US" w:eastAsia="zh-CN"/>
        </w:rPr>
      </w:pPr>
      <w:r>
        <w:rPr>
          <w:rFonts w:hint="eastAsia" w:ascii="Times New Roman Regular" w:hAnsi="Times New Roman Regular" w:eastAsia="仿宋" w:cs="Times New Roman Regular"/>
          <w:b w:val="0"/>
          <w:bCs w:val="0"/>
          <w:sz w:val="32"/>
          <w:szCs w:val="32"/>
          <w:lang w:val="en-US" w:eastAsia="zh-CN"/>
        </w:rPr>
        <w:t>附件2</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中国共产主义青年团邵阳市北塔区委员会</w:t>
      </w:r>
      <w:r>
        <w:rPr>
          <w:rFonts w:hint="default" w:ascii="Times New Roman Regular" w:hAnsi="Times New Roman Regular" w:eastAsia="仿宋" w:cs="Times New Roman Regular"/>
          <w:b w:val="0"/>
          <w:bCs w:val="0"/>
          <w:sz w:val="32"/>
          <w:szCs w:val="32"/>
          <w:lang w:val="en-US" w:eastAsia="zh-CN"/>
        </w:rPr>
        <w:t>2022年度部门整体支出</w:t>
      </w:r>
      <w:r>
        <w:rPr>
          <w:rFonts w:hint="eastAsia" w:ascii="Times New Roman Regular" w:hAnsi="Times New Roman Regular" w:eastAsia="仿宋" w:cs="Times New Roman Regular"/>
          <w:b w:val="0"/>
          <w:bCs w:val="0"/>
          <w:sz w:val="32"/>
          <w:szCs w:val="32"/>
          <w:lang w:val="en-US" w:eastAsia="zh-CN"/>
        </w:rPr>
        <w:t>基础数据表</w:t>
      </w:r>
    </w:p>
    <w:p>
      <w:pPr>
        <w:pStyle w:val="11"/>
        <w:rPr>
          <w:rFonts w:hint="default" w:ascii="Times New Roman Regular" w:hAnsi="Times New Roman Regular" w:eastAsia="仿宋" w:cs="Times New Roman Regular"/>
          <w:b w:val="0"/>
          <w:bCs w:val="0"/>
          <w:sz w:val="28"/>
          <w:szCs w:val="28"/>
          <w:lang w:val="en-US" w:eastAsia="zh-CN"/>
        </w:rPr>
      </w:pPr>
      <w:r>
        <w:rPr>
          <w:rFonts w:hint="eastAsia" w:ascii="Times New Roman Regular" w:hAnsi="Times New Roman Regular" w:eastAsia="仿宋" w:cs="Times New Roman Regular"/>
          <w:b w:val="0"/>
          <w:bCs w:val="0"/>
          <w:sz w:val="32"/>
          <w:szCs w:val="32"/>
          <w:lang w:val="en-US" w:eastAsia="zh-CN"/>
        </w:rPr>
        <w:t>附件3</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中国共产主义青年团邵阳市北塔区委员会</w:t>
      </w:r>
      <w:r>
        <w:rPr>
          <w:rFonts w:hint="default" w:ascii="Times New Roman Regular" w:hAnsi="Times New Roman Regular" w:eastAsia="仿宋" w:cs="Times New Roman Regular"/>
          <w:b w:val="0"/>
          <w:bCs w:val="0"/>
          <w:sz w:val="32"/>
          <w:szCs w:val="32"/>
          <w:lang w:val="en-US" w:eastAsia="zh-CN"/>
        </w:rPr>
        <w:t>2022年度部门整体支出绩效评价</w:t>
      </w:r>
      <w:r>
        <w:rPr>
          <w:rFonts w:hint="eastAsia" w:ascii="Times New Roman Regular" w:hAnsi="Times New Roman Regular" w:eastAsia="仿宋" w:cs="Times New Roman Regular"/>
          <w:b w:val="0"/>
          <w:bCs w:val="0"/>
          <w:sz w:val="32"/>
          <w:szCs w:val="32"/>
          <w:lang w:val="en-US" w:eastAsia="zh-CN"/>
        </w:rPr>
        <w:t>自评表</w:t>
      </w:r>
    </w:p>
    <w:p>
      <w:pPr>
        <w:pStyle w:val="2"/>
        <w:rPr>
          <w:rFonts w:hint="default"/>
          <w:lang w:val="en-US" w:eastAsia="zh-CN"/>
        </w:rPr>
      </w:pPr>
    </w:p>
    <w:p>
      <w:pPr>
        <w:pStyle w:val="11"/>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1"/>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1"/>
        <w:ind w:firstLine="5890" w:firstLineChars="1900"/>
        <w:rPr>
          <w:rFonts w:hint="default" w:ascii="Times New Roman Regular" w:hAnsi="Times New Roman Regular" w:eastAsia="仿宋" w:cs="Times New Roman Regular"/>
          <w:b w:val="0"/>
          <w:bCs w:val="0"/>
          <w:sz w:val="31"/>
          <w:szCs w:val="31"/>
          <w:lang w:val="en-US" w:eastAsia="zh-CN"/>
        </w:rPr>
        <w:sectPr>
          <w:headerReference r:id="rId6"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中国共产主义青年团邵阳市北塔区委员会2022年度部门整体支出绩效评价指标表</w:t>
      </w:r>
    </w:p>
    <w:tbl>
      <w:tblPr>
        <w:tblStyle w:val="14"/>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1089"/>
        <w:gridCol w:w="1572"/>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blHeader/>
          <w:jc w:val="center"/>
        </w:trPr>
        <w:tc>
          <w:tcPr>
            <w:tcW w:w="39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1</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eastAsiaTheme="minorEastAsia"/>
                <w:color w:val="000000"/>
                <w:sz w:val="18"/>
                <w:szCs w:val="18"/>
              </w:rPr>
              <w:t>绩效指标设立不</w:t>
            </w:r>
            <w:r>
              <w:rPr>
                <w:rFonts w:hint="eastAsia" w:ascii="Times New Roman" w:hAnsi="Times New Roman" w:cs="Times New Roman"/>
                <w:color w:val="000000"/>
                <w:sz w:val="18"/>
                <w:szCs w:val="18"/>
                <w:lang w:val="en-US" w:eastAsia="zh-CN"/>
              </w:rPr>
              <w:t>全面</w:t>
            </w:r>
            <w:r>
              <w:rPr>
                <w:rFonts w:hint="eastAsia" w:ascii="Times New Roman" w:hAnsi="Times New Roman" w:cs="Times New Roman" w:eastAsiaTheme="minorEastAsia"/>
                <w:color w:val="000000"/>
                <w:sz w:val="18"/>
                <w:szCs w:val="18"/>
              </w:rPr>
              <w:t>。2022年整体支出绩效目标中，产出指标仅设置数量指标、时效指标，未设置质量指标、成本指标。未制定</w:t>
            </w:r>
            <w:r>
              <w:rPr>
                <w:rFonts w:hint="eastAsia" w:ascii="Times New Roman" w:hAnsi="Times New Roman" w:cs="Times New Roman"/>
                <w:color w:val="000000"/>
                <w:sz w:val="18"/>
                <w:szCs w:val="18"/>
                <w:lang w:val="en-US" w:eastAsia="zh-CN"/>
              </w:rPr>
              <w:t>事中监控机制</w:t>
            </w:r>
            <w:r>
              <w:rPr>
                <w:rFonts w:hint="eastAsia" w:ascii="Times New Roman" w:hAnsi="Times New Roman" w:cs="Times New Roman" w:eastAsiaTheme="minorEastAsia"/>
                <w:color w:val="000000"/>
                <w:sz w:val="18"/>
                <w:szCs w:val="18"/>
              </w:rPr>
              <w:t>，2022年度未实施绩效运行跟踪监控。</w:t>
            </w:r>
            <w:r>
              <w:rPr>
                <w:rFonts w:hint="eastAsia" w:ascii="Times New Roman" w:hAnsi="Times New Roman" w:cs="Times New Roman"/>
                <w:color w:val="000000"/>
                <w:sz w:val="18"/>
                <w:szCs w:val="18"/>
                <w:lang w:val="en-US" w:eastAsia="zh-CN"/>
              </w:rPr>
              <w:t>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8"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结余超过10%（不含），2分；结余在0-10%（含）的，1分；本年超支不得分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经查看单位相关资料，单位未对2022年度进行政府采购预算，扣2分。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highlight w:val="none"/>
                <w:lang w:eastAsia="zh-CN"/>
              </w:rPr>
            </w:pPr>
            <w:r>
              <w:rPr>
                <w:rFonts w:hint="eastAsia" w:ascii="Times New Roman" w:hAnsi="Times New Roman" w:cs="Times New Roman"/>
                <w:color w:val="000000"/>
                <w:sz w:val="18"/>
                <w:szCs w:val="18"/>
                <w:highlight w:val="none"/>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资产管理制度未得到有效执行，扣1分。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highlight w:val="none"/>
              </w:rPr>
            </w:pPr>
            <w:r>
              <w:rPr>
                <w:rFonts w:hint="eastAsia" w:ascii="Times New Roman" w:hAnsi="Times New Roman" w:cs="Times New Roman" w:eastAsiaTheme="minorEastAsia"/>
                <w:color w:val="000000"/>
                <w:sz w:val="18"/>
                <w:szCs w:val="18"/>
                <w:highlight w:val="none"/>
              </w:rPr>
              <w:t>②</w:t>
            </w:r>
            <w:r>
              <w:rPr>
                <w:rFonts w:ascii="Times New Roman" w:hAnsi="Times New Roman" w:cs="Times New Roman" w:eastAsiaTheme="minorEastAsia"/>
                <w:color w:val="000000"/>
                <w:sz w:val="18"/>
                <w:szCs w:val="18"/>
                <w:highlight w:val="none"/>
              </w:rPr>
              <w:t>资金拨付有完整的审批程序和手续，1分；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③项目支出按规定经过评估论证，1分；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4</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highlight w:val="none"/>
                <w:lang w:val="en-US" w:eastAsia="zh-CN"/>
              </w:rPr>
            </w:pPr>
            <w:r>
              <w:rPr>
                <w:rFonts w:hint="eastAsia" w:ascii="Times New Roman" w:hAnsi="Times New Roman" w:cs="Times New Roman"/>
                <w:color w:val="000000"/>
                <w:sz w:val="18"/>
                <w:szCs w:val="18"/>
                <w:highlight w:val="none"/>
                <w:lang w:val="en-US" w:eastAsia="zh-CN"/>
              </w:rPr>
              <w:t>存在附件不齐全的情况，扣1分。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预决算信息</w:t>
            </w:r>
          </w:p>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①基础数据信息和会计信息资料真实，计1分；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①资产保存完整，计0.5分；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②资产配置合理，计0.5分；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③资产配置规范，计0.5分；</w:t>
            </w:r>
          </w:p>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④资产账务管理合规，账实相符，计0.5分。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highlight w:val="none"/>
                <w:lang w:eastAsia="zh-CN"/>
              </w:rPr>
            </w:pPr>
            <w:r>
              <w:rPr>
                <w:rFonts w:hint="eastAsia" w:ascii="Times New Roman" w:hAnsi="Times New Roman" w:cs="Times New Roman"/>
                <w:color w:val="000000"/>
                <w:sz w:val="18"/>
                <w:szCs w:val="18"/>
                <w:highlight w:val="none"/>
                <w:lang w:val="en-US" w:eastAsia="zh-CN"/>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hint="eastAsia" w:ascii="Times New Roman" w:hAnsi="Times New Roman" w:cs="Times New Roman"/>
                <w:color w:val="000000"/>
                <w:sz w:val="18"/>
                <w:szCs w:val="18"/>
                <w:highlight w:val="none"/>
                <w:lang w:val="en-US" w:eastAsia="zh-CN"/>
              </w:rPr>
              <w:t>一是资产未贴标；二是个别资产类别分类、型号品牌未登记；三是存在资产未及时进行账务核销的情况；四是资产名称不明确，酌情</w:t>
            </w:r>
            <w:r>
              <w:rPr>
                <w:rFonts w:ascii="Times New Roman" w:hAnsi="Times New Roman" w:cs="Times New Roman" w:eastAsiaTheme="minorEastAsia"/>
                <w:color w:val="000000"/>
                <w:sz w:val="18"/>
                <w:szCs w:val="18"/>
                <w:highlight w:val="none"/>
              </w:rPr>
              <w:t>扣</w:t>
            </w:r>
            <w:r>
              <w:rPr>
                <w:rFonts w:hint="eastAsia" w:ascii="Times New Roman" w:hAnsi="Times New Roman" w:cs="Times New Roman"/>
                <w:color w:val="000000"/>
                <w:sz w:val="18"/>
                <w:szCs w:val="18"/>
                <w:highlight w:val="none"/>
                <w:lang w:val="en-US" w:eastAsia="zh-CN"/>
              </w:rPr>
              <w:t>1分</w:t>
            </w:r>
            <w:r>
              <w:rPr>
                <w:rFonts w:ascii="Times New Roman" w:hAnsi="Times New Roman" w:cs="Times New Roman" w:eastAsiaTheme="minorEastAsia"/>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1"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每低于100%一个百分点扣0.1分，扣完为止。</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highlight w:val="none"/>
              </w:rPr>
            </w:pPr>
            <w:r>
              <w:rPr>
                <w:rFonts w:ascii="Times New Roman" w:hAnsi="Times New Roman" w:cs="Times New Roman" w:eastAsiaTheme="minorEastAsia"/>
                <w:color w:val="000000"/>
                <w:sz w:val="18"/>
                <w:szCs w:val="18"/>
                <w:highlight w:val="none"/>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完成志愿服务活动工作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完成志愿服务活动工作数量21次</w:t>
            </w:r>
            <w:r>
              <w:rPr>
                <w:rFonts w:hint="eastAsia" w:ascii="Times New Roman" w:hAnsi="Times New Roman" w:cs="Times New Roman"/>
                <w:color w:val="000000"/>
                <w:sz w:val="18"/>
                <w:szCs w:val="18"/>
                <w:lang w:eastAsia="zh-CN"/>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jc w:val="center"/>
        </w:trPr>
        <w:tc>
          <w:tcPr>
            <w:tcW w:w="398" w:type="pct"/>
            <w:vMerge w:val="continue"/>
            <w:vAlign w:val="center"/>
          </w:tcPr>
          <w:p>
            <w:pPr>
              <w:spacing w:line="370" w:lineRule="exact"/>
              <w:rPr>
                <w:rFonts w:ascii="Times New Roman" w:hAnsi="Times New Roman" w:cs="Times New Roman" w:eastAsiaTheme="minorEastAsia"/>
                <w:color w:val="000000"/>
                <w:sz w:val="18"/>
                <w:szCs w:val="18"/>
              </w:rPr>
            </w:pPr>
          </w:p>
        </w:tc>
        <w:tc>
          <w:tcPr>
            <w:tcW w:w="361"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color w:val="000000"/>
                <w:sz w:val="18"/>
                <w:szCs w:val="18"/>
                <w:lang w:val="en-US" w:eastAsia="zh-CN"/>
              </w:rPr>
            </w:pPr>
            <w:r>
              <w:rPr>
                <w:rFonts w:hint="eastAsia" w:ascii="Times New Roman" w:hAnsi="Times New Roman" w:cs="Times New Roman"/>
                <w:color w:val="000000"/>
                <w:sz w:val="18"/>
                <w:szCs w:val="18"/>
                <w:lang w:val="en-US" w:eastAsia="zh-CN"/>
              </w:rPr>
              <w:t>完成工资及政策性社会保障性资金发放</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工资及政策性社会保障性资金</w:t>
            </w:r>
            <w:r>
              <w:rPr>
                <w:rFonts w:hint="eastAsia" w:ascii="Times New Roman" w:hAnsi="Times New Roman" w:cs="Times New Roman"/>
                <w:color w:val="000000"/>
                <w:sz w:val="18"/>
                <w:szCs w:val="18"/>
                <w:lang w:val="en-US" w:eastAsia="zh-CN"/>
              </w:rPr>
              <w:t>发放12次</w:t>
            </w:r>
            <w:r>
              <w:rPr>
                <w:rFonts w:hint="eastAsia"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331"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8</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，得4分，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4</w:t>
            </w:r>
          </w:p>
        </w:tc>
        <w:tc>
          <w:tcPr>
            <w:tcW w:w="1008" w:type="pct"/>
            <w:shd w:val="clear" w:color="auto" w:fill="auto"/>
            <w:vAlign w:val="center"/>
          </w:tcPr>
          <w:p>
            <w:pPr>
              <w:spacing w:line="360" w:lineRule="exact"/>
              <w:jc w:val="both"/>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1"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考核单位工作的开展是否能持续有效提高青少年素质、践行社会核心价值观，</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考核单位工作的开展是否能进一步优化青少年发展环境、促进社会和谐进步，</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8" w:type="pct"/>
            <w:vMerge w:val="continue"/>
            <w:vAlign w:val="center"/>
          </w:tcPr>
          <w:p>
            <w:pPr>
              <w:spacing w:line="360" w:lineRule="exact"/>
              <w:rPr>
                <w:rFonts w:ascii="Times New Roman" w:hAnsi="Times New Roman" w:cs="Times New Roman" w:eastAsiaTheme="minorEastAsia"/>
                <w:color w:val="000000"/>
                <w:sz w:val="18"/>
                <w:szCs w:val="18"/>
              </w:rPr>
            </w:pPr>
          </w:p>
        </w:tc>
        <w:tc>
          <w:tcPr>
            <w:tcW w:w="361"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93.00</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Regular" w:hAnsi="Times New Roman Regular" w:eastAsia="仿宋" w:cs="Times New Roman Regular"/>
          <w:b w:val="0"/>
          <w:bCs w:val="0"/>
          <w:sz w:val="31"/>
          <w:szCs w:val="31"/>
          <w:lang w:val="en-US" w:eastAsia="zh-CN"/>
        </w:rPr>
        <w:sectPr>
          <w:headerReference r:id="rId7" w:type="default"/>
          <w:footerReference r:id="rId8"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附件</w:t>
      </w:r>
      <w:r>
        <w:rPr>
          <w:rFonts w:hint="eastAsia" w:ascii="Times New Roman" w:hAnsi="Times New Roman" w:eastAsia="仿宋" w:cs="Times New Roman"/>
          <w:color w:val="000000"/>
          <w:kern w:val="0"/>
          <w:sz w:val="32"/>
          <w:szCs w:val="32"/>
          <w:lang w:val="en-US" w:eastAsia="zh-CN"/>
        </w:rPr>
        <w:t>2：</w:t>
      </w:r>
      <w:r>
        <w:rPr>
          <w:rFonts w:hint="default" w:ascii="Times New Roman" w:hAnsi="Times New Roman" w:eastAsia="仿宋" w:cs="Times New Roman"/>
          <w:color w:val="000000"/>
          <w:kern w:val="0"/>
          <w:sz w:val="32"/>
          <w:szCs w:val="32"/>
        </w:rPr>
        <w:t xml:space="preserve">      </w:t>
      </w:r>
    </w:p>
    <w:p>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500" w:lineRule="exact"/>
        <w:jc w:val="center"/>
        <w:textAlignment w:val="auto"/>
        <w:rPr>
          <w:rFonts w:hint="default" w:ascii="Times New Roman" w:hAnsi="Times New Roman" w:eastAsia="仿宋_GB2312" w:cs="Times New Roman"/>
          <w:kern w:val="0"/>
          <w:sz w:val="24"/>
          <w:lang w:val="en-US"/>
        </w:rPr>
      </w:pPr>
      <w:r>
        <w:rPr>
          <w:rFonts w:hint="default" w:ascii="Times New Roman" w:hAnsi="Times New Roman" w:eastAsia="方正小标宋_GBK" w:cs="Times New Roman"/>
          <w:sz w:val="36"/>
          <w:szCs w:val="36"/>
        </w:rPr>
        <w:t>中国共产主义青年团邵阳市北塔区委员会2022年度部门整体支出基础数据表</w:t>
      </w:r>
    </w:p>
    <w:tbl>
      <w:tblPr>
        <w:tblStyle w:val="14"/>
        <w:tblW w:w="9111" w:type="dxa"/>
        <w:jc w:val="center"/>
        <w:tblLayout w:type="fixed"/>
        <w:tblCellMar>
          <w:top w:w="0" w:type="dxa"/>
          <w:left w:w="108" w:type="dxa"/>
          <w:bottom w:w="0" w:type="dxa"/>
          <w:right w:w="108" w:type="dxa"/>
        </w:tblCellMar>
      </w:tblPr>
      <w:tblGrid>
        <w:gridCol w:w="3354"/>
        <w:gridCol w:w="1709"/>
        <w:gridCol w:w="5"/>
        <w:gridCol w:w="5"/>
        <w:gridCol w:w="2319"/>
        <w:gridCol w:w="171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财政供养人员情况</w:t>
            </w:r>
          </w:p>
        </w:tc>
        <w:tc>
          <w:tcPr>
            <w:tcW w:w="170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编制数</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年末实际在职人数</w:t>
            </w:r>
          </w:p>
        </w:tc>
        <w:tc>
          <w:tcPr>
            <w:tcW w:w="171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控制率</w:t>
            </w:r>
          </w:p>
        </w:tc>
      </w:tr>
      <w:tr>
        <w:tblPrEx>
          <w:tblCellMar>
            <w:top w:w="0" w:type="dxa"/>
            <w:left w:w="108" w:type="dxa"/>
            <w:bottom w:w="0" w:type="dxa"/>
            <w:right w:w="108" w:type="dxa"/>
          </w:tblCellMar>
        </w:tblPrEx>
        <w:trPr>
          <w:trHeight w:val="425"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0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w:t>
            </w:r>
          </w:p>
        </w:tc>
        <w:tc>
          <w:tcPr>
            <w:tcW w:w="2329"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2</w:t>
            </w:r>
          </w:p>
        </w:tc>
        <w:tc>
          <w:tcPr>
            <w:tcW w:w="171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67%</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经费控制情况</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当年决算数</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当年预算数</w:t>
            </w: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上年决算数</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一、部门基本支出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59.09</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32.80</w:t>
            </w: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47.51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其中： 1、</w:t>
            </w:r>
            <w:r>
              <w:rPr>
                <w:rFonts w:hint="default" w:ascii="Times New Roman" w:hAnsi="Times New Roman" w:eastAsia="宋体" w:cs="Times New Roman"/>
                <w:kern w:val="0"/>
                <w:szCs w:val="21"/>
                <w:lang w:eastAsia="zh-CN"/>
              </w:rPr>
              <w:t>预算</w:t>
            </w:r>
            <w:r>
              <w:rPr>
                <w:rFonts w:hint="default" w:ascii="Times New Roman" w:hAnsi="Times New Roman" w:eastAsia="宋体" w:cs="Times New Roman"/>
                <w:kern w:val="0"/>
                <w:szCs w:val="21"/>
              </w:rPr>
              <w:t>一般性支出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59.09</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32.80</w:t>
            </w: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47.51</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2、三公经费</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其中：公车购置</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公车运行维护</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公务接待</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出国（境）经费</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二、部门项目支出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r>
              <w:rPr>
                <w:rFonts w:hint="default" w:ascii="Times New Roman" w:hAnsi="Times New Roman" w:eastAsia="宋体" w:cs="Times New Roman"/>
                <w:kern w:val="0"/>
                <w:szCs w:val="21"/>
                <w:lang w:val="en-US" w:eastAsia="zh-CN"/>
              </w:rPr>
              <w:t>0</w:t>
            </w: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bidi="ar-SA"/>
              </w:rPr>
              <w:t>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  1、业务工作专项</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文化旅游体育与传媒支出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节能环保支出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农林水支出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商业服务业等支出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其他支出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b w:val="0"/>
                <w:bCs w:val="0"/>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 xml:space="preserve">  2、运行维护专项</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一般公共服务支出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rPr>
              <w:t>社会保障和就业支出</w:t>
            </w:r>
          </w:p>
        </w:tc>
        <w:tc>
          <w:tcPr>
            <w:tcW w:w="170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2329" w:type="dxa"/>
            <w:gridSpan w:val="3"/>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nil"/>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ind w:firstLine="0" w:firstLineChars="0"/>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Cs w:val="21"/>
                <w:lang w:eastAsia="zh-CN"/>
              </w:rPr>
              <w:t>卫生健康</w:t>
            </w:r>
            <w:r>
              <w:rPr>
                <w:rFonts w:hint="default" w:ascii="Times New Roman" w:hAnsi="Times New Roman" w:eastAsia="宋体" w:cs="Times New Roman"/>
                <w:kern w:val="0"/>
                <w:szCs w:val="21"/>
              </w:rPr>
              <w:t>支出</w:t>
            </w:r>
          </w:p>
        </w:tc>
        <w:tc>
          <w:tcPr>
            <w:tcW w:w="170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c>
          <w:tcPr>
            <w:tcW w:w="2329" w:type="dxa"/>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napToGrid w:val="0"/>
              <w:ind w:firstLine="0" w:firstLineChars="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住房保障支出</w:t>
            </w:r>
          </w:p>
        </w:tc>
        <w:tc>
          <w:tcPr>
            <w:tcW w:w="1714" w:type="dxa"/>
            <w:gridSpan w:val="2"/>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lang w:val="en-US" w:eastAsia="zh-CN"/>
              </w:rPr>
            </w:pPr>
          </w:p>
        </w:tc>
        <w:tc>
          <w:tcPr>
            <w:tcW w:w="2324" w:type="dxa"/>
            <w:gridSpan w:val="2"/>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423"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napToGrid w:val="0"/>
              <w:ind w:firstLine="0" w:firstLineChars="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政府采购金额</w:t>
            </w:r>
          </w:p>
        </w:tc>
        <w:tc>
          <w:tcPr>
            <w:tcW w:w="1719" w:type="dxa"/>
            <w:gridSpan w:val="3"/>
            <w:tcBorders>
              <w:top w:val="single" w:color="auto" w:sz="4" w:space="0"/>
              <w:left w:val="nil"/>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231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p>
        </w:tc>
        <w:tc>
          <w:tcPr>
            <w:tcW w:w="1719" w:type="dxa"/>
            <w:tcBorders>
              <w:top w:val="single" w:color="auto" w:sz="4" w:space="0"/>
              <w:left w:val="single" w:color="auto" w:sz="4" w:space="0"/>
              <w:bottom w:val="single" w:color="auto" w:sz="4" w:space="0"/>
              <w:right w:val="single" w:color="000000" w:sz="4" w:space="0"/>
            </w:tcBorders>
            <w:noWrap w:val="0"/>
            <w:vAlign w:val="center"/>
          </w:tcPr>
          <w:p>
            <w:pPr>
              <w:widowControl/>
              <w:snapToGrid w:val="0"/>
              <w:jc w:val="center"/>
              <w:rPr>
                <w:rFonts w:hint="default" w:ascii="Times New Roman" w:hAnsi="Times New Roman" w:eastAsia="宋体" w:cs="Times New Roman"/>
                <w:kern w:val="0"/>
                <w:szCs w:val="21"/>
              </w:rPr>
            </w:pPr>
          </w:p>
        </w:tc>
      </w:tr>
      <w:tr>
        <w:tblPrEx>
          <w:tblCellMar>
            <w:top w:w="0" w:type="dxa"/>
            <w:left w:w="108" w:type="dxa"/>
            <w:bottom w:w="0" w:type="dxa"/>
            <w:right w:w="108" w:type="dxa"/>
          </w:tblCellMar>
        </w:tblPrEx>
        <w:trPr>
          <w:trHeight w:val="321"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厉行节约保障措施</w:t>
            </w:r>
          </w:p>
        </w:tc>
        <w:tc>
          <w:tcPr>
            <w:tcW w:w="5757"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snapToGrid w:val="0"/>
              <w:jc w:val="center"/>
              <w:rPr>
                <w:rFonts w:hint="default" w:ascii="Times New Roman" w:hAnsi="Times New Roman" w:eastAsia="宋体" w:cs="Times New Roman"/>
                <w:kern w:val="0"/>
                <w:szCs w:val="21"/>
                <w:lang w:eastAsia="zh-CN"/>
              </w:rPr>
            </w:pPr>
            <w:r>
              <w:rPr>
                <w:rFonts w:hint="default" w:ascii="Times New Roman" w:hAnsi="Times New Roman" w:eastAsia="宋体" w:cs="Times New Roman"/>
                <w:kern w:val="0"/>
                <w:szCs w:val="21"/>
                <w:lang w:eastAsia="zh-CN"/>
              </w:rPr>
              <w:tab/>
            </w:r>
            <w:r>
              <w:rPr>
                <w:rFonts w:hint="default" w:ascii="Times New Roman" w:hAnsi="Times New Roman" w:eastAsia="宋体" w:cs="Times New Roman"/>
                <w:kern w:val="0"/>
                <w:szCs w:val="21"/>
                <w:lang w:val="en-US" w:eastAsia="zh-CN"/>
              </w:rPr>
              <w:t>严格控制三公经费支出</w:t>
            </w:r>
            <w:r>
              <w:rPr>
                <w:rFonts w:hint="default" w:ascii="Times New Roman" w:hAnsi="Times New Roman" w:eastAsia="宋体" w:cs="Times New Roman"/>
                <w:kern w:val="0"/>
                <w:szCs w:val="21"/>
              </w:rPr>
              <w:t>　　</w:t>
            </w:r>
          </w:p>
        </w:tc>
      </w:tr>
    </w:tbl>
    <w:p>
      <w:pPr>
        <w:spacing w:before="62" w:beforeLines="20"/>
        <w:rPr>
          <w:rFonts w:hint="default" w:ascii="Times New Roman" w:hAnsi="Times New Roman" w:cs="Times New Roman"/>
          <w:kern w:val="0"/>
          <w:sz w:val="24"/>
        </w:rPr>
        <w:sectPr>
          <w:headerReference r:id="rId9" w:type="default"/>
          <w:pgSz w:w="11906" w:h="16838"/>
          <w:pgMar w:top="1440" w:right="1800" w:bottom="1440" w:left="1800" w:header="624" w:footer="992" w:gutter="0"/>
          <w:pgNumType w:fmt="decimal"/>
          <w:cols w:space="720" w:num="1"/>
          <w:docGrid w:type="lines" w:linePitch="312" w:charSpace="0"/>
        </w:sectPr>
      </w:pPr>
    </w:p>
    <w:p>
      <w:pPr>
        <w:spacing w:before="62" w:beforeLines="20"/>
        <w:rPr>
          <w:rFonts w:hint="eastAsia" w:ascii="Times New Roman" w:hAnsi="Times New Roman" w:eastAsia="仿宋" w:cs="Times New Roman"/>
          <w:sz w:val="32"/>
          <w:szCs w:val="32"/>
          <w:lang w:eastAsia="zh-CN"/>
        </w:rPr>
      </w:pPr>
      <w:r>
        <w:rPr>
          <w:rFonts w:hint="default" w:ascii="Times New Roman" w:hAnsi="Times New Roman" w:eastAsia="仿宋_GB2312" w:cs="Times New Roman"/>
          <w:sz w:val="32"/>
          <w:szCs w:val="32"/>
        </w:rPr>
        <w:t>附件</w:t>
      </w:r>
      <w:r>
        <w:rPr>
          <w:rFonts w:hint="eastAsia" w:ascii="Times New Roman" w:hAnsi="Times New Roman" w:eastAsia="仿宋" w:cs="Times New Roman"/>
          <w:color w:val="000000"/>
          <w:kern w:val="0"/>
          <w:sz w:val="32"/>
          <w:szCs w:val="32"/>
          <w:lang w:val="en-US" w:eastAsia="zh-CN"/>
        </w:rPr>
        <w:t>3</w:t>
      </w:r>
      <w:r>
        <w:rPr>
          <w:rFonts w:hint="default" w:ascii="Times New Roman" w:hAnsi="Times New Roman" w:eastAsia="仿宋" w:cs="Times New Roman"/>
          <w:color w:val="000000"/>
          <w:kern w:val="0"/>
          <w:sz w:val="32"/>
          <w:szCs w:val="32"/>
        </w:rPr>
        <w:t xml:space="preserve"> </w:t>
      </w:r>
      <w:r>
        <w:rPr>
          <w:rFonts w:hint="eastAsia" w:ascii="Times New Roman" w:hAnsi="Times New Roman" w:eastAsia="仿宋"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中国共产主义青年团邵阳市北塔区委员会2022年度部门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28"/>
          <w:szCs w:val="28"/>
        </w:rPr>
      </w:pPr>
      <w:r>
        <w:rPr>
          <w:rFonts w:hint="default" w:ascii="Times New Roman" w:hAnsi="Times New Roman" w:eastAsia="方正小标宋_GBK" w:cs="Times New Roman"/>
          <w:sz w:val="36"/>
          <w:szCs w:val="36"/>
        </w:rPr>
        <w:t>整体支出绩效评价自评表</w:t>
      </w:r>
    </w:p>
    <w:tbl>
      <w:tblPr>
        <w:tblStyle w:val="14"/>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15"/>
        <w:gridCol w:w="1040"/>
        <w:gridCol w:w="994"/>
        <w:gridCol w:w="2716"/>
        <w:gridCol w:w="972"/>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部门资金（万元）</w:t>
            </w: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p>
        </w:tc>
        <w:tc>
          <w:tcPr>
            <w:tcW w:w="994"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全年预算数</w:t>
            </w:r>
          </w:p>
        </w:tc>
        <w:tc>
          <w:tcPr>
            <w:tcW w:w="2716"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全年执行数</w:t>
            </w:r>
          </w:p>
        </w:tc>
        <w:tc>
          <w:tcPr>
            <w:tcW w:w="97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预算执行率</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分值</w:t>
            </w:r>
          </w:p>
        </w:tc>
        <w:tc>
          <w:tcPr>
            <w:tcW w:w="93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年度资金总额</w:t>
            </w:r>
          </w:p>
        </w:tc>
        <w:tc>
          <w:tcPr>
            <w:tcW w:w="994"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32.80</w:t>
            </w:r>
          </w:p>
        </w:tc>
        <w:tc>
          <w:tcPr>
            <w:tcW w:w="2716"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59.09</w:t>
            </w:r>
          </w:p>
        </w:tc>
        <w:tc>
          <w:tcPr>
            <w:tcW w:w="972"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180.15%</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3949"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按收入性质分类</w:t>
            </w:r>
          </w:p>
        </w:tc>
        <w:tc>
          <w:tcPr>
            <w:tcW w:w="5351"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按支出性质分类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一般公共预算拨款</w:t>
            </w:r>
          </w:p>
        </w:tc>
        <w:tc>
          <w:tcPr>
            <w:tcW w:w="994"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45.43</w:t>
            </w:r>
          </w:p>
        </w:tc>
        <w:tc>
          <w:tcPr>
            <w:tcW w:w="3688"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基本支出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政府性基金拨款</w:t>
            </w:r>
          </w:p>
        </w:tc>
        <w:tc>
          <w:tcPr>
            <w:tcW w:w="994" w:type="dxa"/>
            <w:noWrap w:val="0"/>
            <w:vAlign w:val="center"/>
          </w:tcPr>
          <w:p>
            <w:pPr>
              <w:widowControl/>
              <w:jc w:val="center"/>
              <w:rPr>
                <w:rFonts w:hint="default" w:ascii="Times New Roman" w:hAnsi="Times New Roman" w:eastAsia="宋体" w:cs="Times New Roman"/>
                <w:color w:val="000000"/>
                <w:kern w:val="0"/>
                <w:sz w:val="18"/>
                <w:szCs w:val="18"/>
                <w:lang w:val="en-US" w:eastAsia="zh-CN"/>
              </w:rPr>
            </w:pPr>
          </w:p>
        </w:tc>
        <w:tc>
          <w:tcPr>
            <w:tcW w:w="3688"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bidi="ar"/>
              </w:rPr>
              <w:t>1.人员经费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纳入管理的非税收入拨款</w:t>
            </w:r>
          </w:p>
        </w:tc>
        <w:tc>
          <w:tcPr>
            <w:tcW w:w="994" w:type="dxa"/>
            <w:noWrap w:val="0"/>
            <w:vAlign w:val="center"/>
          </w:tcPr>
          <w:p>
            <w:pPr>
              <w:widowControl/>
              <w:jc w:val="center"/>
              <w:rPr>
                <w:rFonts w:hint="default" w:ascii="Times New Roman" w:hAnsi="Times New Roman" w:eastAsia="宋体" w:cs="Times New Roman"/>
                <w:color w:val="000000"/>
                <w:kern w:val="0"/>
                <w:sz w:val="18"/>
                <w:szCs w:val="18"/>
              </w:rPr>
            </w:pPr>
          </w:p>
        </w:tc>
        <w:tc>
          <w:tcPr>
            <w:tcW w:w="3688" w:type="dxa"/>
            <w:gridSpan w:val="2"/>
            <w:noWrap w:val="0"/>
            <w:vAlign w:val="center"/>
          </w:tcPr>
          <w:p>
            <w:pPr>
              <w:widowControl/>
              <w:ind w:firstLine="360" w:firstLineChars="200"/>
              <w:jc w:val="center"/>
              <w:textAlignment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bidi="ar"/>
              </w:rPr>
              <w:t>2.公用经费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……拨款</w:t>
            </w:r>
          </w:p>
        </w:tc>
        <w:tc>
          <w:tcPr>
            <w:tcW w:w="994" w:type="dxa"/>
            <w:noWrap w:val="0"/>
            <w:vAlign w:val="center"/>
          </w:tcPr>
          <w:p>
            <w:pPr>
              <w:widowControl/>
              <w:jc w:val="center"/>
              <w:rPr>
                <w:rFonts w:hint="default" w:ascii="Times New Roman" w:hAnsi="Times New Roman" w:eastAsia="宋体" w:cs="Times New Roman"/>
                <w:color w:val="000000"/>
                <w:kern w:val="0"/>
                <w:sz w:val="18"/>
                <w:szCs w:val="18"/>
              </w:rPr>
            </w:pPr>
          </w:p>
        </w:tc>
        <w:tc>
          <w:tcPr>
            <w:tcW w:w="3688"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其中：三公经费</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2955" w:type="dxa"/>
            <w:gridSpan w:val="3"/>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其他资金</w:t>
            </w:r>
          </w:p>
        </w:tc>
        <w:tc>
          <w:tcPr>
            <w:tcW w:w="994"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13.66</w:t>
            </w:r>
          </w:p>
        </w:tc>
        <w:tc>
          <w:tcPr>
            <w:tcW w:w="3688"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项目支出</w:t>
            </w:r>
          </w:p>
        </w:tc>
        <w:tc>
          <w:tcPr>
            <w:tcW w:w="1663" w:type="dxa"/>
            <w:gridSpan w:val="2"/>
            <w:noWrap w:val="0"/>
            <w:vAlign w:val="center"/>
          </w:tcPr>
          <w:p>
            <w:pPr>
              <w:widowControl/>
              <w:jc w:val="center"/>
              <w:rPr>
                <w:rFonts w:hint="default" w:ascii="Times New Roman" w:hAnsi="Times New Roman" w:eastAsia="宋体" w:cs="Times New Roman"/>
                <w:color w:val="000000"/>
                <w:kern w:val="0"/>
                <w:sz w:val="18"/>
                <w:szCs w:val="18"/>
                <w:lang w:val="en-US" w:eastAsia="zh-CN"/>
              </w:rPr>
            </w:pPr>
            <w:r>
              <w:rPr>
                <w:rFonts w:hint="default" w:ascii="Times New Roman" w:hAnsi="Times New Roman" w:eastAsia="宋体" w:cs="Times New Roman"/>
                <w:color w:val="000000"/>
                <w:kern w:val="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70" w:hRule="atLeast"/>
          <w:jc w:val="center"/>
        </w:trPr>
        <w:tc>
          <w:tcPr>
            <w:tcW w:w="612" w:type="dxa"/>
            <w:vMerge w:val="restart"/>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年度总体目标</w:t>
            </w:r>
          </w:p>
        </w:tc>
        <w:tc>
          <w:tcPr>
            <w:tcW w:w="3949"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年初预期（设定）目标</w:t>
            </w:r>
          </w:p>
        </w:tc>
        <w:tc>
          <w:tcPr>
            <w:tcW w:w="5351" w:type="dxa"/>
            <w:gridSpan w:val="4"/>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atLeast"/>
          <w:jc w:val="center"/>
        </w:trPr>
        <w:tc>
          <w:tcPr>
            <w:tcW w:w="612" w:type="dxa"/>
            <w:vMerge w:val="continue"/>
            <w:noWrap w:val="0"/>
            <w:textDirection w:val="tbRlV"/>
            <w:vAlign w:val="center"/>
          </w:tcPr>
          <w:p>
            <w:pPr>
              <w:widowControl/>
              <w:ind w:left="113" w:right="113"/>
              <w:jc w:val="center"/>
              <w:rPr>
                <w:rFonts w:hint="default" w:ascii="Times New Roman" w:hAnsi="Times New Roman" w:eastAsia="宋体" w:cs="Times New Roman"/>
                <w:color w:val="000000"/>
                <w:kern w:val="0"/>
                <w:sz w:val="18"/>
                <w:szCs w:val="18"/>
              </w:rPr>
            </w:pPr>
          </w:p>
        </w:tc>
        <w:tc>
          <w:tcPr>
            <w:tcW w:w="3949" w:type="dxa"/>
            <w:gridSpan w:val="4"/>
            <w:noWrap w:val="0"/>
            <w:vAlign w:val="center"/>
          </w:tcPr>
          <w:p>
            <w:pPr>
              <w:widowControl/>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在本年度收支预算内，确保完成以下整体目标：</w:t>
            </w:r>
          </w:p>
          <w:p>
            <w:pPr>
              <w:widowControl/>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目标1：人员经费按照相关政策及时发放到位</w:t>
            </w:r>
          </w:p>
          <w:p>
            <w:pPr>
              <w:widowControl/>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目标2：严格控制三公经费，确保机关正常运行</w:t>
            </w:r>
          </w:p>
          <w:p>
            <w:pPr>
              <w:widowControl/>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目标3：做好社会保障工作</w:t>
            </w:r>
          </w:p>
        </w:tc>
        <w:tc>
          <w:tcPr>
            <w:tcW w:w="5351" w:type="dxa"/>
            <w:gridSpan w:val="4"/>
            <w:noWrap w:val="0"/>
            <w:vAlign w:val="center"/>
          </w:tcPr>
          <w:p>
            <w:pPr>
              <w:widowControl/>
              <w:jc w:val="both"/>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lang w:val="en-US" w:eastAsia="zh-CN"/>
              </w:rPr>
              <w:t>按照财政预算，严控三公经费，2022年本单位正常运行，人员相关经费按照政策及时发放到位。</w:t>
            </w:r>
          </w:p>
          <w:p>
            <w:pPr>
              <w:widowControl/>
              <w:jc w:val="both"/>
              <w:rPr>
                <w:rFonts w:hint="default" w:ascii="Times New Roman" w:hAnsi="Times New Roman" w:eastAsia="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restart"/>
            <w:noWrap w:val="0"/>
            <w:textDirection w:val="tbRlV"/>
            <w:vAlign w:val="center"/>
          </w:tcPr>
          <w:p>
            <w:pPr>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w:t>
            </w:r>
          </w:p>
        </w:tc>
        <w:tc>
          <w:tcPr>
            <w:tcW w:w="900"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一级</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tc>
        <w:tc>
          <w:tcPr>
            <w:tcW w:w="1015"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二级指标</w:t>
            </w:r>
          </w:p>
        </w:tc>
        <w:tc>
          <w:tcPr>
            <w:tcW w:w="2034" w:type="dxa"/>
            <w:gridSpan w:val="2"/>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三级指标</w:t>
            </w:r>
          </w:p>
        </w:tc>
        <w:tc>
          <w:tcPr>
            <w:tcW w:w="2716"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年度指标值</w:t>
            </w:r>
          </w:p>
        </w:tc>
        <w:tc>
          <w:tcPr>
            <w:tcW w:w="97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实际完成值</w:t>
            </w:r>
          </w:p>
        </w:tc>
        <w:tc>
          <w:tcPr>
            <w:tcW w:w="732"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分值</w:t>
            </w:r>
          </w:p>
        </w:tc>
        <w:tc>
          <w:tcPr>
            <w:tcW w:w="931"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产出</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（50分）</w:t>
            </w:r>
          </w:p>
        </w:tc>
        <w:tc>
          <w:tcPr>
            <w:tcW w:w="1015"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数量指标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eastAsia="zh-CN"/>
              </w:rPr>
              <w:t>开展志愿服务</w:t>
            </w:r>
            <w:r>
              <w:rPr>
                <w:rFonts w:hint="default" w:ascii="Times New Roman" w:hAnsi="Times New Roman" w:eastAsia="宋体" w:cs="Times New Roman"/>
                <w:color w:val="000000"/>
                <w:kern w:val="0"/>
                <w:sz w:val="18"/>
                <w:szCs w:val="18"/>
                <w:lang w:val="en-US" w:eastAsia="zh-CN"/>
              </w:rPr>
              <w:t>数</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lang w:val="en-US" w:eastAsia="zh-CN"/>
              </w:rPr>
              <w:t>10个</w:t>
            </w:r>
          </w:p>
        </w:tc>
        <w:tc>
          <w:tcPr>
            <w:tcW w:w="97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10个</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4"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工资及政策性社会保障性资金按月支付次数</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lang w:val="en-US" w:eastAsia="zh-CN"/>
              </w:rPr>
              <w:t>12次</w:t>
            </w:r>
          </w:p>
        </w:tc>
        <w:tc>
          <w:tcPr>
            <w:tcW w:w="97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12次</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质量指标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资金准确及时发放到户</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972"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9</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tcBorders>
              <w:top w:val="nil"/>
            </w:tcBorders>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工资津贴发放率</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972"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时效指标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重点工作办结率</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按时办结100%</w:t>
            </w:r>
          </w:p>
        </w:tc>
        <w:tc>
          <w:tcPr>
            <w:tcW w:w="972"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按时办</w:t>
            </w:r>
            <w:r>
              <w:rPr>
                <w:rFonts w:hint="default" w:ascii="Times New Roman" w:hAnsi="Times New Roman" w:eastAsia="宋体" w:cs="Times New Roman"/>
                <w:color w:val="000000"/>
                <w:sz w:val="18"/>
                <w:szCs w:val="18"/>
                <w:lang w:val="en-US" w:eastAsia="zh-CN"/>
              </w:rPr>
              <w:t>结</w:t>
            </w:r>
            <w:r>
              <w:rPr>
                <w:rFonts w:hint="default" w:ascii="Times New Roman" w:hAnsi="Times New Roman" w:eastAsia="宋体" w:cs="Times New Roman"/>
                <w:color w:val="000000"/>
                <w:sz w:val="18"/>
                <w:szCs w:val="18"/>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78" w:hRule="exact"/>
          <w:jc w:val="center"/>
        </w:trPr>
        <w:tc>
          <w:tcPr>
            <w:tcW w:w="612"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成本指标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各项业务经费不超出预算，超支审批</w:t>
            </w:r>
          </w:p>
        </w:tc>
        <w:tc>
          <w:tcPr>
            <w:tcW w:w="2716"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972" w:type="dxa"/>
            <w:noWrap w:val="0"/>
            <w:vAlign w:val="center"/>
          </w:tcPr>
          <w:p>
            <w:pPr>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sz w:val="18"/>
                <w:szCs w:val="18"/>
              </w:rPr>
              <w:t>100%</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9</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绩效指标</w:t>
            </w: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效益</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（30分）</w:t>
            </w:r>
          </w:p>
        </w:tc>
        <w:tc>
          <w:tcPr>
            <w:tcW w:w="1015"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经济效益指标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青少年犯罪</w:t>
            </w:r>
            <w:r>
              <w:rPr>
                <w:rFonts w:hint="default" w:ascii="Times New Roman" w:hAnsi="Times New Roman" w:eastAsia="宋体" w:cs="Times New Roman"/>
                <w:color w:val="000000"/>
                <w:sz w:val="18"/>
                <w:szCs w:val="18"/>
              </w:rPr>
              <w:t>率</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较上年有所下降</w:t>
            </w:r>
          </w:p>
        </w:tc>
        <w:tc>
          <w:tcPr>
            <w:tcW w:w="97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有所下降</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vMerge w:val="continue"/>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青年创业率</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较去年有所提高</w:t>
            </w:r>
          </w:p>
        </w:tc>
        <w:tc>
          <w:tcPr>
            <w:tcW w:w="97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有待提高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5" w:hRule="exact"/>
          <w:jc w:val="center"/>
        </w:trPr>
        <w:tc>
          <w:tcPr>
            <w:tcW w:w="612"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1015"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社会效益指标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特殊青少年关怀</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关爱</w:t>
            </w:r>
            <w:r>
              <w:rPr>
                <w:rFonts w:hint="default" w:ascii="Times New Roman" w:hAnsi="Times New Roman" w:eastAsia="宋体" w:cs="Times New Roman"/>
                <w:color w:val="000000"/>
                <w:sz w:val="18"/>
                <w:szCs w:val="18"/>
              </w:rPr>
              <w:t>社会特殊困难人群，如</w:t>
            </w:r>
            <w:r>
              <w:rPr>
                <w:rFonts w:hint="default" w:ascii="Times New Roman" w:hAnsi="Times New Roman" w:eastAsia="宋体" w:cs="Times New Roman"/>
                <w:color w:val="000000"/>
                <w:sz w:val="18"/>
                <w:szCs w:val="18"/>
                <w:lang w:eastAsia="zh-CN"/>
              </w:rPr>
              <w:t>困境儿童</w:t>
            </w:r>
            <w:r>
              <w:rPr>
                <w:rFonts w:hint="default" w:ascii="Times New Roman" w:hAnsi="Times New Roman" w:eastAsia="宋体" w:cs="Times New Roman"/>
                <w:color w:val="000000"/>
                <w:sz w:val="18"/>
                <w:szCs w:val="18"/>
              </w:rPr>
              <w:t>、</w:t>
            </w:r>
            <w:r>
              <w:rPr>
                <w:rFonts w:hint="default" w:ascii="Times New Roman" w:hAnsi="Times New Roman" w:eastAsia="宋体" w:cs="Times New Roman"/>
                <w:color w:val="000000"/>
                <w:sz w:val="18"/>
                <w:szCs w:val="18"/>
                <w:lang w:eastAsia="zh-CN"/>
              </w:rPr>
              <w:t>事实无人抚养儿童</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持续进行</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15" w:hRule="exact"/>
          <w:jc w:val="center"/>
        </w:trPr>
        <w:tc>
          <w:tcPr>
            <w:tcW w:w="612"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1015"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青少年法治思想教育</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eastAsia="zh-CN"/>
              </w:rPr>
              <w:t>开展青少年法治教育活动，提高青少年法治意识</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有所提高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08" w:hRule="exact"/>
          <w:jc w:val="center"/>
        </w:trPr>
        <w:tc>
          <w:tcPr>
            <w:tcW w:w="612"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1015"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kern w:val="2"/>
                <w:sz w:val="18"/>
                <w:szCs w:val="18"/>
                <w:lang w:val="en-US" w:eastAsia="zh-CN" w:bidi="ar-SA"/>
              </w:rPr>
              <w:t>青少年的思想道德素质和科学文化素质教育</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通过</w:t>
            </w:r>
            <w:r>
              <w:rPr>
                <w:rFonts w:hint="default" w:ascii="Times New Roman" w:hAnsi="Times New Roman" w:eastAsia="宋体" w:cs="Times New Roman"/>
                <w:color w:val="000000"/>
                <w:sz w:val="18"/>
                <w:szCs w:val="18"/>
                <w:lang w:eastAsia="zh-CN"/>
              </w:rPr>
              <w:t>组织志愿服务活动，宣传教育，提高青少年素质</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有所提高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55" w:hRule="exact"/>
          <w:jc w:val="center"/>
        </w:trPr>
        <w:tc>
          <w:tcPr>
            <w:tcW w:w="612"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jc w:val="center"/>
              <w:rPr>
                <w:rFonts w:hint="default" w:ascii="Times New Roman" w:hAnsi="Times New Roman" w:eastAsia="宋体" w:cs="Times New Roman"/>
                <w:color w:val="000000"/>
                <w:kern w:val="0"/>
                <w:sz w:val="18"/>
                <w:szCs w:val="18"/>
              </w:rPr>
            </w:pPr>
          </w:p>
        </w:tc>
        <w:tc>
          <w:tcPr>
            <w:tcW w:w="1015" w:type="dxa"/>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生态效益指标</w:t>
            </w:r>
          </w:p>
        </w:tc>
        <w:tc>
          <w:tcPr>
            <w:tcW w:w="2034" w:type="dxa"/>
            <w:gridSpan w:val="2"/>
            <w:noWrap w:val="0"/>
            <w:vAlign w:val="center"/>
          </w:tcPr>
          <w:p>
            <w:pPr>
              <w:pStyle w:val="3"/>
              <w:ind w:left="0" w:leftChars="0" w:right="0" w:rightChars="0" w:firstLine="0" w:firstLineChars="0"/>
              <w:jc w:val="center"/>
              <w:rPr>
                <w:rFonts w:hint="default" w:ascii="Times New Roman" w:hAnsi="Times New Roman" w:eastAsia="宋体" w:cs="Times New Roman"/>
                <w:b/>
                <w:kern w:val="44"/>
                <w:sz w:val="18"/>
                <w:szCs w:val="18"/>
                <w:lang w:val="en-US" w:eastAsia="zh-CN" w:bidi="ar"/>
              </w:rPr>
            </w:pPr>
            <w:r>
              <w:rPr>
                <w:rFonts w:hint="default" w:ascii="Times New Roman" w:hAnsi="Times New Roman" w:eastAsia="宋体" w:cs="Times New Roman"/>
                <w:b w:val="0"/>
                <w:color w:val="000000"/>
                <w:kern w:val="2"/>
                <w:sz w:val="18"/>
                <w:szCs w:val="18"/>
                <w:lang w:val="en-US" w:eastAsia="zh-CN" w:bidi="ar-SA"/>
              </w:rPr>
              <w:t>生态文明</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将卫生环境保护贯穿到</w:t>
            </w:r>
            <w:r>
              <w:rPr>
                <w:rFonts w:hint="default" w:ascii="Times New Roman" w:hAnsi="Times New Roman" w:eastAsia="宋体" w:cs="Times New Roman"/>
                <w:color w:val="000000"/>
                <w:sz w:val="18"/>
                <w:szCs w:val="18"/>
                <w:lang w:eastAsia="zh-CN"/>
              </w:rPr>
              <w:t>单位及联点社区</w:t>
            </w:r>
            <w:r>
              <w:rPr>
                <w:rFonts w:hint="default" w:ascii="Times New Roman" w:hAnsi="Times New Roman" w:eastAsia="宋体" w:cs="Times New Roman"/>
                <w:color w:val="000000"/>
                <w:sz w:val="18"/>
                <w:szCs w:val="18"/>
              </w:rPr>
              <w:t>、丰富文化生活，着力建设生态环保，节能高效的社会环境</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有所提高</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1"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tcBorders>
              <w:top w:val="nil"/>
            </w:tcBorders>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可持续影响指标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文明环境</w:t>
            </w:r>
          </w:p>
        </w:tc>
        <w:tc>
          <w:tcPr>
            <w:tcW w:w="2716" w:type="dxa"/>
            <w:tcBorders>
              <w:bottom w:val="nil"/>
            </w:tcBorders>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创造持续的文明环境</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有所提高</w:t>
            </w:r>
          </w:p>
        </w:tc>
        <w:tc>
          <w:tcPr>
            <w:tcW w:w="732" w:type="dxa"/>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c>
          <w:tcPr>
            <w:tcW w:w="931" w:type="dxa"/>
            <w:noWrap w:val="0"/>
            <w:vAlign w:val="center"/>
          </w:tcPr>
          <w:p>
            <w:pPr>
              <w:widowControl/>
              <w:spacing w:line="280" w:lineRule="exact"/>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7"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满意度</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指标</w:t>
            </w:r>
          </w:p>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（10分）</w:t>
            </w:r>
          </w:p>
        </w:tc>
        <w:tc>
          <w:tcPr>
            <w:tcW w:w="1015" w:type="dxa"/>
            <w:vMerge w:val="restart"/>
            <w:noWrap w:val="0"/>
            <w:vAlign w:val="center"/>
          </w:tcPr>
          <w:p>
            <w:pPr>
              <w:widowControl/>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社会公众或服务对象满意度指标</w:t>
            </w: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干部职工满意度</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员工满意度≥95%</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98%</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0" w:hRule="exact"/>
          <w:jc w:val="center"/>
        </w:trPr>
        <w:tc>
          <w:tcPr>
            <w:tcW w:w="612"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900"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1015" w:type="dxa"/>
            <w:vMerge w:val="continue"/>
            <w:noWrap w:val="0"/>
            <w:vAlign w:val="center"/>
          </w:tcPr>
          <w:p>
            <w:pPr>
              <w:widowControl/>
              <w:jc w:val="center"/>
              <w:rPr>
                <w:rFonts w:hint="default" w:ascii="Times New Roman" w:hAnsi="Times New Roman" w:eastAsia="宋体" w:cs="Times New Roman"/>
                <w:color w:val="000000"/>
                <w:kern w:val="0"/>
                <w:sz w:val="18"/>
                <w:szCs w:val="18"/>
              </w:rPr>
            </w:pPr>
          </w:p>
        </w:tc>
        <w:tc>
          <w:tcPr>
            <w:tcW w:w="2034" w:type="dxa"/>
            <w:gridSpan w:val="2"/>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w:t>
            </w:r>
            <w:r>
              <w:rPr>
                <w:rFonts w:hint="default" w:ascii="Times New Roman" w:hAnsi="Times New Roman" w:eastAsia="宋体" w:cs="Times New Roman"/>
                <w:color w:val="000000"/>
                <w:sz w:val="18"/>
                <w:szCs w:val="18"/>
                <w:lang w:val="en-US" w:eastAsia="zh-CN"/>
              </w:rPr>
              <w:t>或</w:t>
            </w:r>
            <w:r>
              <w:rPr>
                <w:rFonts w:hint="default" w:ascii="Times New Roman" w:hAnsi="Times New Roman" w:eastAsia="宋体" w:cs="Times New Roman"/>
                <w:color w:val="000000"/>
                <w:sz w:val="18"/>
                <w:szCs w:val="18"/>
              </w:rPr>
              <w:t>服务对象满意度</w:t>
            </w:r>
          </w:p>
        </w:tc>
        <w:tc>
          <w:tcPr>
            <w:tcW w:w="2716"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rPr>
              <w:t>社会公众或服务对象满意度≥95%</w:t>
            </w:r>
          </w:p>
        </w:tc>
        <w:tc>
          <w:tcPr>
            <w:tcW w:w="972" w:type="dxa"/>
            <w:noWrap w:val="0"/>
            <w:vAlign w:val="center"/>
          </w:tcPr>
          <w:p>
            <w:pPr>
              <w:widowControl/>
              <w:jc w:val="center"/>
              <w:textAlignment w:val="center"/>
              <w:rPr>
                <w:rFonts w:hint="default" w:ascii="Times New Roman" w:hAnsi="Times New Roman" w:eastAsia="宋体" w:cs="Times New Roman"/>
                <w:color w:val="000000"/>
                <w:kern w:val="2"/>
                <w:sz w:val="18"/>
                <w:szCs w:val="18"/>
                <w:lang w:val="en-US" w:eastAsia="zh-CN" w:bidi="ar-SA"/>
              </w:rPr>
            </w:pPr>
            <w:r>
              <w:rPr>
                <w:rFonts w:hint="default" w:ascii="Times New Roman" w:hAnsi="Times New Roman" w:eastAsia="宋体" w:cs="Times New Roman"/>
                <w:color w:val="000000"/>
                <w:sz w:val="18"/>
                <w:szCs w:val="18"/>
                <w:lang w:val="en-US" w:eastAsia="zh-CN"/>
              </w:rPr>
              <w:t>98%</w:t>
            </w:r>
          </w:p>
        </w:tc>
        <w:tc>
          <w:tcPr>
            <w:tcW w:w="732"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c>
          <w:tcPr>
            <w:tcW w:w="931" w:type="dxa"/>
            <w:noWrap w:val="0"/>
            <w:vAlign w:val="center"/>
          </w:tcPr>
          <w:p>
            <w:pPr>
              <w:widowControl/>
              <w:jc w:val="center"/>
              <w:rPr>
                <w:rFonts w:hint="default" w:ascii="Times New Roman" w:hAnsi="Times New Roman" w:eastAsia="宋体" w:cs="Times New Roman"/>
                <w:color w:val="000000"/>
                <w:kern w:val="0"/>
                <w:sz w:val="18"/>
                <w:szCs w:val="18"/>
                <w:lang w:val="en-US" w:eastAsia="zh-CN" w:bidi="ar-SA"/>
              </w:rPr>
            </w:pPr>
            <w:r>
              <w:rPr>
                <w:rFonts w:hint="default" w:ascii="Times New Roman" w:hAnsi="Times New Roman" w:eastAsia="宋体" w:cs="Times New Roman"/>
                <w:color w:val="000000"/>
                <w:kern w:val="0"/>
                <w:sz w:val="18"/>
                <w:szCs w:val="18"/>
                <w:lang w:val="en-US" w:eastAsia="zh-CN"/>
              </w:rPr>
              <w:t>5</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宋体" w:hAnsi="宋体" w:eastAsia="宋体" w:cs="宋体"/>
          <w:i w:val="0"/>
          <w:iCs w:val="0"/>
          <w:caps w:val="0"/>
          <w:color w:val="444444"/>
          <w:spacing w:val="0"/>
          <w:kern w:val="2"/>
          <w:sz w:val="28"/>
          <w:szCs w:val="28"/>
          <w:shd w:val="clear" w:fill="FFFFFF"/>
          <w:lang w:val="en-US" w:eastAsia="zh-CN" w:bidi="ar-SA"/>
        </w:rPr>
      </w:pPr>
    </w:p>
    <w:sectPr>
      <w:headerReference r:id="rId10" w:type="default"/>
      <w:footerReference r:id="rId11" w:type="default"/>
      <w:pgSz w:w="11906" w:h="16838"/>
      <w:pgMar w:top="986" w:right="1389" w:bottom="986" w:left="1389" w:header="170" w:footer="73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64"/>
        <w:tab w:val="clear" w:pos="4153"/>
      </w:tabs>
      <w:rPr>
        <w:rFonts w:hint="default"/>
        <w:lang w:val="en-US"/>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3063875</wp:posOffset>
              </wp:positionH>
              <wp:positionV relativeFrom="paragraph">
                <wp:posOffset>3131820</wp:posOffset>
              </wp:positionV>
              <wp:extent cx="1282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82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Theme="minorEastAsia"/>
                              <w:lang w:val="en-US" w:eastAsia="zh-CN"/>
                            </w:rPr>
                          </w:pPr>
                          <w:r>
                            <w:rPr>
                              <w:rFonts w:hint="eastAsia"/>
                              <w:lang w:val="en-US" w:eastAsia="zh-CN"/>
                            </w:rPr>
                            <w:t>222</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1.25pt;margin-top:246.6pt;height:11.5pt;width:10.1pt;mso-position-horizontal-relative:margin;z-index:251660288;mso-width-relative:page;mso-height-relative:page;" filled="f" stroked="f" coordsize="21600,21600" o:gfxdata="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nUgm9kAAAALAQAADwAAAAAAAAABACAAAAAiAAAAZHJzL2Rvd25y&#10;ZXYueG1sUEsBAhQAFAAAAAgAh07iQEsRyIY2AgAAYQQAAA4AAAAAAAAAAQAgAAAAKAEAAGRycy9l&#10;Mm9Eb2MueG1sUEsFBgAAAAAGAAYAWQEAANAFAAAAAA==&#10;">
              <v:fill on="f" focussize="0,0"/>
              <v:stroke on="f" weight="0.5pt"/>
              <v:imagedata o:title=""/>
              <o:lock v:ext="edit" aspectratio="f"/>
              <v:textbox inset="0mm,0mm,0mm,0mm">
                <w:txbxContent>
                  <w:p>
                    <w:pPr>
                      <w:pStyle w:val="10"/>
                      <w:rPr>
                        <w:rFonts w:hint="default" w:eastAsiaTheme="minorEastAsia"/>
                        <w:lang w:val="en-US" w:eastAsia="zh-CN"/>
                      </w:rPr>
                    </w:pPr>
                    <w:r>
                      <w:rPr>
                        <w:rFonts w:hint="eastAsia"/>
                        <w:lang w:val="en-US" w:eastAsia="zh-CN"/>
                      </w:rPr>
                      <w:t>222</w:t>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564"/>
        <w:tab w:val="clear" w:pos="4153"/>
      </w:tabs>
      <w:rPr>
        <w:rFonts w:hint="default"/>
        <w:lang w:val="en-US"/>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3063875</wp:posOffset>
              </wp:positionH>
              <wp:positionV relativeFrom="paragraph">
                <wp:posOffset>3131820</wp:posOffset>
              </wp:positionV>
              <wp:extent cx="128270" cy="1460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282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eastAsiaTheme="minorEastAsia"/>
                              <w:lang w:val="en-US" w:eastAsia="zh-CN"/>
                            </w:rPr>
                          </w:pPr>
                          <w:r>
                            <w:rPr>
                              <w:rFonts w:hint="eastAsia"/>
                              <w:lang w:val="en-US" w:eastAsia="zh-CN"/>
                            </w:rPr>
                            <w:t>222</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1.25pt;margin-top:246.6pt;height:11.5pt;width:10.1pt;mso-position-horizontal-relative:margin;z-index:251662336;mso-width-relative:page;mso-height-relative:page;" filled="f" stroked="f" coordsize="21600,21600" o:gfxdata="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dSCb2QAAAAsBAAAPAAAAAAAAAAEAIAAAACIAAABkcnMvZG93bnJl&#10;di54bWxQSwECFAAUAAAACACHTuJADj4KQDUCAABjBAAADgAAAAAAAAABACAAAAAoAQAAZHJzL2Uy&#10;b0RvYy54bWxQSwUGAAAAAAYABgBZAQAAzwUAAAAA&#10;">
              <v:fill on="f" focussize="0,0"/>
              <v:stroke on="f" weight="0.5pt"/>
              <v:imagedata o:title=""/>
              <o:lock v:ext="edit" aspectratio="f"/>
              <v:textbox inset="0mm,0mm,0mm,0mm">
                <w:txbxContent>
                  <w:p>
                    <w:pPr>
                      <w:pStyle w:val="10"/>
                      <w:rPr>
                        <w:rFonts w:hint="default" w:eastAsiaTheme="minorEastAsia"/>
                        <w:lang w:val="en-US" w:eastAsia="zh-CN"/>
                      </w:rPr>
                    </w:pPr>
                    <w:r>
                      <w:rPr>
                        <w:rFonts w:hint="eastAsia"/>
                        <w:lang w:val="en-US" w:eastAsia="zh-CN"/>
                      </w:rPr>
                      <w:t>222</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6"/>
        <w:szCs w:val="16"/>
        <w:lang w:val="en-US" w:eastAsia="zh-CN"/>
      </w:rPr>
      <w:t>湖南财正会计师事务所（普通合伙）中国共产主义青年团邵阳市北塔区委员会</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中国共产主义青年团邵阳市北塔区委员会</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5"/>
        <w:szCs w:val="15"/>
        <w:lang w:val="en-US" w:eastAsia="zh-CN"/>
      </w:rPr>
      <w:t>湖南财正会计师事务所（普通合伙）     中国共产主义青年团邵阳市北塔区委员会</w:t>
    </w:r>
    <w:r>
      <w:rPr>
        <w:rFonts w:hint="default" w:ascii="Times New Roman" w:hAnsi="Times New Roman" w:eastAsia="宋体" w:cs="Times New Roman"/>
        <w:b w:val="0"/>
        <w:bCs w:val="0"/>
        <w:i w:val="0"/>
        <w:iCs w:val="0"/>
        <w:sz w:val="15"/>
        <w:szCs w:val="15"/>
        <w:lang w:val="en-US" w:eastAsia="zh-CN"/>
      </w:rPr>
      <w:t>2022</w:t>
    </w:r>
    <w:r>
      <w:rPr>
        <w:rFonts w:hint="eastAsia" w:ascii="宋体" w:hAnsi="宋体" w:eastAsia="宋体" w:cs="宋体"/>
        <w:b/>
        <w:bCs/>
        <w:i w:val="0"/>
        <w:iCs w:val="0"/>
        <w:sz w:val="15"/>
        <w:szCs w:val="15"/>
        <w:lang w:val="en-US" w:eastAsia="zh-CN"/>
      </w:rPr>
      <w:t>年度部门整体支出绩效评价报告</w:t>
    </w:r>
  </w:p>
  <w:p>
    <w:pPr>
      <w:pStyle w:val="9"/>
      <w:pBdr>
        <w:bottom w:val="none" w:color="auto" w:sz="0" w:space="1"/>
      </w:pBdr>
      <w:tabs>
        <w:tab w:val="left" w:pos="420"/>
        <w:tab w:val="right" w:pos="9746"/>
      </w:tabs>
      <w:jc w:val="left"/>
      <w:rPr>
        <w:rFonts w:hint="default"/>
        <w:sz w:val="21"/>
        <w:szCs w:val="21"/>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4"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5"/>
        <w:szCs w:val="15"/>
        <w:lang w:val="en-US" w:eastAsia="zh-CN"/>
      </w:rPr>
      <w:t>湖南财正会计师事务所（普通合伙）                中国共产主义青年团邵阳市北塔区委员会</w:t>
    </w:r>
    <w:r>
      <w:rPr>
        <w:rFonts w:hint="default" w:ascii="Times New Roman" w:hAnsi="Times New Roman" w:eastAsia="宋体" w:cs="Times New Roman"/>
        <w:b w:val="0"/>
        <w:bCs w:val="0"/>
        <w:i w:val="0"/>
        <w:iCs w:val="0"/>
        <w:sz w:val="15"/>
        <w:szCs w:val="15"/>
        <w:lang w:val="en-US" w:eastAsia="zh-CN"/>
      </w:rPr>
      <w:t>2022</w:t>
    </w:r>
    <w:r>
      <w:rPr>
        <w:rFonts w:hint="eastAsia" w:ascii="宋体" w:hAnsi="宋体" w:eastAsia="宋体" w:cs="宋体"/>
        <w:b/>
        <w:bCs/>
        <w:i w:val="0"/>
        <w:iCs w:val="0"/>
        <w:sz w:val="15"/>
        <w:szCs w:val="15"/>
        <w:lang w:val="en-US" w:eastAsia="zh-CN"/>
      </w:rPr>
      <w:t>年度部门整体支出绩效评价报告</w:t>
    </w:r>
  </w:p>
  <w:p>
    <w:pPr>
      <w:pStyle w:val="9"/>
      <w:pBdr>
        <w:bottom w:val="none" w:color="auto" w:sz="0" w:space="1"/>
      </w:pBdr>
      <w:tabs>
        <w:tab w:val="left" w:pos="420"/>
        <w:tab w:val="right" w:pos="9746"/>
      </w:tabs>
      <w:jc w:val="left"/>
      <w:rPr>
        <w:rFonts w:hint="default"/>
        <w:sz w:val="21"/>
        <w:szCs w:val="21"/>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4120E"/>
    <w:rsid w:val="01941529"/>
    <w:rsid w:val="01B54127"/>
    <w:rsid w:val="01DD36AA"/>
    <w:rsid w:val="01DE3C65"/>
    <w:rsid w:val="01FD29C4"/>
    <w:rsid w:val="01FD7E4B"/>
    <w:rsid w:val="02092C94"/>
    <w:rsid w:val="021653B1"/>
    <w:rsid w:val="023A2E4D"/>
    <w:rsid w:val="024C0DD3"/>
    <w:rsid w:val="02533F0F"/>
    <w:rsid w:val="02A767F1"/>
    <w:rsid w:val="02B4470B"/>
    <w:rsid w:val="02BD79F4"/>
    <w:rsid w:val="02D3485F"/>
    <w:rsid w:val="030A17AF"/>
    <w:rsid w:val="034C2738"/>
    <w:rsid w:val="035B53EC"/>
    <w:rsid w:val="037B7F18"/>
    <w:rsid w:val="039E5752"/>
    <w:rsid w:val="03A04F32"/>
    <w:rsid w:val="03A5079A"/>
    <w:rsid w:val="03CD3298"/>
    <w:rsid w:val="0486237A"/>
    <w:rsid w:val="049329AF"/>
    <w:rsid w:val="049F51EA"/>
    <w:rsid w:val="04A44EF6"/>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7CB4548"/>
    <w:rsid w:val="082223BA"/>
    <w:rsid w:val="087A7807"/>
    <w:rsid w:val="08E41D65"/>
    <w:rsid w:val="09AF2373"/>
    <w:rsid w:val="0A41622F"/>
    <w:rsid w:val="0A4C309B"/>
    <w:rsid w:val="0A7964DD"/>
    <w:rsid w:val="0AB32F67"/>
    <w:rsid w:val="0AC2018B"/>
    <w:rsid w:val="0AD86622"/>
    <w:rsid w:val="0AFA5870"/>
    <w:rsid w:val="0B440899"/>
    <w:rsid w:val="0B554854"/>
    <w:rsid w:val="0B7D3DAB"/>
    <w:rsid w:val="0B8F4572"/>
    <w:rsid w:val="0BC419DA"/>
    <w:rsid w:val="0C8373CF"/>
    <w:rsid w:val="0CB51A76"/>
    <w:rsid w:val="0D614217"/>
    <w:rsid w:val="0DA91778"/>
    <w:rsid w:val="0DB53CD0"/>
    <w:rsid w:val="0DF57489"/>
    <w:rsid w:val="0E625C06"/>
    <w:rsid w:val="0E871098"/>
    <w:rsid w:val="0EAE1417"/>
    <w:rsid w:val="0F3E4E43"/>
    <w:rsid w:val="0F503CB0"/>
    <w:rsid w:val="0FAF0E26"/>
    <w:rsid w:val="0FD038C7"/>
    <w:rsid w:val="0FDD4B1F"/>
    <w:rsid w:val="0FE8038D"/>
    <w:rsid w:val="10262C63"/>
    <w:rsid w:val="103435D2"/>
    <w:rsid w:val="105709C9"/>
    <w:rsid w:val="10B77D5F"/>
    <w:rsid w:val="10BA0895"/>
    <w:rsid w:val="10C84C25"/>
    <w:rsid w:val="10D64689"/>
    <w:rsid w:val="11075191"/>
    <w:rsid w:val="11145517"/>
    <w:rsid w:val="111D5D5A"/>
    <w:rsid w:val="111E1B8C"/>
    <w:rsid w:val="1162031D"/>
    <w:rsid w:val="11A036CE"/>
    <w:rsid w:val="123A47A4"/>
    <w:rsid w:val="125F76F2"/>
    <w:rsid w:val="12962DFA"/>
    <w:rsid w:val="12FB1166"/>
    <w:rsid w:val="12FE566B"/>
    <w:rsid w:val="134F2A5F"/>
    <w:rsid w:val="13616C00"/>
    <w:rsid w:val="13A30C34"/>
    <w:rsid w:val="13AD711E"/>
    <w:rsid w:val="13E21B19"/>
    <w:rsid w:val="144831DD"/>
    <w:rsid w:val="14494352"/>
    <w:rsid w:val="14520243"/>
    <w:rsid w:val="14A867BA"/>
    <w:rsid w:val="14AA2C6A"/>
    <w:rsid w:val="14C83B63"/>
    <w:rsid w:val="14E56EB1"/>
    <w:rsid w:val="151A3A77"/>
    <w:rsid w:val="156644E7"/>
    <w:rsid w:val="157601E9"/>
    <w:rsid w:val="158D5230"/>
    <w:rsid w:val="159927CF"/>
    <w:rsid w:val="15D95C1C"/>
    <w:rsid w:val="15DF178B"/>
    <w:rsid w:val="162D4C24"/>
    <w:rsid w:val="16445B83"/>
    <w:rsid w:val="165A5414"/>
    <w:rsid w:val="167D1103"/>
    <w:rsid w:val="16A3500D"/>
    <w:rsid w:val="16C17241"/>
    <w:rsid w:val="16FB6BF7"/>
    <w:rsid w:val="170F4451"/>
    <w:rsid w:val="174001E4"/>
    <w:rsid w:val="176B182A"/>
    <w:rsid w:val="17740758"/>
    <w:rsid w:val="179A45B6"/>
    <w:rsid w:val="17A75370"/>
    <w:rsid w:val="17B7378B"/>
    <w:rsid w:val="17BA172D"/>
    <w:rsid w:val="17DF2A99"/>
    <w:rsid w:val="17F17FFA"/>
    <w:rsid w:val="181F0F4A"/>
    <w:rsid w:val="18334F9A"/>
    <w:rsid w:val="183C062F"/>
    <w:rsid w:val="185C1EE0"/>
    <w:rsid w:val="185E6EB6"/>
    <w:rsid w:val="18AE6DE7"/>
    <w:rsid w:val="18CC15ED"/>
    <w:rsid w:val="18E84F59"/>
    <w:rsid w:val="190C4F45"/>
    <w:rsid w:val="1969191D"/>
    <w:rsid w:val="196B4518"/>
    <w:rsid w:val="198A392A"/>
    <w:rsid w:val="19A20B4F"/>
    <w:rsid w:val="19B72B7E"/>
    <w:rsid w:val="19C5236C"/>
    <w:rsid w:val="1A00180A"/>
    <w:rsid w:val="1A807414"/>
    <w:rsid w:val="1AB1581F"/>
    <w:rsid w:val="1AC0098C"/>
    <w:rsid w:val="1AFD2812"/>
    <w:rsid w:val="1B0758FD"/>
    <w:rsid w:val="1B204EAB"/>
    <w:rsid w:val="1B423001"/>
    <w:rsid w:val="1B813443"/>
    <w:rsid w:val="1C60574F"/>
    <w:rsid w:val="1C754516"/>
    <w:rsid w:val="1C96585A"/>
    <w:rsid w:val="1CAA0778"/>
    <w:rsid w:val="1CC64099"/>
    <w:rsid w:val="1CE9788F"/>
    <w:rsid w:val="1D3F5364"/>
    <w:rsid w:val="1D496DC2"/>
    <w:rsid w:val="1E073968"/>
    <w:rsid w:val="1E147041"/>
    <w:rsid w:val="1E2E729A"/>
    <w:rsid w:val="1E591960"/>
    <w:rsid w:val="1E5D6DE0"/>
    <w:rsid w:val="1E5E4D57"/>
    <w:rsid w:val="1E69544E"/>
    <w:rsid w:val="1EC30786"/>
    <w:rsid w:val="1ED16490"/>
    <w:rsid w:val="1EF77EF6"/>
    <w:rsid w:val="1EFF4D1E"/>
    <w:rsid w:val="1F4D78E4"/>
    <w:rsid w:val="1F503DF8"/>
    <w:rsid w:val="1F5E41C7"/>
    <w:rsid w:val="1FA228EE"/>
    <w:rsid w:val="2034767B"/>
    <w:rsid w:val="20710D0B"/>
    <w:rsid w:val="20F72930"/>
    <w:rsid w:val="21352A19"/>
    <w:rsid w:val="21985D98"/>
    <w:rsid w:val="21A26717"/>
    <w:rsid w:val="21C32917"/>
    <w:rsid w:val="21FF14CD"/>
    <w:rsid w:val="223E5BEA"/>
    <w:rsid w:val="22433200"/>
    <w:rsid w:val="2267625F"/>
    <w:rsid w:val="22A85759"/>
    <w:rsid w:val="22E845A7"/>
    <w:rsid w:val="22F10B70"/>
    <w:rsid w:val="23027D5E"/>
    <w:rsid w:val="2303007B"/>
    <w:rsid w:val="239758BD"/>
    <w:rsid w:val="23AF6E6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A338B2"/>
    <w:rsid w:val="271C503E"/>
    <w:rsid w:val="27201D62"/>
    <w:rsid w:val="27612030"/>
    <w:rsid w:val="27624C01"/>
    <w:rsid w:val="276F7F3A"/>
    <w:rsid w:val="27A110F5"/>
    <w:rsid w:val="27AC7A9A"/>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B60EE7"/>
    <w:rsid w:val="2BC538CE"/>
    <w:rsid w:val="2BC64379"/>
    <w:rsid w:val="2BD903BF"/>
    <w:rsid w:val="2BF0285A"/>
    <w:rsid w:val="2C025EDA"/>
    <w:rsid w:val="2C153E60"/>
    <w:rsid w:val="2C2B7E03"/>
    <w:rsid w:val="2C817A09"/>
    <w:rsid w:val="2C877DC8"/>
    <w:rsid w:val="2CD8457F"/>
    <w:rsid w:val="2D293ED8"/>
    <w:rsid w:val="2D4B16D2"/>
    <w:rsid w:val="2E9F3EB4"/>
    <w:rsid w:val="2EB3170E"/>
    <w:rsid w:val="2F0D5D93"/>
    <w:rsid w:val="2F406891"/>
    <w:rsid w:val="2FD91648"/>
    <w:rsid w:val="2FE21531"/>
    <w:rsid w:val="2FE91CEC"/>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E6415"/>
    <w:rsid w:val="32803FFD"/>
    <w:rsid w:val="328A4FE6"/>
    <w:rsid w:val="32953ED5"/>
    <w:rsid w:val="32C75788"/>
    <w:rsid w:val="33193D6E"/>
    <w:rsid w:val="3321758E"/>
    <w:rsid w:val="33916868"/>
    <w:rsid w:val="33CB74FA"/>
    <w:rsid w:val="342C7F98"/>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6A752C"/>
    <w:rsid w:val="38031EDD"/>
    <w:rsid w:val="38033923"/>
    <w:rsid w:val="38051BB9"/>
    <w:rsid w:val="38080D1C"/>
    <w:rsid w:val="3819279E"/>
    <w:rsid w:val="38366EFB"/>
    <w:rsid w:val="383E029A"/>
    <w:rsid w:val="384B29B7"/>
    <w:rsid w:val="38BC1BDC"/>
    <w:rsid w:val="38E87BBB"/>
    <w:rsid w:val="390239BE"/>
    <w:rsid w:val="390E32F6"/>
    <w:rsid w:val="3914549F"/>
    <w:rsid w:val="392D1322"/>
    <w:rsid w:val="39900FB6"/>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6744A"/>
    <w:rsid w:val="3C2C3893"/>
    <w:rsid w:val="3C430575"/>
    <w:rsid w:val="3C4340D1"/>
    <w:rsid w:val="3C4349FB"/>
    <w:rsid w:val="3C5B6705"/>
    <w:rsid w:val="3CB472A8"/>
    <w:rsid w:val="3CE44D6B"/>
    <w:rsid w:val="3D0D1C09"/>
    <w:rsid w:val="3D101FEB"/>
    <w:rsid w:val="3D1B75AF"/>
    <w:rsid w:val="3D251A29"/>
    <w:rsid w:val="3DE96EFA"/>
    <w:rsid w:val="3E1C107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EF1C2D"/>
    <w:rsid w:val="432B3B11"/>
    <w:rsid w:val="43503F67"/>
    <w:rsid w:val="43807133"/>
    <w:rsid w:val="438644B5"/>
    <w:rsid w:val="44544A76"/>
    <w:rsid w:val="448E1010"/>
    <w:rsid w:val="44E4666D"/>
    <w:rsid w:val="45877724"/>
    <w:rsid w:val="45AC4E6E"/>
    <w:rsid w:val="45B20519"/>
    <w:rsid w:val="45F90867"/>
    <w:rsid w:val="460C7193"/>
    <w:rsid w:val="4642189D"/>
    <w:rsid w:val="46805F22"/>
    <w:rsid w:val="4683047E"/>
    <w:rsid w:val="47541888"/>
    <w:rsid w:val="479A2668"/>
    <w:rsid w:val="47AA2B40"/>
    <w:rsid w:val="47AC326C"/>
    <w:rsid w:val="47C415B1"/>
    <w:rsid w:val="48DF33D4"/>
    <w:rsid w:val="492F31C0"/>
    <w:rsid w:val="49301E81"/>
    <w:rsid w:val="494557C4"/>
    <w:rsid w:val="49966F85"/>
    <w:rsid w:val="49C8593B"/>
    <w:rsid w:val="4A110D60"/>
    <w:rsid w:val="4A7D10F6"/>
    <w:rsid w:val="4AAC42E7"/>
    <w:rsid w:val="4AD221CC"/>
    <w:rsid w:val="4AD64F49"/>
    <w:rsid w:val="4B9934BC"/>
    <w:rsid w:val="4BA234C7"/>
    <w:rsid w:val="4BE62CCB"/>
    <w:rsid w:val="4BEF12BE"/>
    <w:rsid w:val="4C34368B"/>
    <w:rsid w:val="4C516396"/>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273781C"/>
    <w:rsid w:val="528D62B1"/>
    <w:rsid w:val="52F925D0"/>
    <w:rsid w:val="532E399E"/>
    <w:rsid w:val="53364538"/>
    <w:rsid w:val="53782DBB"/>
    <w:rsid w:val="53AE40CE"/>
    <w:rsid w:val="540006A2"/>
    <w:rsid w:val="54024923"/>
    <w:rsid w:val="541D2361"/>
    <w:rsid w:val="5474356A"/>
    <w:rsid w:val="54C54DE0"/>
    <w:rsid w:val="54E361EE"/>
    <w:rsid w:val="54F503EE"/>
    <w:rsid w:val="550B7056"/>
    <w:rsid w:val="55364B38"/>
    <w:rsid w:val="555D52FB"/>
    <w:rsid w:val="559534D4"/>
    <w:rsid w:val="55A84374"/>
    <w:rsid w:val="55AB1785"/>
    <w:rsid w:val="55E04545"/>
    <w:rsid w:val="55EA5046"/>
    <w:rsid w:val="561D19DF"/>
    <w:rsid w:val="56200FBF"/>
    <w:rsid w:val="562821FE"/>
    <w:rsid w:val="568832FC"/>
    <w:rsid w:val="56A44031"/>
    <w:rsid w:val="56A85AB0"/>
    <w:rsid w:val="56B714EC"/>
    <w:rsid w:val="56DC53F6"/>
    <w:rsid w:val="56FC2A7A"/>
    <w:rsid w:val="57047689"/>
    <w:rsid w:val="572333E8"/>
    <w:rsid w:val="57533BD6"/>
    <w:rsid w:val="57713D91"/>
    <w:rsid w:val="579E28D1"/>
    <w:rsid w:val="57AC6B77"/>
    <w:rsid w:val="57F77651"/>
    <w:rsid w:val="582F3C60"/>
    <w:rsid w:val="583E7E63"/>
    <w:rsid w:val="584056FE"/>
    <w:rsid w:val="584766AC"/>
    <w:rsid w:val="58887411"/>
    <w:rsid w:val="58F632BA"/>
    <w:rsid w:val="594B0611"/>
    <w:rsid w:val="59653481"/>
    <w:rsid w:val="59C44A38"/>
    <w:rsid w:val="59D16D68"/>
    <w:rsid w:val="59FA694D"/>
    <w:rsid w:val="5A8C6946"/>
    <w:rsid w:val="5AEB5C08"/>
    <w:rsid w:val="5AFB5A70"/>
    <w:rsid w:val="5B043B8C"/>
    <w:rsid w:val="5B700A53"/>
    <w:rsid w:val="5B914A01"/>
    <w:rsid w:val="5B9F1014"/>
    <w:rsid w:val="5BCD17B1"/>
    <w:rsid w:val="5BF27270"/>
    <w:rsid w:val="5C0E0752"/>
    <w:rsid w:val="5C0F4C20"/>
    <w:rsid w:val="5C383A38"/>
    <w:rsid w:val="5CC02802"/>
    <w:rsid w:val="5D0E613A"/>
    <w:rsid w:val="5D4635C9"/>
    <w:rsid w:val="5D535CE6"/>
    <w:rsid w:val="5D791FAA"/>
    <w:rsid w:val="5DAE574E"/>
    <w:rsid w:val="5DEA2501"/>
    <w:rsid w:val="5E331DA0"/>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30272DB"/>
    <w:rsid w:val="634702E2"/>
    <w:rsid w:val="63617B43"/>
    <w:rsid w:val="63857C95"/>
    <w:rsid w:val="641E63C8"/>
    <w:rsid w:val="649102B0"/>
    <w:rsid w:val="64AD2180"/>
    <w:rsid w:val="64AF5EF8"/>
    <w:rsid w:val="64BA66CA"/>
    <w:rsid w:val="64C34049"/>
    <w:rsid w:val="65513A47"/>
    <w:rsid w:val="658E038D"/>
    <w:rsid w:val="659C3ABC"/>
    <w:rsid w:val="659F2386"/>
    <w:rsid w:val="661F2C0A"/>
    <w:rsid w:val="661F4759"/>
    <w:rsid w:val="66402BC6"/>
    <w:rsid w:val="66835660"/>
    <w:rsid w:val="66AF21DF"/>
    <w:rsid w:val="66D86EEC"/>
    <w:rsid w:val="67034F8B"/>
    <w:rsid w:val="67116957"/>
    <w:rsid w:val="6755359B"/>
    <w:rsid w:val="67691A21"/>
    <w:rsid w:val="6795184E"/>
    <w:rsid w:val="679F2254"/>
    <w:rsid w:val="67CA42A6"/>
    <w:rsid w:val="67D320AA"/>
    <w:rsid w:val="68150176"/>
    <w:rsid w:val="683913C9"/>
    <w:rsid w:val="683A27FC"/>
    <w:rsid w:val="68B27D65"/>
    <w:rsid w:val="694C1F68"/>
    <w:rsid w:val="69C2588F"/>
    <w:rsid w:val="69DF38CB"/>
    <w:rsid w:val="69FC6B39"/>
    <w:rsid w:val="6A190855"/>
    <w:rsid w:val="6A1D029D"/>
    <w:rsid w:val="6A2309CD"/>
    <w:rsid w:val="6A582B8E"/>
    <w:rsid w:val="6A615EE7"/>
    <w:rsid w:val="6A701C86"/>
    <w:rsid w:val="6AA933EA"/>
    <w:rsid w:val="6AFF6C91"/>
    <w:rsid w:val="6B5748D8"/>
    <w:rsid w:val="6B881251"/>
    <w:rsid w:val="6B916DF5"/>
    <w:rsid w:val="6C103720"/>
    <w:rsid w:val="6C1C5489"/>
    <w:rsid w:val="6C2F7E97"/>
    <w:rsid w:val="6C3F5DB4"/>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21699"/>
    <w:rsid w:val="6EEF24A9"/>
    <w:rsid w:val="6F027AF7"/>
    <w:rsid w:val="6F26325B"/>
    <w:rsid w:val="6F6F69B0"/>
    <w:rsid w:val="6F8F06D9"/>
    <w:rsid w:val="6F9C351D"/>
    <w:rsid w:val="6F9E2305"/>
    <w:rsid w:val="6FAA0C45"/>
    <w:rsid w:val="6FCC337B"/>
    <w:rsid w:val="6FE729EA"/>
    <w:rsid w:val="6FEF189F"/>
    <w:rsid w:val="700B6747"/>
    <w:rsid w:val="70705A65"/>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4903DF"/>
    <w:rsid w:val="73BE7F06"/>
    <w:rsid w:val="73CD3228"/>
    <w:rsid w:val="73E3796C"/>
    <w:rsid w:val="73E536C7"/>
    <w:rsid w:val="74134DFB"/>
    <w:rsid w:val="7419513C"/>
    <w:rsid w:val="742D3D9C"/>
    <w:rsid w:val="74387CB8"/>
    <w:rsid w:val="745B25CA"/>
    <w:rsid w:val="74A06616"/>
    <w:rsid w:val="74AE1D28"/>
    <w:rsid w:val="74C55995"/>
    <w:rsid w:val="74FD49B7"/>
    <w:rsid w:val="750E27C7"/>
    <w:rsid w:val="7586788F"/>
    <w:rsid w:val="75C86411"/>
    <w:rsid w:val="76237386"/>
    <w:rsid w:val="762B7F17"/>
    <w:rsid w:val="76317141"/>
    <w:rsid w:val="76534D7C"/>
    <w:rsid w:val="765B1A3C"/>
    <w:rsid w:val="76DB2A57"/>
    <w:rsid w:val="771147F0"/>
    <w:rsid w:val="778D36DC"/>
    <w:rsid w:val="77E9454A"/>
    <w:rsid w:val="78110E71"/>
    <w:rsid w:val="783B1B25"/>
    <w:rsid w:val="784328C1"/>
    <w:rsid w:val="78DA1D7B"/>
    <w:rsid w:val="78F13662"/>
    <w:rsid w:val="793E7C5B"/>
    <w:rsid w:val="7955517B"/>
    <w:rsid w:val="79560DFC"/>
    <w:rsid w:val="79570BE0"/>
    <w:rsid w:val="79674B9C"/>
    <w:rsid w:val="798B6ADC"/>
    <w:rsid w:val="79A25BD4"/>
    <w:rsid w:val="79AC1FDF"/>
    <w:rsid w:val="79BA4CCB"/>
    <w:rsid w:val="79BC1425"/>
    <w:rsid w:val="7A1C75A3"/>
    <w:rsid w:val="7A394769"/>
    <w:rsid w:val="7A6A4943"/>
    <w:rsid w:val="7AB236D8"/>
    <w:rsid w:val="7ABB0CFB"/>
    <w:rsid w:val="7AE71AF0"/>
    <w:rsid w:val="7B413F7E"/>
    <w:rsid w:val="7B885D10"/>
    <w:rsid w:val="7BE74CFC"/>
    <w:rsid w:val="7BEE6B88"/>
    <w:rsid w:val="7BF7570B"/>
    <w:rsid w:val="7C2E345F"/>
    <w:rsid w:val="7C5424A5"/>
    <w:rsid w:val="7C5A2796"/>
    <w:rsid w:val="7C605268"/>
    <w:rsid w:val="7C6A0C2B"/>
    <w:rsid w:val="7CF46746"/>
    <w:rsid w:val="7DB86548"/>
    <w:rsid w:val="7E5D00E7"/>
    <w:rsid w:val="7E9F7825"/>
    <w:rsid w:val="7F376DBE"/>
    <w:rsid w:val="7F7162F6"/>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4"/>
    <w:next w:val="4"/>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widowControl w:val="0"/>
      <w:snapToGrid w:val="0"/>
    </w:pPr>
    <w:rPr>
      <w:rFonts w:ascii="Calibri" w:hAnsi="Calibri" w:cs="Times New Roman"/>
      <w:kern w:val="2"/>
      <w:sz w:val="18"/>
      <w:szCs w:val="18"/>
    </w:rPr>
  </w:style>
  <w:style w:type="paragraph" w:styleId="4">
    <w:name w:val="Body Text First Indent"/>
    <w:basedOn w:val="5"/>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5">
    <w:name w:val="Body Text"/>
    <w:basedOn w:val="1"/>
    <w:autoRedefine/>
    <w:unhideWhenUsed/>
    <w:qFormat/>
    <w:uiPriority w:val="99"/>
    <w:pPr>
      <w:spacing w:after="120"/>
    </w:pPr>
  </w:style>
  <w:style w:type="paragraph" w:styleId="6">
    <w:name w:val="Normal Indent"/>
    <w:basedOn w:val="1"/>
    <w:autoRedefine/>
    <w:unhideWhenUsed/>
    <w:qFormat/>
    <w:uiPriority w:val="99"/>
    <w:pPr>
      <w:ind w:firstLine="420" w:firstLineChars="200"/>
    </w:pPr>
  </w:style>
  <w:style w:type="paragraph" w:styleId="7">
    <w:name w:val="Body Text Indent 2"/>
    <w:basedOn w:val="1"/>
    <w:next w:val="8"/>
    <w:autoRedefine/>
    <w:unhideWhenUsed/>
    <w:qFormat/>
    <w:uiPriority w:val="99"/>
    <w:pPr>
      <w:spacing w:after="120" w:line="480" w:lineRule="auto"/>
      <w:ind w:left="420" w:leftChars="200"/>
    </w:pPr>
  </w:style>
  <w:style w:type="paragraph" w:customStyle="1" w:styleId="8">
    <w:name w:val="p0"/>
    <w:next w:val="9"/>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WPSOffice手动目录 1"/>
    <w:autoRedefine/>
    <w:qFormat/>
    <w:uiPriority w:val="0"/>
    <w:pPr>
      <w:ind w:leftChars="0"/>
    </w:pPr>
    <w:rPr>
      <w:rFonts w:ascii="Times New Roman" w:hAnsi="Times New Roman" w:eastAsia="宋体" w:cs="Times New Roman"/>
      <w:sz w:val="20"/>
      <w:szCs w:val="20"/>
    </w:rPr>
  </w:style>
  <w:style w:type="paragraph" w:customStyle="1" w:styleId="19">
    <w:name w:val="WPSOffice手动目录 2"/>
    <w:autoRedefine/>
    <w:qFormat/>
    <w:uiPriority w:val="0"/>
    <w:pPr>
      <w:ind w:leftChars="200"/>
    </w:pPr>
    <w:rPr>
      <w:rFonts w:ascii="Times New Roman" w:hAnsi="Times New Roman" w:eastAsia="宋体" w:cs="Times New Roman"/>
      <w:sz w:val="20"/>
      <w:szCs w:val="20"/>
    </w:rPr>
  </w:style>
  <w:style w:type="paragraph" w:styleId="20">
    <w:name w:val="List Paragraph"/>
    <w:basedOn w:val="1"/>
    <w:autoRedefine/>
    <w:qFormat/>
    <w:uiPriority w:val="34"/>
    <w:pPr>
      <w:ind w:firstLine="420" w:firstLineChars="200"/>
    </w:pPr>
  </w:style>
  <w:style w:type="paragraph" w:customStyle="1" w:styleId="21">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12464</Words>
  <Characters>13549</Characters>
  <Lines>0</Lines>
  <Paragraphs>0</Paragraphs>
  <TotalTime>8</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B5EC5843D7E0477C807111F3DF3DA53D_13</vt:lpwstr>
  </property>
</Properties>
</file>