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rPr>
          <w:rFonts w:hint="eastAsia" w:eastAsia="宋体"/>
          <w:lang w:eastAsia="zh-CN"/>
        </w:rPr>
      </w:pPr>
      <w:r>
        <w:rPr>
          <w:rFonts w:hint="eastAsia" w:ascii="宋体" w:hAnsi="宋体" w:eastAsia="宋体" w:cs="宋体"/>
          <w:b/>
          <w:bCs/>
          <w:color w:val="444444"/>
          <w:sz w:val="28"/>
          <w:szCs w:val="28"/>
          <w:shd w:val="clear" w:fill="FFFFFF"/>
        </w:rPr>
        <w:t>中国共产主义青年团</w:t>
      </w:r>
      <w:r>
        <w:rPr>
          <w:rFonts w:hint="eastAsia" w:ascii="宋体" w:hAnsi="宋体" w:eastAsia="宋体" w:cs="宋体"/>
          <w:b/>
          <w:bCs/>
          <w:color w:val="444444"/>
          <w:sz w:val="28"/>
          <w:szCs w:val="28"/>
          <w:shd w:val="clear" w:fill="FFFFFF"/>
          <w:lang w:eastAsia="zh-CN"/>
        </w:rPr>
        <w:t>邵阳市北塔区委员会</w:t>
      </w:r>
      <w:r>
        <w:rPr>
          <w:rFonts w:hint="default" w:ascii="Times New Roman" w:hAnsi="Times New Roman" w:eastAsia="微软雅黑" w:cs="Times New Roman"/>
          <w:b/>
          <w:bCs/>
          <w:color w:val="444444"/>
          <w:sz w:val="28"/>
          <w:szCs w:val="28"/>
          <w:shd w:val="clear" w:fill="FFFFFF"/>
        </w:rPr>
        <w:t>2021</w:t>
      </w:r>
      <w:r>
        <w:rPr>
          <w:rFonts w:hint="eastAsia" w:ascii="宋体" w:hAnsi="宋体" w:eastAsia="宋体" w:cs="宋体"/>
          <w:b/>
          <w:bCs/>
          <w:color w:val="444444"/>
          <w:sz w:val="28"/>
          <w:szCs w:val="28"/>
          <w:shd w:val="clear" w:fill="FFFFFF"/>
        </w:rPr>
        <w:t>年度部门整体支出绩效评价报告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一、部门概况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（一）基本情况。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1．主要职能。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中国共产主义青年团是中国共产党领导的先进青年的群众组织，是广大青年在实践中学习共产主义的学校，是党的助手和后备军，是党联系青年的桥梁和纽带。团区委由中共邵阳市北塔区委员会领导。团区委机关的主要工作任务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领导全区共青团工作，根据党的中心任务和区委、团市委各个不同时期的工作部署，制定全区团的工作方针、任务和措施。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积极组织指导青少年的思想文化教育工作，提高青少年的思想道德素质和科学文化素质。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积极向区委和团市委反映青年思想动态并提出解决的意见和建议；研究并制定全区青少年事业的发展规划。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 xml:space="preserve">    负责团干部队伍和团的基层组织建设；推荐优秀团员作为党的发展对象；向党组织推荐、输送优秀年轻干部；做好团基层干部的协管工作。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 xml:space="preserve">    依法维护好青少年的合法权益；参与和青少年利益密切相关的社会监督工作；开展面对青少年的咨询、服务工作；做好“希望工程”工作。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 xml:space="preserve">    组织和引导广大团员青年在两个文明建设中发挥生力军和突击队作用，推荐优秀青年做生产和工作骨干，深化青年志愿者服务社区行动。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 xml:space="preserve">    领导全区少先队工作，贯彻“全团带队”的方针，加强少先队组织的自身建设，组织开展各种有益于少年儿童健康成长的教育活动。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 xml:space="preserve">    完成上级交办的其他工作任务，协助做好市青联、学联、青年统战工作。</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机构情况。</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right="0" w:rightChars="0"/>
        <w:jc w:val="left"/>
        <w:rPr>
          <w:rFonts w:hint="eastAsia" w:ascii="宋体" w:hAnsi="宋体" w:eastAsia="宋体" w:cs="宋体"/>
          <w:color w:val="444444"/>
          <w:kern w:val="0"/>
          <w:sz w:val="28"/>
          <w:szCs w:val="28"/>
          <w:shd w:val="clear" w:fill="FFFFFF"/>
          <w:lang w:eastAsia="zh-CN"/>
        </w:rPr>
      </w:pPr>
      <w:r>
        <w:rPr>
          <w:rFonts w:hint="eastAsia" w:ascii="宋体" w:hAnsi="宋体" w:eastAsia="宋体" w:cs="宋体"/>
          <w:color w:val="444444"/>
          <w:kern w:val="0"/>
          <w:sz w:val="28"/>
          <w:szCs w:val="28"/>
          <w:shd w:val="clear" w:fill="FFFFFF"/>
        </w:rPr>
        <w:t>北塔区团委部门只有本级，没有其他二级单位</w:t>
      </w:r>
      <w:r>
        <w:rPr>
          <w:rFonts w:hint="eastAsia" w:ascii="宋体" w:hAnsi="宋体" w:eastAsia="宋体" w:cs="宋体"/>
          <w:color w:val="444444"/>
          <w:kern w:val="0"/>
          <w:sz w:val="28"/>
          <w:szCs w:val="28"/>
          <w:shd w:val="clear" w:fill="FFFFFF"/>
          <w:lang w:val="en-US"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3.人员情况。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本单位行政编制1个,事业编制2个，实有行政编制人员3人，合计在岗人数为</w:t>
      </w:r>
      <w:r>
        <w:rPr>
          <w:rFonts w:hint="eastAsia" w:ascii="宋体" w:hAnsi="宋体" w:eastAsia="宋体" w:cs="宋体"/>
          <w:color w:val="444444"/>
          <w:kern w:val="0"/>
          <w:sz w:val="28"/>
          <w:szCs w:val="28"/>
          <w:shd w:val="clear" w:fill="FFFFFF"/>
          <w:lang w:val="en-US" w:eastAsia="zh-CN"/>
        </w:rPr>
        <w:t>2</w:t>
      </w:r>
      <w:r>
        <w:rPr>
          <w:rFonts w:hint="eastAsia" w:ascii="宋体" w:hAnsi="宋体" w:eastAsia="宋体" w:cs="宋体"/>
          <w:color w:val="444444"/>
          <w:kern w:val="0"/>
          <w:sz w:val="28"/>
          <w:szCs w:val="28"/>
          <w:shd w:val="clear" w:fill="FFFFFF"/>
        </w:rPr>
        <w:t>人，其中挂职</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二、部门整体支出管理及使用情况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（一）基本支出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基本支出系保障我</w:t>
      </w:r>
      <w:r>
        <w:rPr>
          <w:rFonts w:hint="eastAsia" w:ascii="宋体" w:hAnsi="宋体" w:eastAsia="宋体" w:cs="宋体"/>
          <w:color w:val="444444"/>
          <w:kern w:val="0"/>
          <w:sz w:val="28"/>
          <w:szCs w:val="28"/>
          <w:shd w:val="clear" w:fill="FFFFFF"/>
          <w:lang w:eastAsia="zh-CN"/>
        </w:rPr>
        <w:t>单位</w:t>
      </w:r>
      <w:r>
        <w:rPr>
          <w:rFonts w:hint="eastAsia" w:ascii="宋体" w:hAnsi="宋体" w:eastAsia="宋体" w:cs="宋体"/>
          <w:color w:val="444444"/>
          <w:kern w:val="0"/>
          <w:sz w:val="28"/>
          <w:szCs w:val="28"/>
          <w:shd w:val="clear" w:fill="FFFFFF"/>
        </w:rPr>
        <w:t>机构正常运转、完成日常工作任务而发生的人员支出和公用支出，包括用于在职和离退休人员基本工资、津贴补贴等人员经费以及办公费、印刷费、水电费、办公设备购置等日常公用经费。2021年我</w:t>
      </w:r>
      <w:r>
        <w:rPr>
          <w:rFonts w:hint="eastAsia" w:ascii="宋体" w:hAnsi="宋体" w:eastAsia="宋体" w:cs="宋体"/>
          <w:color w:val="444444"/>
          <w:kern w:val="0"/>
          <w:sz w:val="28"/>
          <w:szCs w:val="28"/>
          <w:shd w:val="clear" w:fill="FFFFFF"/>
          <w:lang w:eastAsia="zh-CN"/>
        </w:rPr>
        <w:t>单位</w:t>
      </w:r>
      <w:r>
        <w:rPr>
          <w:rFonts w:hint="eastAsia" w:ascii="宋体" w:hAnsi="宋体" w:eastAsia="宋体" w:cs="宋体"/>
          <w:color w:val="444444"/>
          <w:kern w:val="0"/>
          <w:sz w:val="28"/>
          <w:szCs w:val="28"/>
          <w:shd w:val="clear" w:fill="FFFFFF"/>
        </w:rPr>
        <w:t>基本支出</w:t>
      </w:r>
      <w:r>
        <w:rPr>
          <w:rFonts w:hint="eastAsia" w:ascii="宋体" w:hAnsi="宋体" w:eastAsia="宋体" w:cs="宋体"/>
          <w:color w:val="444444"/>
          <w:kern w:val="0"/>
          <w:sz w:val="28"/>
          <w:szCs w:val="28"/>
          <w:shd w:val="clear" w:fill="FFFFFF"/>
          <w:lang w:val="en-US" w:eastAsia="zh-CN"/>
        </w:rPr>
        <w:t>41.85</w:t>
      </w:r>
      <w:r>
        <w:rPr>
          <w:rFonts w:hint="eastAsia" w:ascii="宋体" w:hAnsi="宋体" w:eastAsia="宋体" w:cs="宋体"/>
          <w:color w:val="444444"/>
          <w:kern w:val="0"/>
          <w:sz w:val="28"/>
          <w:szCs w:val="28"/>
          <w:shd w:val="clear" w:fill="FFFFFF"/>
        </w:rPr>
        <w:t>万元，比上年同口径</w:t>
      </w:r>
      <w:r>
        <w:rPr>
          <w:rFonts w:hint="eastAsia" w:ascii="宋体" w:hAnsi="宋体" w:eastAsia="宋体" w:cs="宋体"/>
          <w:color w:val="444444"/>
          <w:kern w:val="0"/>
          <w:sz w:val="28"/>
          <w:szCs w:val="28"/>
          <w:shd w:val="clear" w:fill="FFFFFF"/>
          <w:lang w:eastAsia="zh-CN"/>
        </w:rPr>
        <w:t>减少</w:t>
      </w:r>
      <w:r>
        <w:rPr>
          <w:rFonts w:hint="eastAsia" w:ascii="宋体" w:hAnsi="宋体" w:eastAsia="宋体" w:cs="宋体"/>
          <w:color w:val="444444"/>
          <w:kern w:val="0"/>
          <w:sz w:val="28"/>
          <w:szCs w:val="28"/>
          <w:shd w:val="clear" w:fill="FFFFFF"/>
          <w:lang w:val="en-US" w:eastAsia="zh-CN"/>
        </w:rPr>
        <w:t>1.39</w:t>
      </w:r>
      <w:r>
        <w:rPr>
          <w:rFonts w:hint="eastAsia" w:ascii="宋体" w:hAnsi="宋体" w:eastAsia="宋体" w:cs="宋体"/>
          <w:color w:val="444444"/>
          <w:kern w:val="0"/>
          <w:sz w:val="28"/>
          <w:szCs w:val="28"/>
          <w:shd w:val="clear" w:fill="FFFFFF"/>
        </w:rPr>
        <w:t>万元，</w:t>
      </w:r>
      <w:r>
        <w:rPr>
          <w:rFonts w:hint="eastAsia" w:ascii="宋体" w:hAnsi="宋体" w:eastAsia="宋体" w:cs="宋体"/>
          <w:color w:val="444444"/>
          <w:kern w:val="0"/>
          <w:sz w:val="28"/>
          <w:szCs w:val="28"/>
          <w:shd w:val="clear" w:fill="FFFFFF"/>
          <w:lang w:eastAsia="zh-CN"/>
        </w:rPr>
        <w:t>降低</w:t>
      </w:r>
      <w:r>
        <w:rPr>
          <w:rFonts w:hint="eastAsia" w:ascii="宋体" w:hAnsi="宋体" w:eastAsia="宋体" w:cs="宋体"/>
          <w:color w:val="444444"/>
          <w:kern w:val="0"/>
          <w:sz w:val="28"/>
          <w:szCs w:val="28"/>
          <w:shd w:val="clear" w:fill="FFFFFF"/>
          <w:lang w:val="en-US" w:eastAsia="zh-CN"/>
        </w:rPr>
        <w:t>3.21</w:t>
      </w:r>
      <w:r>
        <w:rPr>
          <w:rFonts w:hint="eastAsia" w:ascii="宋体" w:hAnsi="宋体" w:eastAsia="宋体" w:cs="宋体"/>
          <w:color w:val="444444"/>
          <w:kern w:val="0"/>
          <w:sz w:val="28"/>
          <w:szCs w:val="28"/>
          <w:shd w:val="clear" w:fill="FFFFFF"/>
        </w:rPr>
        <w:t>%。其中：工资福利支出</w:t>
      </w:r>
      <w:r>
        <w:rPr>
          <w:rFonts w:hint="eastAsia" w:ascii="宋体" w:hAnsi="宋体" w:eastAsia="宋体" w:cs="宋体"/>
          <w:color w:val="444444"/>
          <w:kern w:val="0"/>
          <w:sz w:val="28"/>
          <w:szCs w:val="28"/>
          <w:shd w:val="clear" w:fill="FFFFFF"/>
          <w:lang w:val="en-US" w:eastAsia="zh-CN"/>
        </w:rPr>
        <w:t>30.18</w:t>
      </w:r>
      <w:r>
        <w:rPr>
          <w:rFonts w:hint="eastAsia" w:ascii="宋体" w:hAnsi="宋体" w:eastAsia="宋体" w:cs="宋体"/>
          <w:color w:val="444444"/>
          <w:kern w:val="0"/>
          <w:sz w:val="28"/>
          <w:szCs w:val="28"/>
          <w:shd w:val="clear" w:fill="FFFFFF"/>
        </w:rPr>
        <w:t>万元，商品和服务支出</w:t>
      </w:r>
      <w:r>
        <w:rPr>
          <w:rFonts w:hint="eastAsia" w:ascii="宋体" w:hAnsi="宋体" w:eastAsia="宋体" w:cs="宋体"/>
          <w:color w:val="444444"/>
          <w:kern w:val="0"/>
          <w:sz w:val="28"/>
          <w:szCs w:val="28"/>
          <w:shd w:val="clear" w:fill="FFFFFF"/>
          <w:lang w:val="en-US" w:eastAsia="zh-CN"/>
        </w:rPr>
        <w:t>10.06</w:t>
      </w:r>
      <w:r>
        <w:rPr>
          <w:rFonts w:hint="eastAsia" w:ascii="宋体" w:hAnsi="宋体" w:eastAsia="宋体" w:cs="宋体"/>
          <w:color w:val="444444"/>
          <w:kern w:val="0"/>
          <w:sz w:val="28"/>
          <w:szCs w:val="28"/>
          <w:shd w:val="clear" w:fill="FFFFFF"/>
        </w:rPr>
        <w:t>万元，对个人和家庭的补助</w:t>
      </w:r>
      <w:r>
        <w:rPr>
          <w:rFonts w:hint="eastAsia" w:ascii="宋体" w:hAnsi="宋体" w:eastAsia="宋体" w:cs="宋体"/>
          <w:color w:val="444444"/>
          <w:kern w:val="0"/>
          <w:sz w:val="28"/>
          <w:szCs w:val="28"/>
          <w:shd w:val="clear" w:fill="FFFFFF"/>
          <w:lang w:val="en-US" w:eastAsia="zh-CN"/>
        </w:rPr>
        <w:t>1.06</w:t>
      </w:r>
      <w:r>
        <w:rPr>
          <w:rFonts w:hint="eastAsia" w:ascii="宋体" w:hAnsi="宋体" w:eastAsia="宋体" w:cs="宋体"/>
          <w:color w:val="444444"/>
          <w:kern w:val="0"/>
          <w:sz w:val="28"/>
          <w:szCs w:val="28"/>
          <w:shd w:val="clear" w:fill="FFFFFF"/>
        </w:rPr>
        <w:t>万元，资本性支出</w:t>
      </w:r>
      <w:r>
        <w:rPr>
          <w:rFonts w:hint="eastAsia" w:ascii="宋体" w:hAnsi="宋体" w:eastAsia="宋体" w:cs="宋体"/>
          <w:color w:val="444444"/>
          <w:kern w:val="0"/>
          <w:sz w:val="28"/>
          <w:szCs w:val="28"/>
          <w:shd w:val="clear" w:fill="FFFFFF"/>
          <w:lang w:val="en-US" w:eastAsia="zh-CN"/>
        </w:rPr>
        <w:t>0.55</w:t>
      </w:r>
      <w:r>
        <w:rPr>
          <w:rFonts w:hint="eastAsia" w:ascii="宋体" w:hAnsi="宋体" w:eastAsia="宋体" w:cs="宋体"/>
          <w:color w:val="444444"/>
          <w:kern w:val="0"/>
          <w:sz w:val="28"/>
          <w:szCs w:val="28"/>
          <w:shd w:val="clear" w:fill="FFFFFF"/>
        </w:rPr>
        <w:t>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2021年“三公”经费实际开支总额</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万元。其中：因公出国（境）费支出本年未发生。公务用车购置及运行维护费实际开支</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万元（公务用车购置费未发生，公务用车运行维护费</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万元），公务用车保有量</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辆；公务接待费实际开支</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万元，公务接待</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批次</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人次。2021年“三公”经费实际开支总额比2020年同口径</w:t>
      </w:r>
      <w:r>
        <w:rPr>
          <w:rFonts w:hint="eastAsia" w:ascii="宋体" w:hAnsi="宋体" w:eastAsia="宋体" w:cs="宋体"/>
          <w:color w:val="444444"/>
          <w:kern w:val="0"/>
          <w:sz w:val="28"/>
          <w:szCs w:val="28"/>
          <w:shd w:val="clear" w:fill="FFFFFF"/>
          <w:lang w:eastAsia="zh-CN"/>
        </w:rPr>
        <w:t>增加</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（二）专项支出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2021年我</w:t>
      </w:r>
      <w:r>
        <w:rPr>
          <w:rFonts w:hint="eastAsia" w:ascii="宋体" w:hAnsi="宋体" w:eastAsia="宋体" w:cs="宋体"/>
          <w:color w:val="444444"/>
          <w:kern w:val="0"/>
          <w:sz w:val="28"/>
          <w:szCs w:val="28"/>
          <w:shd w:val="clear" w:fill="FFFFFF"/>
          <w:lang w:eastAsia="zh-CN"/>
        </w:rPr>
        <w:t>单位无</w:t>
      </w:r>
      <w:r>
        <w:rPr>
          <w:rFonts w:hint="eastAsia" w:ascii="宋体" w:hAnsi="宋体" w:eastAsia="宋体" w:cs="宋体"/>
          <w:color w:val="444444"/>
          <w:kern w:val="0"/>
          <w:sz w:val="28"/>
          <w:szCs w:val="28"/>
          <w:shd w:val="clear" w:fill="FFFFFF"/>
        </w:rPr>
        <w:t>专项项目经费</w:t>
      </w:r>
      <w:r>
        <w:rPr>
          <w:rFonts w:hint="eastAsia" w:ascii="宋体" w:hAnsi="宋体" w:eastAsia="宋体" w:cs="宋体"/>
          <w:color w:val="444444"/>
          <w:kern w:val="0"/>
          <w:sz w:val="28"/>
          <w:szCs w:val="28"/>
          <w:shd w:val="clear" w:fill="FFFFFF"/>
          <w:lang w:eastAsia="zh-CN"/>
        </w:rPr>
        <w:t>支出</w:t>
      </w:r>
      <w:r>
        <w:rPr>
          <w:rFonts w:hint="eastAsia" w:ascii="宋体" w:hAnsi="宋体" w:eastAsia="宋体" w:cs="宋体"/>
          <w:color w:val="444444"/>
          <w:kern w:val="0"/>
          <w:sz w:val="28"/>
          <w:szCs w:val="28"/>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三、资产管理情况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eastAsia="宋体"/>
          <w:lang w:val="en-US" w:eastAsia="zh-CN"/>
        </w:rPr>
      </w:pPr>
      <w:r>
        <w:rPr>
          <w:rFonts w:hint="default" w:ascii="仿宋" w:hAnsi="仿宋" w:eastAsia="仿宋" w:cs="仿宋"/>
          <w:sz w:val="32"/>
          <w:szCs w:val="32"/>
          <w:lang w:val="en-US" w:eastAsia="zh-CN"/>
        </w:rPr>
        <w:t>我</w:t>
      </w:r>
      <w:r>
        <w:rPr>
          <w:rFonts w:hint="eastAsia" w:ascii="仿宋" w:hAnsi="仿宋" w:eastAsia="仿宋" w:cs="仿宋"/>
          <w:sz w:val="32"/>
          <w:szCs w:val="32"/>
          <w:lang w:val="en-US" w:eastAsia="zh-CN"/>
        </w:rPr>
        <w:t>单位</w:t>
      </w:r>
      <w:r>
        <w:rPr>
          <w:rFonts w:hint="default" w:ascii="仿宋" w:hAnsi="仿宋" w:eastAsia="仿宋" w:cs="仿宋"/>
          <w:sz w:val="32"/>
          <w:szCs w:val="32"/>
          <w:lang w:val="en-US" w:eastAsia="zh-CN"/>
        </w:rPr>
        <w:t>资产管理由办公室负责，资产采购按程序实行报批采购，</w:t>
      </w:r>
      <w:r>
        <w:rPr>
          <w:rFonts w:hint="eastAsia" w:ascii="仿宋" w:hAnsi="仿宋" w:eastAsia="仿宋" w:cs="仿宋"/>
          <w:sz w:val="32"/>
          <w:szCs w:val="32"/>
          <w:lang w:val="en-US" w:eastAsia="zh-CN"/>
        </w:rPr>
        <w:t>统一在政采云平台下单，</w:t>
      </w:r>
      <w:r>
        <w:rPr>
          <w:rFonts w:hint="default" w:ascii="仿宋" w:hAnsi="仿宋" w:eastAsia="仿宋" w:cs="仿宋"/>
          <w:sz w:val="32"/>
          <w:szCs w:val="32"/>
          <w:lang w:val="en-US" w:eastAsia="zh-CN"/>
        </w:rPr>
        <w:t>采购后登记</w:t>
      </w:r>
      <w:r>
        <w:rPr>
          <w:rFonts w:hint="eastAsia" w:ascii="仿宋" w:hAnsi="仿宋" w:eastAsia="仿宋" w:cs="仿宋"/>
          <w:sz w:val="32"/>
          <w:szCs w:val="32"/>
          <w:lang w:val="en-US" w:eastAsia="zh-CN"/>
        </w:rPr>
        <w:t>入账，录入资产信息系统</w:t>
      </w:r>
      <w:r>
        <w:rPr>
          <w:rFonts w:hint="default" w:ascii="仿宋" w:hAnsi="仿宋" w:eastAsia="仿宋" w:cs="仿宋"/>
          <w:sz w:val="32"/>
          <w:szCs w:val="32"/>
          <w:lang w:val="en-US" w:eastAsia="zh-CN"/>
        </w:rPr>
        <w:t>，再派发到相关科室。</w:t>
      </w:r>
      <w:r>
        <w:rPr>
          <w:rFonts w:hint="eastAsia" w:ascii="仿宋" w:hAnsi="仿宋" w:eastAsia="仿宋" w:cs="仿宋"/>
          <w:sz w:val="32"/>
          <w:szCs w:val="32"/>
          <w:lang w:val="en-US" w:eastAsia="zh-CN"/>
        </w:rPr>
        <w:t>一是我单位资产管理和使用坚持统一政策、统一领导、分级管理、责任到人、物尽其用的原则。</w:t>
      </w:r>
      <w:r>
        <w:rPr>
          <w:rFonts w:hint="default" w:ascii="仿宋" w:hAnsi="仿宋" w:eastAsia="仿宋" w:cs="仿宋"/>
          <w:sz w:val="32"/>
          <w:szCs w:val="32"/>
          <w:lang w:val="en-US" w:eastAsia="zh-CN"/>
        </w:rPr>
        <w:t>二是运用</w:t>
      </w:r>
      <w:r>
        <w:rPr>
          <w:rFonts w:hint="eastAsia" w:ascii="仿宋" w:hAnsi="仿宋" w:eastAsia="仿宋" w:cs="仿宋"/>
          <w:sz w:val="32"/>
          <w:szCs w:val="32"/>
          <w:lang w:val="en-US" w:eastAsia="zh-CN"/>
        </w:rPr>
        <w:t>资产</w:t>
      </w:r>
      <w:r>
        <w:rPr>
          <w:rFonts w:hint="default" w:ascii="仿宋" w:hAnsi="仿宋" w:eastAsia="仿宋" w:cs="仿宋"/>
          <w:sz w:val="32"/>
          <w:szCs w:val="32"/>
          <w:lang w:val="en-US" w:eastAsia="zh-CN"/>
        </w:rPr>
        <w:t>信息管理系统加强资产管理。</w:t>
      </w:r>
      <w:r>
        <w:rPr>
          <w:rFonts w:hint="eastAsia" w:ascii="仿宋" w:hAnsi="仿宋" w:eastAsia="仿宋" w:cs="仿宋"/>
          <w:sz w:val="32"/>
          <w:szCs w:val="32"/>
          <w:lang w:val="en-US" w:eastAsia="zh-CN"/>
        </w:rPr>
        <w:t>对</w:t>
      </w:r>
      <w:r>
        <w:rPr>
          <w:rFonts w:hint="default" w:ascii="仿宋" w:hAnsi="仿宋" w:eastAsia="仿宋" w:cs="仿宋"/>
          <w:sz w:val="32"/>
          <w:szCs w:val="32"/>
          <w:lang w:val="en-US" w:eastAsia="zh-CN"/>
        </w:rPr>
        <w:t>固定资产分别按使用部门、存放地点和</w:t>
      </w:r>
      <w:r>
        <w:rPr>
          <w:rFonts w:hint="eastAsia" w:ascii="仿宋" w:hAnsi="仿宋" w:eastAsia="仿宋" w:cs="仿宋"/>
          <w:sz w:val="32"/>
          <w:szCs w:val="32"/>
          <w:lang w:val="en-US" w:eastAsia="zh-CN"/>
        </w:rPr>
        <w:t>使用</w:t>
      </w:r>
      <w:r>
        <w:rPr>
          <w:rFonts w:hint="default" w:ascii="仿宋" w:hAnsi="仿宋" w:eastAsia="仿宋" w:cs="仿宋"/>
          <w:sz w:val="32"/>
          <w:szCs w:val="32"/>
          <w:lang w:val="en-US" w:eastAsia="zh-CN"/>
        </w:rPr>
        <w:t>人顺序编排编码排序，统一录入“一物一条码”信息管理系统，分部门打印出条形码，发放到各部门按要求统一粘贴到固定资产上，并指定专人负责管理。三是每年组织一次固定资产资产清查工作，使固定资产检查</w:t>
      </w:r>
      <w:r>
        <w:rPr>
          <w:rFonts w:hint="eastAsia" w:ascii="仿宋" w:hAnsi="仿宋" w:eastAsia="仿宋" w:cs="仿宋"/>
          <w:sz w:val="32"/>
          <w:szCs w:val="32"/>
          <w:lang w:val="en-US" w:eastAsia="zh-CN"/>
        </w:rPr>
        <w:t>常态</w:t>
      </w:r>
      <w:r>
        <w:rPr>
          <w:rFonts w:hint="default" w:ascii="仿宋" w:hAnsi="仿宋" w:eastAsia="仿宋" w:cs="仿宋"/>
          <w:sz w:val="32"/>
          <w:szCs w:val="32"/>
          <w:lang w:val="en-US" w:eastAsia="zh-CN"/>
        </w:rPr>
        <w:t>化，确保账、卡、实相符。四是根据《湖南省财政厅关于做好行政事业性国有资产月报试编工作的通知》文件要求，每月及时通过财政部统一报表系统上报资产月报电子数据</w:t>
      </w:r>
      <w:r>
        <w:rPr>
          <w:rFonts w:hint="eastAsia" w:ascii="仿宋" w:hAnsi="仿宋" w:eastAsia="仿宋" w:cs="仿宋"/>
          <w:sz w:val="32"/>
          <w:szCs w:val="32"/>
          <w:lang w:val="en-US" w:eastAsia="zh-CN"/>
        </w:rPr>
        <w:t>，每年编制一次固定资产年报。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截至2021年12月31日，邵阳市</w:t>
      </w:r>
      <w:r>
        <w:rPr>
          <w:rFonts w:hint="eastAsia" w:ascii="宋体" w:hAnsi="宋体" w:eastAsia="宋体" w:cs="宋体"/>
          <w:color w:val="444444"/>
          <w:kern w:val="0"/>
          <w:sz w:val="28"/>
          <w:szCs w:val="28"/>
          <w:shd w:val="clear" w:fill="FFFFFF"/>
          <w:lang w:eastAsia="zh-CN"/>
        </w:rPr>
        <w:t>共青团北塔区委</w:t>
      </w:r>
      <w:r>
        <w:rPr>
          <w:rFonts w:hint="eastAsia" w:ascii="宋体" w:hAnsi="宋体" w:eastAsia="宋体" w:cs="宋体"/>
          <w:color w:val="444444"/>
          <w:kern w:val="0"/>
          <w:sz w:val="28"/>
          <w:szCs w:val="28"/>
          <w:shd w:val="clear" w:fill="FFFFFF"/>
        </w:rPr>
        <w:t>资产总额为</w:t>
      </w:r>
      <w:r>
        <w:rPr>
          <w:rFonts w:hint="eastAsia" w:ascii="宋体" w:hAnsi="宋体" w:eastAsia="宋体" w:cs="宋体"/>
          <w:color w:val="444444"/>
          <w:kern w:val="0"/>
          <w:sz w:val="28"/>
          <w:szCs w:val="28"/>
          <w:shd w:val="clear" w:fill="FFFFFF"/>
          <w:lang w:val="en-US" w:eastAsia="zh-CN"/>
        </w:rPr>
        <w:t>2.97</w:t>
      </w:r>
      <w:r>
        <w:rPr>
          <w:rFonts w:hint="eastAsia" w:ascii="宋体" w:hAnsi="宋体" w:eastAsia="宋体" w:cs="宋体"/>
          <w:color w:val="444444"/>
          <w:kern w:val="0"/>
          <w:sz w:val="28"/>
          <w:szCs w:val="28"/>
          <w:shd w:val="clear" w:fill="FFFFFF"/>
        </w:rPr>
        <w:t>万元，主要由以下部分构成：流动资产</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万元,占资产总额的</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%,主要为银行存款及其他应收款等;固定资产</w:t>
      </w:r>
      <w:r>
        <w:rPr>
          <w:rFonts w:hint="eastAsia" w:ascii="宋体" w:hAnsi="宋体" w:eastAsia="宋体" w:cs="宋体"/>
          <w:color w:val="444444"/>
          <w:kern w:val="0"/>
          <w:sz w:val="28"/>
          <w:szCs w:val="28"/>
          <w:shd w:val="clear" w:fill="FFFFFF"/>
          <w:lang w:val="en-US" w:eastAsia="zh-CN"/>
        </w:rPr>
        <w:t>2.97</w:t>
      </w:r>
      <w:r>
        <w:rPr>
          <w:rFonts w:hint="eastAsia" w:ascii="宋体" w:hAnsi="宋体" w:eastAsia="宋体" w:cs="宋体"/>
          <w:color w:val="444444"/>
          <w:kern w:val="0"/>
          <w:sz w:val="28"/>
          <w:szCs w:val="28"/>
          <w:shd w:val="clear" w:fill="FFFFFF"/>
        </w:rPr>
        <w:t>万元,占资产总额的</w:t>
      </w:r>
      <w:r>
        <w:rPr>
          <w:rFonts w:hint="eastAsia" w:ascii="宋体" w:hAnsi="宋体" w:eastAsia="宋体" w:cs="宋体"/>
          <w:color w:val="444444"/>
          <w:kern w:val="0"/>
          <w:sz w:val="28"/>
          <w:szCs w:val="28"/>
          <w:shd w:val="clear" w:fill="FFFFFF"/>
          <w:lang w:val="en-US" w:eastAsia="zh-CN"/>
        </w:rPr>
        <w:t>100</w:t>
      </w:r>
      <w:r>
        <w:rPr>
          <w:rFonts w:hint="eastAsia" w:ascii="宋体" w:hAnsi="宋体" w:eastAsia="宋体" w:cs="宋体"/>
          <w:color w:val="444444"/>
          <w:kern w:val="0"/>
          <w:sz w:val="28"/>
          <w:szCs w:val="28"/>
          <w:shd w:val="clear" w:fill="FFFFFF"/>
        </w:rPr>
        <w:t>%，主要包括房屋、公务用车、办公设备等。</w:t>
      </w:r>
      <w:r>
        <w:rPr>
          <w:rFonts w:hint="eastAsia" w:ascii="微软雅黑" w:hAnsi="微软雅黑" w:eastAsia="微软雅黑" w:cs="微软雅黑"/>
          <w:color w:val="444444"/>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四、部门整体支出绩效情况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default" w:eastAsia="宋体"/>
          <w:lang w:val="en-US" w:eastAsia="zh-CN"/>
        </w:rPr>
      </w:pPr>
      <w:r>
        <w:rPr>
          <w:rFonts w:hint="eastAsia" w:ascii="宋体" w:hAnsi="宋体" w:eastAsia="宋体" w:cs="宋体"/>
          <w:color w:val="444444"/>
          <w:kern w:val="0"/>
          <w:sz w:val="28"/>
          <w:szCs w:val="28"/>
          <w:shd w:val="clear" w:fill="FFFFFF"/>
        </w:rPr>
        <w:t>2021年，我</w:t>
      </w:r>
      <w:r>
        <w:rPr>
          <w:rFonts w:hint="eastAsia" w:ascii="宋体" w:hAnsi="宋体" w:eastAsia="宋体" w:cs="宋体"/>
          <w:color w:val="444444"/>
          <w:kern w:val="0"/>
          <w:sz w:val="28"/>
          <w:szCs w:val="28"/>
          <w:shd w:val="clear" w:fill="FFFFFF"/>
          <w:lang w:eastAsia="zh-CN"/>
        </w:rPr>
        <w:t>单位</w:t>
      </w:r>
      <w:r>
        <w:rPr>
          <w:rFonts w:hint="eastAsia" w:ascii="宋体" w:hAnsi="宋体" w:eastAsia="宋体" w:cs="宋体"/>
          <w:color w:val="444444"/>
          <w:kern w:val="0"/>
          <w:sz w:val="28"/>
          <w:szCs w:val="28"/>
          <w:shd w:val="clear" w:fill="FFFFFF"/>
        </w:rPr>
        <w:t>充分履行职责职能，严格执行各项管理制度，经济、社会等效益显著、社会公众满意度上升，较好地完成了全年工作目标。</w:t>
      </w:r>
    </w:p>
    <w:p>
      <w:pPr>
        <w:pStyle w:val="4"/>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default"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抓实党建引领。始终坚持把党的政治建设摆在首位，做好基层党建工作。按时按质按要求完成了2021年度专题组织生活会、专题民主生活会及民主评议党员，履行全面从严治党主体</w:t>
      </w:r>
      <w:bookmarkStart w:id="1" w:name="_GoBack"/>
      <w:bookmarkEnd w:id="1"/>
      <w:r>
        <w:rPr>
          <w:rFonts w:hint="eastAsia" w:ascii="宋体" w:hAnsi="宋体" w:eastAsia="宋体" w:cs="宋体"/>
          <w:color w:val="444444"/>
          <w:kern w:val="0"/>
          <w:sz w:val="28"/>
          <w:szCs w:val="28"/>
          <w:shd w:val="clear" w:fill="FFFFFF"/>
          <w:lang w:val="en-US" w:eastAsia="zh-CN"/>
        </w:rPr>
        <w:t>责任，狠抓意识形态工作，规范管理学习强国平台，做好统战和国防教育工作。</w:t>
      </w:r>
    </w:p>
    <w:p>
      <w:pPr>
        <w:pStyle w:val="4"/>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default" w:ascii="宋体" w:hAnsi="宋体" w:eastAsia="宋体" w:cs="宋体"/>
          <w:color w:val="444444"/>
          <w:kern w:val="0"/>
          <w:sz w:val="28"/>
          <w:szCs w:val="28"/>
          <w:shd w:val="clear" w:fill="FFFFFF"/>
          <w:lang w:val="en-US" w:eastAsia="zh-CN"/>
        </w:rPr>
      </w:pPr>
      <w:r>
        <w:rPr>
          <w:rFonts w:hint="default" w:ascii="宋体" w:hAnsi="宋体" w:eastAsia="宋体" w:cs="宋体"/>
          <w:color w:val="444444"/>
          <w:kern w:val="0"/>
          <w:sz w:val="28"/>
          <w:szCs w:val="28"/>
          <w:shd w:val="clear" w:fill="FFFFFF"/>
          <w:lang w:val="en-US" w:eastAsia="zh-CN"/>
        </w:rPr>
        <w:t>抓实风险防控。抓实风险防控。落实重大风险点防范化解工作，一是通过组织各类宣传教育，在预防青少年违法犯罪方面下功夫，开展进校园、村（社区）志愿服务；二是在传统节日及敏感时期注重安全教育、寒冬送温暖等各类活动助推地方平稳发展</w:t>
      </w:r>
      <w:r>
        <w:rPr>
          <w:rFonts w:hint="eastAsia" w:ascii="宋体" w:hAnsi="宋体" w:eastAsia="宋体" w:cs="宋体"/>
          <w:color w:val="444444"/>
          <w:kern w:val="0"/>
          <w:sz w:val="28"/>
          <w:szCs w:val="28"/>
          <w:shd w:val="clear" w:fill="FFFFFF"/>
          <w:lang w:val="en-US" w:eastAsia="zh-CN"/>
        </w:rPr>
        <w:t>。</w:t>
      </w:r>
    </w:p>
    <w:p>
      <w:pPr>
        <w:pStyle w:val="4"/>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default" w:ascii="宋体" w:hAnsi="宋体" w:eastAsia="宋体" w:cs="宋体"/>
          <w:color w:val="444444"/>
          <w:kern w:val="0"/>
          <w:sz w:val="28"/>
          <w:szCs w:val="28"/>
          <w:shd w:val="clear" w:fill="FFFFFF"/>
          <w:lang w:val="en-US" w:eastAsia="zh-CN"/>
        </w:rPr>
      </w:pPr>
      <w:r>
        <w:rPr>
          <w:rFonts w:hint="default" w:ascii="宋体" w:hAnsi="宋体" w:eastAsia="宋体" w:cs="宋体"/>
          <w:color w:val="444444"/>
          <w:kern w:val="0"/>
          <w:sz w:val="28"/>
          <w:szCs w:val="28"/>
          <w:shd w:val="clear" w:fill="FFFFFF"/>
          <w:lang w:val="en-US" w:eastAsia="zh-CN"/>
        </w:rPr>
        <w:t>助力脱贫攻坚</w:t>
      </w:r>
      <w:r>
        <w:rPr>
          <w:rFonts w:hint="eastAsia" w:ascii="宋体" w:hAnsi="宋体" w:eastAsia="宋体" w:cs="宋体"/>
          <w:color w:val="444444"/>
          <w:kern w:val="0"/>
          <w:sz w:val="28"/>
          <w:szCs w:val="28"/>
          <w:shd w:val="clear" w:fill="FFFFFF"/>
          <w:lang w:val="en-US" w:eastAsia="zh-CN"/>
        </w:rPr>
        <w:t>及乡村振兴有效衔接</w:t>
      </w:r>
      <w:r>
        <w:rPr>
          <w:rFonts w:hint="default" w:ascii="宋体" w:hAnsi="宋体" w:eastAsia="宋体" w:cs="宋体"/>
          <w:color w:val="444444"/>
          <w:kern w:val="0"/>
          <w:sz w:val="28"/>
          <w:szCs w:val="28"/>
          <w:shd w:val="clear" w:fill="FFFFFF"/>
          <w:lang w:val="en-US" w:eastAsia="zh-CN"/>
        </w:rPr>
        <w:t>。认真开展好脱贫攻坚</w:t>
      </w:r>
      <w:r>
        <w:rPr>
          <w:rFonts w:hint="eastAsia" w:ascii="宋体" w:hAnsi="宋体" w:eastAsia="宋体" w:cs="宋体"/>
          <w:color w:val="444444"/>
          <w:kern w:val="0"/>
          <w:sz w:val="28"/>
          <w:szCs w:val="28"/>
          <w:shd w:val="clear" w:fill="FFFFFF"/>
          <w:lang w:val="en-US" w:eastAsia="zh-CN"/>
        </w:rPr>
        <w:t>及乡村振兴有效衔接</w:t>
      </w:r>
      <w:r>
        <w:rPr>
          <w:rFonts w:hint="default" w:ascii="宋体" w:hAnsi="宋体" w:eastAsia="宋体" w:cs="宋体"/>
          <w:color w:val="444444"/>
          <w:kern w:val="0"/>
          <w:sz w:val="28"/>
          <w:szCs w:val="28"/>
          <w:shd w:val="clear" w:fill="FFFFFF"/>
          <w:lang w:val="en-US" w:eastAsia="zh-CN"/>
        </w:rPr>
        <w:t>问题整改，整改成效扎实；扎实落实了各项政策，政策落实无遗漏、无偏差；严格控制小额贷款、光伏扶贫、信访舆情、产业失败、危房改造、返贫漏评等六类风险零发生。</w:t>
      </w:r>
    </w:p>
    <w:p>
      <w:pPr>
        <w:pStyle w:val="4"/>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default" w:ascii="宋体" w:hAnsi="宋体" w:eastAsia="宋体" w:cs="宋体"/>
          <w:color w:val="444444"/>
          <w:kern w:val="0"/>
          <w:sz w:val="28"/>
          <w:szCs w:val="28"/>
          <w:shd w:val="clear" w:fill="FFFFFF"/>
          <w:lang w:val="en-US" w:eastAsia="zh-CN"/>
        </w:rPr>
      </w:pPr>
      <w:r>
        <w:rPr>
          <w:rFonts w:hint="default" w:ascii="宋体" w:hAnsi="宋体" w:eastAsia="宋体" w:cs="宋体"/>
          <w:color w:val="444444"/>
          <w:kern w:val="0"/>
          <w:sz w:val="28"/>
          <w:szCs w:val="28"/>
          <w:shd w:val="clear" w:fill="FFFFFF"/>
          <w:lang w:val="en-US" w:eastAsia="zh-CN"/>
        </w:rPr>
        <w:t>抓实环境优化。好结对帮亲和社会综合治理工作，积极开展</w:t>
      </w:r>
      <w:r>
        <w:rPr>
          <w:rFonts w:hint="eastAsia" w:ascii="宋体" w:hAnsi="宋体" w:eastAsia="宋体" w:cs="宋体"/>
          <w:color w:val="444444"/>
          <w:kern w:val="0"/>
          <w:sz w:val="28"/>
          <w:szCs w:val="28"/>
          <w:shd w:val="clear" w:fill="FFFFFF"/>
          <w:lang w:val="en-US" w:eastAsia="zh-CN"/>
        </w:rPr>
        <w:t>创文明城市，禁毒宣传</w:t>
      </w:r>
      <w:r>
        <w:rPr>
          <w:rFonts w:hint="default" w:ascii="宋体" w:hAnsi="宋体" w:eastAsia="宋体" w:cs="宋体"/>
          <w:color w:val="444444"/>
          <w:kern w:val="0"/>
          <w:sz w:val="28"/>
          <w:szCs w:val="28"/>
          <w:shd w:val="clear" w:fill="FFFFFF"/>
          <w:lang w:val="en-US" w:eastAsia="zh-CN"/>
        </w:rPr>
        <w:t>及联创走访等工作，发放各类宣传资料上万份，实现联创收集意见答复满意度100%。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五、综合评价情况及评价结论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2021年我</w:t>
      </w:r>
      <w:r>
        <w:rPr>
          <w:rFonts w:hint="eastAsia" w:ascii="宋体" w:hAnsi="宋体" w:eastAsia="宋体" w:cs="宋体"/>
          <w:color w:val="444444"/>
          <w:kern w:val="0"/>
          <w:sz w:val="28"/>
          <w:szCs w:val="28"/>
          <w:shd w:val="clear" w:fill="FFFFFF"/>
          <w:lang w:eastAsia="zh-CN"/>
        </w:rPr>
        <w:t>单位</w:t>
      </w:r>
      <w:r>
        <w:rPr>
          <w:rFonts w:hint="eastAsia" w:ascii="宋体" w:hAnsi="宋体" w:eastAsia="宋体" w:cs="宋体"/>
          <w:color w:val="444444"/>
          <w:kern w:val="0"/>
          <w:sz w:val="28"/>
          <w:szCs w:val="28"/>
          <w:shd w:val="clear" w:fill="FFFFFF"/>
        </w:rPr>
        <w:t>经费开支严格按预算执行，管理制度健全，会计基础规范，资金使用符合国家财经法规和财务管理制度规定。严格实行收支两条线，无截留、挤占、挪用、虚列支出、随意借用、大额现金支付等情况，重大财务事项经由集体研究决策。按要求执行政府采购，严控支出，开源节流，一般性支出和“三公经费”均按要求压减，预决算信息公开及时完善。资产管理安全，固定资产利用率、重点工作完成率等均达到或超过年初计划数，取得了较好的社会效益。根据邵阳市财政</w:t>
      </w:r>
      <w:r>
        <w:rPr>
          <w:rFonts w:hint="eastAsia" w:ascii="宋体" w:hAnsi="宋体" w:eastAsia="宋体" w:cs="宋体"/>
          <w:color w:val="444444"/>
          <w:kern w:val="0"/>
          <w:sz w:val="28"/>
          <w:szCs w:val="28"/>
          <w:shd w:val="clear" w:fill="FFFFFF"/>
          <w:lang w:eastAsia="zh-CN"/>
        </w:rPr>
        <w:t>单位</w:t>
      </w:r>
      <w:r>
        <w:rPr>
          <w:rFonts w:hint="eastAsia" w:ascii="宋体" w:hAnsi="宋体" w:eastAsia="宋体" w:cs="宋体"/>
          <w:color w:val="444444"/>
          <w:kern w:val="0"/>
          <w:sz w:val="28"/>
          <w:szCs w:val="28"/>
          <w:shd w:val="clear" w:fill="FFFFFF"/>
        </w:rPr>
        <w:t>《部门整体支出绩效评价指标评分表》评分体系，我</w:t>
      </w:r>
      <w:r>
        <w:rPr>
          <w:rFonts w:hint="eastAsia" w:ascii="宋体" w:hAnsi="宋体" w:eastAsia="宋体" w:cs="宋体"/>
          <w:color w:val="444444"/>
          <w:kern w:val="0"/>
          <w:sz w:val="28"/>
          <w:szCs w:val="28"/>
          <w:shd w:val="clear" w:fill="FFFFFF"/>
          <w:lang w:eastAsia="zh-CN"/>
        </w:rPr>
        <w:t>单位</w:t>
      </w:r>
      <w:r>
        <w:rPr>
          <w:rFonts w:hint="eastAsia" w:ascii="宋体" w:hAnsi="宋体" w:eastAsia="宋体" w:cs="宋体"/>
          <w:color w:val="444444"/>
          <w:kern w:val="0"/>
          <w:sz w:val="28"/>
          <w:szCs w:val="28"/>
          <w:shd w:val="clear" w:fill="FFFFFF"/>
        </w:rPr>
        <w:t>整体支出绩效自评</w:t>
      </w:r>
      <w:r>
        <w:rPr>
          <w:rFonts w:hint="eastAsia" w:ascii="宋体" w:hAnsi="宋体" w:eastAsia="宋体" w:cs="宋体"/>
          <w:color w:val="444444"/>
          <w:kern w:val="0"/>
          <w:sz w:val="28"/>
          <w:szCs w:val="28"/>
          <w:shd w:val="clear" w:fill="FFFFFF"/>
          <w:lang w:val="en-US" w:eastAsia="zh-CN"/>
        </w:rPr>
        <w:t>82</w:t>
      </w:r>
      <w:r>
        <w:rPr>
          <w:rFonts w:hint="eastAsia" w:ascii="宋体" w:hAnsi="宋体" w:eastAsia="宋体" w:cs="宋体"/>
          <w:color w:val="444444"/>
          <w:kern w:val="0"/>
          <w:sz w:val="28"/>
          <w:szCs w:val="28"/>
          <w:shd w:val="clear" w:fill="FFFFFF"/>
        </w:rPr>
        <w:t>分，自评</w:t>
      </w:r>
      <w:r>
        <w:rPr>
          <w:rFonts w:hint="eastAsia" w:ascii="宋体" w:hAnsi="宋体" w:eastAsia="宋体" w:cs="宋体"/>
          <w:color w:val="444444"/>
          <w:kern w:val="0"/>
          <w:sz w:val="28"/>
          <w:szCs w:val="28"/>
          <w:shd w:val="clear" w:fill="FFFFFF"/>
          <w:lang w:eastAsia="zh-CN"/>
        </w:rPr>
        <w:t>结果为</w:t>
      </w:r>
      <w:r>
        <w:rPr>
          <w:rFonts w:hint="eastAsia" w:ascii="宋体" w:hAnsi="宋体" w:eastAsia="宋体" w:cs="宋体"/>
          <w:color w:val="444444"/>
          <w:kern w:val="0"/>
          <w:sz w:val="28"/>
          <w:szCs w:val="28"/>
          <w:shd w:val="clear" w:fill="FFFFFF"/>
          <w:lang w:val="en-US" w:eastAsia="zh-CN"/>
        </w:rPr>
        <w:t>良好</w:t>
      </w:r>
      <w:r>
        <w:rPr>
          <w:rFonts w:hint="eastAsia" w:ascii="宋体" w:hAnsi="宋体" w:eastAsia="宋体" w:cs="宋体"/>
          <w:color w:val="444444"/>
          <w:kern w:val="0"/>
          <w:sz w:val="28"/>
          <w:szCs w:val="28"/>
          <w:shd w:val="clear" w:fill="FFFFFF"/>
        </w:rPr>
        <w:t>。</w:t>
      </w:r>
    </w:p>
    <w:p>
      <w:pPr>
        <w:pStyle w:val="4"/>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存在的问题及原因分析</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right="0" w:rightChars="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1、绩效评价工作机制有待进一步完善，由于在平时工作中未加强对绩效监控工作的重视，绩效监控工作容易滞后，未形成对绩效目标进行监控的习惯。</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right="0" w:rightChars="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2、团区委在编制部门年度预算时，虽然根据本单位职能职责和年度工作计划编制，但在202</w:t>
      </w:r>
      <w:r>
        <w:rPr>
          <w:rFonts w:hint="eastAsia" w:ascii="宋体" w:hAnsi="宋体" w:eastAsia="宋体" w:cs="宋体"/>
          <w:color w:val="444444"/>
          <w:kern w:val="0"/>
          <w:sz w:val="28"/>
          <w:szCs w:val="28"/>
          <w:shd w:val="clear" w:fill="FFFFFF"/>
          <w:lang w:val="en-US" w:eastAsia="zh-CN"/>
        </w:rPr>
        <w:t>1</w:t>
      </w:r>
      <w:r>
        <w:rPr>
          <w:rFonts w:hint="eastAsia" w:ascii="宋体" w:hAnsi="宋体" w:eastAsia="宋体" w:cs="宋体"/>
          <w:color w:val="444444"/>
          <w:kern w:val="0"/>
          <w:sz w:val="28"/>
          <w:szCs w:val="28"/>
          <w:shd w:val="clear" w:fill="FFFFFF"/>
        </w:rPr>
        <w:t>年部门预算执行过程中，仍然存在以下问题，年初预算编制不合理或部分经费计划比较紧张，往往需要在年度中间进行预算追加和调整。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七、下一步改进措施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（一）进一步加强项目资金管理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    项目实施提前做好方案，按时间节点落实好项目实施进度，争取项目早实施、早完成、早验收，确保项目资金年内支付到位。项目资金的使用要事前计划、事中控制、事后总结，合理使用，充分体现项目资金投向的目标和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    （二）进一步提高绩效管理水平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    加强预算执行的准确性，开展好支出绩效管理工作，运用好绩效评价结果，不断提升绩效管理水平。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(三)严格执行单位预算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按照新《预算法》及相关规定，结合上一年度单位预算执行情况和本年度预算收支变化因素，科学、合理地编制本年预算草案，严格按规定程序进行预算调剂。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(四)加强财务知识培训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聚焦提升财务人员业务技能、财经纪律意识等方面，加强新《预算法》《新政府会计制度》等学习培训，进一步提升业务人员能力。</w:t>
      </w:r>
    </w:p>
    <w:p>
      <w:pPr>
        <w:rPr>
          <w:rFonts w:hint="eastAsia" w:ascii="黑体" w:hAnsi="宋体" w:eastAsia="黑体" w:cs="宋体"/>
          <w:kern w:val="0"/>
          <w:sz w:val="32"/>
          <w:szCs w:val="32"/>
        </w:rPr>
      </w:pPr>
      <w:bookmarkStart w:id="0" w:name="RANGE!A1:H22"/>
      <w:r>
        <w:rPr>
          <w:rFonts w:hint="eastAsia" w:ascii="黑体" w:hAnsi="宋体" w:eastAsia="黑体" w:cs="宋体"/>
          <w:kern w:val="0"/>
          <w:sz w:val="32"/>
          <w:szCs w:val="32"/>
        </w:rPr>
        <w:br w:type="page"/>
      </w:r>
    </w:p>
    <w:p>
      <w:pPr>
        <w:spacing w:line="600" w:lineRule="exact"/>
        <w:rPr>
          <w:rFonts w:ascii="宋体" w:hAnsi="宋体" w:cs="宋体"/>
          <w:kern w:val="0"/>
          <w:sz w:val="32"/>
          <w:szCs w:val="32"/>
        </w:rPr>
      </w:pPr>
      <w:r>
        <w:rPr>
          <w:rFonts w:hint="eastAsia" w:ascii="黑体" w:hAnsi="宋体" w:eastAsia="黑体" w:cs="宋体"/>
          <w:kern w:val="0"/>
          <w:sz w:val="32"/>
          <w:szCs w:val="32"/>
        </w:rPr>
        <w:t>附件</w:t>
      </w:r>
      <w:bookmarkEnd w:id="0"/>
      <w:r>
        <w:rPr>
          <w:rFonts w:hint="eastAsia" w:ascii="黑体" w:hAnsi="宋体" w:eastAsia="黑体" w:cs="宋体"/>
          <w:kern w:val="0"/>
          <w:sz w:val="32"/>
          <w:szCs w:val="32"/>
        </w:rPr>
        <w:t>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hint="eastAsia"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noWrap w:val="0"/>
            <w:vAlign w:val="center"/>
          </w:tcPr>
          <w:p>
            <w:pPr>
              <w:widowControl/>
              <w:jc w:val="center"/>
              <w:rPr>
                <w:rFonts w:hint="eastAsia" w:ascii="宋体" w:hAnsi="宋体" w:eastAsia="宋体" w:cs="宋体"/>
                <w:b/>
                <w:bCs/>
                <w:kern w:val="0"/>
                <w:sz w:val="24"/>
                <w:szCs w:val="24"/>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“三公经费”变动率=[（本年度“三公经费”总额-上年度“三公经费”总额）/上年度“三公经费”总额]×100%。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重点支出安排率=（重点项目支出/项目总支出）×100%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年度非税实际收入完成数/</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年度非税收入预算数）×100%，有减免因素的，以非税</w:t>
            </w:r>
            <w:r>
              <w:rPr>
                <w:rFonts w:hint="eastAsia" w:ascii="仿宋_GB2312" w:hAnsi="宋体" w:eastAsia="仿宋_GB2312" w:cs="宋体"/>
                <w:kern w:val="0"/>
                <w:sz w:val="20"/>
                <w:szCs w:val="20"/>
                <w:lang w:eastAsia="zh-CN"/>
              </w:rPr>
              <w:t>单位</w:t>
            </w:r>
            <w:r>
              <w:rPr>
                <w:rFonts w:hint="eastAsia" w:ascii="仿宋_GB2312" w:hAnsi="宋体" w:eastAsia="仿宋_GB2312" w:cs="宋体"/>
                <w:kern w:val="0"/>
                <w:sz w:val="20"/>
                <w:szCs w:val="20"/>
              </w:rPr>
              <w:t>确定的为准。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完成率&lt;1，计2分，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完成率=1，计1分，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完成率&gt;1，不得分。</w:t>
            </w:r>
          </w:p>
          <w:p>
            <w:pPr>
              <w:widowControl/>
              <w:jc w:val="left"/>
              <w:rPr>
                <w:rFonts w:hint="eastAsia" w:ascii="仿宋_GB2312" w:hAnsi="宋体" w:eastAsia="仿宋_GB2312" w:cs="宋体"/>
                <w:kern w:val="0"/>
                <w:sz w:val="20"/>
                <w:szCs w:val="20"/>
                <w:highlight w:val="none"/>
              </w:rPr>
            </w:pP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noWrap w:val="0"/>
            <w:vAlign w:val="center"/>
          </w:tcPr>
          <w:p>
            <w:pPr>
              <w:widowControl/>
              <w:jc w:val="cente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结余超过10%（不含），2分；结余在0-10%（含）的，1分；本年超支不得分。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控制率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tcBorders>
              <w:top w:val="single" w:color="auto" w:sz="4" w:space="0"/>
            </w:tcBorders>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both"/>
              <w:rPr>
                <w:rFonts w:hint="eastAsia" w:ascii="仿宋_GB2312" w:hAnsi="宋体" w:eastAsia="仿宋_GB2312" w:cs="宋体"/>
                <w:kern w:val="0"/>
                <w:sz w:val="20"/>
                <w:szCs w:val="20"/>
              </w:rPr>
            </w:pPr>
          </w:p>
        </w:tc>
        <w:tc>
          <w:tcPr>
            <w:tcW w:w="3118" w:type="dxa"/>
            <w:tcBorders>
              <w:top w:val="single" w:color="auto" w:sz="4" w:space="0"/>
            </w:tcBorders>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①已制定资金管理办法、内部财务管理制度、会计核算制度等管理制度，1分；</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②建立健全单位内部控制制度，1分；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③会计人员、机构按规定设置，1分；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jc w:val="left"/>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资金  使用</w:t>
            </w:r>
          </w:p>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合规性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①支出符合国家财经法规和财务管理制度规定以及有关专项资金管理办法的规定；</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②资金（开支）拨付有完整的审批程序和手续；</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③支出符合部门预算批复的用途；</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④资金使用无截留、挤占、挪用、虚列支出、随意借用、大额现金支付等情况。</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jc w:val="left"/>
              <w:rPr>
                <w:rFonts w:hint="eastAsia" w:ascii="仿宋_GB2312" w:hAnsi="仿宋" w:eastAsia="仿宋_GB2312" w:cs="仿宋"/>
                <w:kern w:val="0"/>
                <w:sz w:val="20"/>
                <w:szCs w:val="20"/>
                <w:lang w:eastAsia="zh-CN"/>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p>
          <w:p>
            <w:pPr>
              <w:widowControl/>
              <w:jc w:val="left"/>
              <w:rPr>
                <w:rFonts w:ascii="仿宋_GB2312" w:hAnsi="宋体" w:eastAsia="仿宋_GB2312" w:cs="宋体"/>
                <w:kern w:val="0"/>
                <w:sz w:val="20"/>
                <w:szCs w:val="20"/>
              </w:rPr>
            </w:pP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851"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①已制定资产管理制度，1分；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②相关资产管理制度得到有效执行，1分。                                           </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0"/>
            <w:vAlign w:val="center"/>
          </w:tcPr>
          <w:p>
            <w:pPr>
              <w:widowControl/>
              <w:jc w:val="center"/>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资产  管理</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安全性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 xml:space="preserve">①资产保存完整；②资产配置合理；③资产处置规范； </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以上情况每出现一例不符合要求的扣2分；⑨未按时报送2018年行政事业单位资产报表的，每延迟一天，扣1分，扣完为止。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固定  资产</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利用率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年度部门整体支出绩效目标的，2分；③在规定时间内报送、公开以上目标的，2分，否则不得分。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开展2019年度专项资金绩效自评的，2分，每少一个专项资金的自评扣1分，扣完为止；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开展2019年度已完工项目绩效自评的，2分，每少一个项目扣1分，扣完为止；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开展2019年度部门整体支出绩效自评的，1分；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 w:hAnsi="仿宋" w:eastAsia="仿宋" w:cs="宋体"/>
                <w:sz w:val="20"/>
                <w:szCs w:val="20"/>
              </w:rPr>
            </w:pPr>
            <w:r>
              <w:rPr>
                <w:rFonts w:hint="eastAsia" w:ascii="仿宋_GB2312" w:hAnsi="宋体" w:eastAsia="仿宋_GB2312" w:cs="宋体"/>
                <w:kern w:val="0"/>
                <w:sz w:val="20"/>
                <w:szCs w:val="20"/>
              </w:rPr>
              <w:t>根据2019年度财政重点绩效评价和单位自评情况，向财政报送整改结果并整改到位的，2分，否则不得分。</w:t>
            </w:r>
          </w:p>
        </w:tc>
        <w:tc>
          <w:tcPr>
            <w:tcW w:w="3472" w:type="dxa"/>
            <w:noWrap w:val="0"/>
            <w:vAlign w:val="center"/>
          </w:tcPr>
          <w:p>
            <w:pPr>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val="0"/>
            <w:textDirection w:val="tbRlV"/>
            <w:vAlign w:val="center"/>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p>
        </w:tc>
        <w:tc>
          <w:tcPr>
            <w:tcW w:w="617" w:type="dxa"/>
            <w:noWrap w:val="0"/>
            <w:vAlign w:val="center"/>
          </w:tcPr>
          <w:p>
            <w:pPr>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年度部门整体支出绩效目标设立情况有选择的进行评价。</w:t>
            </w:r>
          </w:p>
        </w:tc>
        <w:tc>
          <w:tcPr>
            <w:tcW w:w="617" w:type="dxa"/>
            <w:vMerge w:val="restart"/>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90%（含）以上计2分；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80%（含）-90%，计1分；70%（含）-80%，计0.5分；低于70%,计0分。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82</w:t>
            </w:r>
          </w:p>
        </w:tc>
      </w:tr>
    </w:tbl>
    <w:p>
      <w:pPr>
        <w:spacing w:line="600" w:lineRule="exact"/>
        <w:rPr>
          <w:rFonts w:ascii="宋体" w:hAnsi="宋体" w:cs="宋体"/>
          <w:kern w:val="0"/>
          <w:sz w:val="32"/>
          <w:szCs w:val="32"/>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E2DDA3"/>
    <w:multiLevelType w:val="singleLevel"/>
    <w:tmpl w:val="8DE2DDA3"/>
    <w:lvl w:ilvl="0" w:tentative="0">
      <w:start w:val="1"/>
      <w:numFmt w:val="decimal"/>
      <w:lvlText w:val="%1."/>
      <w:lvlJc w:val="left"/>
      <w:pPr>
        <w:tabs>
          <w:tab w:val="left" w:pos="312"/>
        </w:tabs>
      </w:pPr>
    </w:lvl>
  </w:abstractNum>
  <w:abstractNum w:abstractNumId="1">
    <w:nsid w:val="9C799032"/>
    <w:multiLevelType w:val="singleLevel"/>
    <w:tmpl w:val="9C799032"/>
    <w:lvl w:ilvl="0" w:tentative="0">
      <w:start w:val="6"/>
      <w:numFmt w:val="chineseCounting"/>
      <w:suff w:val="nothing"/>
      <w:lvlText w:val="%1、"/>
      <w:lvlJc w:val="left"/>
      <w:rPr>
        <w:rFonts w:hint="eastAsia"/>
      </w:rPr>
    </w:lvl>
  </w:abstractNum>
  <w:abstractNum w:abstractNumId="2">
    <w:nsid w:val="3D55975B"/>
    <w:multiLevelType w:val="singleLevel"/>
    <w:tmpl w:val="3D55975B"/>
    <w:lvl w:ilvl="0" w:tentative="0">
      <w:start w:val="2"/>
      <w:numFmt w:val="decimal"/>
      <w:lvlText w:val="%1."/>
      <w:lvlJc w:val="left"/>
      <w:pPr>
        <w:tabs>
          <w:tab w:val="left" w:pos="312"/>
        </w:tabs>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hM2ZmMTVmYTllNzRiYzA0YjM4OTkwOWUwMmQzMjgifQ=="/>
  </w:docVars>
  <w:rsids>
    <w:rsidRoot w:val="00000000"/>
    <w:rsid w:val="0AB85258"/>
    <w:rsid w:val="15173B08"/>
    <w:rsid w:val="1EAC476E"/>
    <w:rsid w:val="45AD0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rPr>
      <w:sz w:val="24"/>
    </w:rPr>
  </w:style>
  <w:style w:type="character" w:styleId="7">
    <w:name w:val="page number"/>
    <w:basedOn w:val="6"/>
    <w:qFormat/>
    <w:uiPriority w:val="0"/>
  </w:style>
  <w:style w:type="character" w:styleId="8">
    <w:name w:val="FollowedHyperlink"/>
    <w:basedOn w:val="6"/>
    <w:qFormat/>
    <w:uiPriority w:val="0"/>
    <w:rPr>
      <w:color w:val="444444"/>
      <w:u w:val="none"/>
    </w:rPr>
  </w:style>
  <w:style w:type="character" w:styleId="9">
    <w:name w:val="Hyperlink"/>
    <w:basedOn w:val="6"/>
    <w:qFormat/>
    <w:uiPriority w:val="0"/>
    <w:rPr>
      <w:color w:val="444444"/>
      <w:u w:val="none"/>
    </w:rPr>
  </w:style>
  <w:style w:type="character" w:customStyle="1" w:styleId="10">
    <w:name w:val="gai"/>
    <w:basedOn w:val="6"/>
    <w:qFormat/>
    <w:uiPriority w:val="0"/>
  </w:style>
  <w:style w:type="character" w:customStyle="1" w:styleId="11">
    <w:name w:val="gai1"/>
    <w:basedOn w:val="6"/>
    <w:qFormat/>
    <w:uiPriority w:val="0"/>
  </w:style>
  <w:style w:type="character" w:customStyle="1" w:styleId="12">
    <w:name w:val="gai2"/>
    <w:basedOn w:val="6"/>
    <w:qFormat/>
    <w:uiPriority w:val="0"/>
  </w:style>
  <w:style w:type="character" w:customStyle="1" w:styleId="13">
    <w:name w:val="gai3"/>
    <w:basedOn w:val="6"/>
    <w:qFormat/>
    <w:uiPriority w:val="0"/>
  </w:style>
  <w:style w:type="character" w:customStyle="1" w:styleId="14">
    <w:name w:val="gai4"/>
    <w:basedOn w:val="6"/>
    <w:qFormat/>
    <w:uiPriority w:val="0"/>
  </w:style>
  <w:style w:type="character" w:customStyle="1" w:styleId="15">
    <w:name w:val="you"/>
    <w:basedOn w:val="6"/>
    <w:qFormat/>
    <w:uiPriority w:val="0"/>
  </w:style>
  <w:style w:type="character" w:customStyle="1" w:styleId="16">
    <w:name w:val="info-valid"/>
    <w:basedOn w:val="6"/>
    <w:qFormat/>
    <w:uiPriority w:val="0"/>
    <w:rPr>
      <w:color w:val="444444"/>
    </w:rPr>
  </w:style>
  <w:style w:type="character" w:customStyle="1" w:styleId="17">
    <w:name w:val="tit2"/>
    <w:basedOn w:val="6"/>
    <w:qFormat/>
    <w:uiPriority w:val="0"/>
    <w:rPr>
      <w:color w:val="1D0000"/>
      <w:sz w:val="33"/>
      <w:szCs w:val="33"/>
    </w:rPr>
  </w:style>
  <w:style w:type="character" w:customStyle="1" w:styleId="18">
    <w:name w:val="tianqi"/>
    <w:basedOn w:val="6"/>
    <w:qFormat/>
    <w:uiPriority w:val="0"/>
  </w:style>
  <w:style w:type="character" w:customStyle="1" w:styleId="19">
    <w:name w:val="sjzs"/>
    <w:basedOn w:val="6"/>
    <w:qFormat/>
    <w:uiPriority w:val="0"/>
    <w:rPr>
      <w:sz w:val="27"/>
      <w:szCs w:val="27"/>
    </w:rPr>
  </w:style>
  <w:style w:type="character" w:customStyle="1" w:styleId="20">
    <w:name w:val="quanp"/>
    <w:basedOn w:val="6"/>
    <w:qFormat/>
    <w:uiPriority w:val="0"/>
    <w:rPr>
      <w:color w:val="FFFFFF"/>
      <w:shd w:val="clear" w:fill="7CB8FE"/>
    </w:rPr>
  </w:style>
  <w:style w:type="character" w:customStyle="1" w:styleId="21">
    <w:name w:val="lname"/>
    <w:basedOn w:val="6"/>
    <w:qFormat/>
    <w:uiPriority w:val="0"/>
    <w:rPr>
      <w:color w:val="000000"/>
      <w:sz w:val="30"/>
      <w:szCs w:val="30"/>
    </w:rPr>
  </w:style>
  <w:style w:type="character" w:customStyle="1" w:styleId="22">
    <w:name w:val="first-child4"/>
    <w:basedOn w:val="6"/>
    <w:qFormat/>
    <w:uiPriority w:val="0"/>
    <w:rPr>
      <w:color w:val="BD1B09"/>
    </w:rPr>
  </w:style>
  <w:style w:type="character" w:customStyle="1" w:styleId="23">
    <w:name w:val="first-child5"/>
    <w:basedOn w:val="6"/>
    <w:qFormat/>
    <w:uiPriority w:val="0"/>
    <w:rPr>
      <w:color w:val="878787"/>
      <w:sz w:val="36"/>
      <w:szCs w:val="36"/>
      <w:shd w:val="clear" w:fill="FFFFFF"/>
    </w:rPr>
  </w:style>
  <w:style w:type="character" w:customStyle="1" w:styleId="24">
    <w:name w:val="ldjs"/>
    <w:basedOn w:val="6"/>
    <w:qFormat/>
    <w:uiPriority w:val="0"/>
    <w:rPr>
      <w:color w:val="666666"/>
      <w:sz w:val="24"/>
      <w:szCs w:val="24"/>
    </w:rPr>
  </w:style>
  <w:style w:type="character" w:customStyle="1" w:styleId="25">
    <w:name w:val="quanp2"/>
    <w:basedOn w:val="6"/>
    <w:qFormat/>
    <w:uiPriority w:val="0"/>
    <w:rPr>
      <w:color w:val="FFFFFF"/>
      <w:sz w:val="0"/>
      <w:szCs w:val="0"/>
      <w:shd w:val="clear" w:fill="7CB8FE"/>
    </w:rPr>
  </w:style>
  <w:style w:type="character" w:customStyle="1" w:styleId="26">
    <w:name w:val="jiaoluo"/>
    <w:basedOn w:val="6"/>
    <w:qFormat/>
    <w:uiPriority w:val="0"/>
  </w:style>
  <w:style w:type="character" w:customStyle="1" w:styleId="27">
    <w:name w:val="last3"/>
    <w:basedOn w:val="6"/>
    <w:qFormat/>
    <w:uiPriority w:val="0"/>
  </w:style>
  <w:style w:type="character" w:customStyle="1" w:styleId="28">
    <w:name w:val="last4"/>
    <w:basedOn w:val="6"/>
    <w:qFormat/>
    <w:uiPriority w:val="0"/>
  </w:style>
  <w:style w:type="character" w:customStyle="1" w:styleId="29">
    <w:name w:val="fanhui"/>
    <w:basedOn w:val="6"/>
    <w:qFormat/>
    <w:uiPriority w:val="0"/>
    <w:rPr>
      <w:color w:val="FFFFFF"/>
      <w:sz w:val="24"/>
      <w:szCs w:val="24"/>
    </w:rPr>
  </w:style>
  <w:style w:type="character" w:customStyle="1" w:styleId="30">
    <w:name w:val="jiaoluo2"/>
    <w:basedOn w:val="6"/>
    <w:qFormat/>
    <w:uiPriority w:val="0"/>
  </w:style>
  <w:style w:type="character" w:customStyle="1" w:styleId="31">
    <w:name w:val="zuo"/>
    <w:basedOn w:val="6"/>
    <w:qFormat/>
    <w:uiPriority w:val="0"/>
  </w:style>
  <w:style w:type="character" w:customStyle="1" w:styleId="32">
    <w:name w:val="dcs"/>
    <w:basedOn w:val="6"/>
    <w:qFormat/>
    <w:uiPriority w:val="0"/>
    <w:rPr>
      <w:color w:val="BD1B09"/>
    </w:rPr>
  </w:style>
  <w:style w:type="character" w:customStyle="1" w:styleId="33">
    <w:name w:val="time"/>
    <w:basedOn w:val="6"/>
    <w:qFormat/>
    <w:uiPriority w:val="0"/>
    <w:rPr>
      <w:color w:val="999999"/>
    </w:rPr>
  </w:style>
  <w:style w:type="character" w:customStyle="1" w:styleId="34">
    <w:name w:val="time1"/>
    <w:basedOn w:val="6"/>
    <w:qFormat/>
    <w:uiPriority w:val="0"/>
    <w:rPr>
      <w:color w:val="999999"/>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5649</Words>
  <Characters>5900</Characters>
  <Lines>0</Lines>
  <Paragraphs>0</Paragraphs>
  <TotalTime>1</TotalTime>
  <ScaleCrop>false</ScaleCrop>
  <LinksUpToDate>false</LinksUpToDate>
  <CharactersWithSpaces>6075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2022-10-10T08:53:00Z</dcterms:created>
  <dc:creator>Administrator</dc:creator>
  <cp:lastModifiedBy>Administrator</cp:lastModifiedBy>
  <dcterms:modified xsi:type="dcterms:W3CDTF">2023-01-20T03:22:57Z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56E4CCD5A6C94C98B577D6C2F39E04E8</vt:lpwstr>
  </property>
</Properties>
</file>