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442" w:firstLineChars="100"/>
        <w:jc w:val="left"/>
        <w:rPr>
          <w:rFonts w:hint="default" w:ascii="宋体" w:hAnsi="宋体" w:eastAsia="宋体" w:cs="宋体"/>
          <w:b/>
          <w:bCs/>
          <w:i w:val="0"/>
          <w:iCs w:val="0"/>
          <w:caps w:val="0"/>
          <w:color w:val="auto"/>
          <w:spacing w:val="0"/>
          <w:kern w:val="44"/>
          <w:sz w:val="44"/>
          <w:szCs w:val="44"/>
          <w:shd w:val="clear" w:fill="FFFFFF"/>
          <w:lang w:val="en-US" w:eastAsia="zh-CN" w:bidi="ar"/>
        </w:rPr>
      </w:pPr>
      <w:r>
        <w:rPr>
          <w:rFonts w:hint="eastAsia" w:ascii="宋体" w:hAnsi="宋体" w:eastAsia="宋体" w:cs="宋体"/>
          <w:b/>
          <w:bCs/>
          <w:i w:val="0"/>
          <w:iCs w:val="0"/>
          <w:caps w:val="0"/>
          <w:color w:val="auto"/>
          <w:spacing w:val="0"/>
          <w:kern w:val="44"/>
          <w:sz w:val="44"/>
          <w:szCs w:val="44"/>
          <w:shd w:val="clear" w:fill="FFFFFF"/>
          <w:lang w:val="en-US" w:eastAsia="zh-CN" w:bidi="ar"/>
        </w:rPr>
        <w:t>北塔区特色文化服务业中心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i w:val="0"/>
          <w:iCs w:val="0"/>
          <w:caps w:val="0"/>
          <w:color w:val="auto"/>
          <w:spacing w:val="0"/>
          <w:sz w:val="44"/>
          <w:szCs w:val="44"/>
          <w:shd w:val="clear" w:fill="FFFFFF"/>
        </w:rPr>
        <w:t>202</w:t>
      </w:r>
      <w:r>
        <w:rPr>
          <w:rFonts w:hint="eastAsia"/>
          <w:i w:val="0"/>
          <w:iCs w:val="0"/>
          <w:caps w:val="0"/>
          <w:color w:val="auto"/>
          <w:spacing w:val="0"/>
          <w:sz w:val="44"/>
          <w:szCs w:val="44"/>
          <w:shd w:val="clear" w:fill="FFFFFF"/>
          <w:lang w:val="en-US" w:eastAsia="zh-CN"/>
        </w:rPr>
        <w:t>2</w:t>
      </w:r>
      <w:r>
        <w:rPr>
          <w:i w:val="0"/>
          <w:iCs w:val="0"/>
          <w:caps w:val="0"/>
          <w:color w:val="auto"/>
          <w:spacing w:val="0"/>
          <w:sz w:val="44"/>
          <w:szCs w:val="44"/>
          <w:shd w:val="clear" w:fill="FFFFFF"/>
        </w:rPr>
        <w:t>年度部门整体支出绩效评价报</w:t>
      </w:r>
      <w:r>
        <w:rPr>
          <w:rFonts w:hint="eastAsia"/>
          <w:i w:val="0"/>
          <w:iCs w:val="0"/>
          <w:caps w:val="0"/>
          <w:color w:val="auto"/>
          <w:spacing w:val="0"/>
          <w:sz w:val="44"/>
          <w:szCs w:val="44"/>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pStyle w:val="5"/>
        <w:keepNext w:val="0"/>
        <w:keepLines w:val="0"/>
        <w:widowControl/>
        <w:suppressLineNumbers w:val="0"/>
        <w:spacing w:before="0" w:beforeAutospacing="0" w:after="2" w:afterAutospacing="0"/>
        <w:ind w:left="0" w:right="0" w:firstLine="641"/>
        <w:rPr>
          <w:rFonts w:hint="default" w:eastAsia="宋体"/>
          <w:lang w:val="en-US" w:eastAsia="zh-CN"/>
        </w:rPr>
      </w:pPr>
      <w:r>
        <w:rPr>
          <w:rFonts w:hint="eastAsia" w:ascii="宋体" w:hAnsi="宋体" w:eastAsia="宋体" w:cs="宋体"/>
          <w:i w:val="0"/>
          <w:iCs w:val="0"/>
          <w:caps w:val="0"/>
          <w:color w:val="000000"/>
          <w:spacing w:val="0"/>
          <w:sz w:val="32"/>
          <w:szCs w:val="32"/>
        </w:rPr>
        <w:t>机构</w:t>
      </w:r>
      <w:r>
        <w:rPr>
          <w:rFonts w:hint="eastAsia" w:ascii="宋体" w:hAnsi="宋体" w:eastAsia="宋体" w:cs="宋体"/>
          <w:i w:val="0"/>
          <w:iCs w:val="0"/>
          <w:caps w:val="0"/>
          <w:color w:val="000000"/>
          <w:spacing w:val="0"/>
          <w:sz w:val="32"/>
          <w:szCs w:val="32"/>
          <w:lang w:eastAsia="zh-CN"/>
        </w:rPr>
        <w:t>设置情况</w:t>
      </w:r>
      <w:r>
        <w:rPr>
          <w:rFonts w:hint="eastAsia" w:ascii="宋体" w:hAnsi="宋体" w:eastAsia="宋体" w:cs="宋体"/>
          <w:i w:val="0"/>
          <w:iCs w:val="0"/>
          <w:caps w:val="0"/>
          <w:color w:val="000000"/>
          <w:spacing w:val="0"/>
          <w:sz w:val="32"/>
          <w:szCs w:val="32"/>
        </w:rPr>
        <w:t>：</w:t>
      </w:r>
      <w:r>
        <w:rPr>
          <w:rFonts w:hint="eastAsia" w:ascii="宋体" w:hAnsi="宋体" w:eastAsia="宋体" w:cs="宋体"/>
          <w:color w:val="000000"/>
          <w:kern w:val="2"/>
          <w:sz w:val="32"/>
          <w:szCs w:val="32"/>
        </w:rPr>
        <w:t>内设</w:t>
      </w:r>
      <w:r>
        <w:rPr>
          <w:rFonts w:hint="eastAsia" w:ascii="宋体" w:hAnsi="宋体" w:eastAsia="宋体" w:cs="宋体"/>
          <w:color w:val="000000"/>
          <w:kern w:val="2"/>
          <w:sz w:val="32"/>
          <w:szCs w:val="32"/>
          <w:lang w:val="en-US" w:eastAsia="zh-CN"/>
        </w:rPr>
        <w:t>办公室</w:t>
      </w:r>
      <w:r>
        <w:rPr>
          <w:rFonts w:hint="eastAsia" w:ascii="宋体" w:hAnsi="宋体" w:eastAsia="宋体" w:cs="宋体"/>
          <w:color w:val="000000"/>
          <w:kern w:val="2"/>
          <w:sz w:val="32"/>
          <w:szCs w:val="32"/>
        </w:rPr>
        <w:t>和业务</w:t>
      </w:r>
      <w:r>
        <w:rPr>
          <w:rFonts w:hint="eastAsia" w:ascii="宋体" w:hAnsi="宋体" w:eastAsia="宋体" w:cs="宋体"/>
          <w:color w:val="000000"/>
          <w:kern w:val="2"/>
          <w:sz w:val="32"/>
          <w:szCs w:val="32"/>
          <w:lang w:val="en-US" w:eastAsia="zh-CN"/>
        </w:rPr>
        <w:t>股室两个股室</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i w:val="0"/>
          <w:iCs w:val="0"/>
          <w:caps w:val="0"/>
          <w:color w:val="000000"/>
          <w:spacing w:val="0"/>
          <w:sz w:val="32"/>
          <w:szCs w:val="32"/>
          <w:lang w:eastAsia="zh-CN"/>
        </w:rPr>
        <w:t>人员情况：</w:t>
      </w:r>
      <w:r>
        <w:rPr>
          <w:rFonts w:hint="eastAsia" w:ascii="宋体" w:hAnsi="宋体" w:eastAsia="宋体" w:cs="宋体"/>
          <w:color w:val="auto"/>
          <w:kern w:val="2"/>
          <w:sz w:val="32"/>
          <w:szCs w:val="32"/>
          <w:lang w:val="en-US" w:eastAsia="zh-CN" w:bidi="ar"/>
        </w:rPr>
        <w:t>本部门</w:t>
      </w:r>
      <w:r>
        <w:rPr>
          <w:rFonts w:hint="eastAsia" w:ascii="宋体" w:hAnsi="宋体" w:eastAsia="宋体" w:cs="宋体"/>
          <w:color w:val="000000"/>
          <w:kern w:val="2"/>
          <w:sz w:val="32"/>
          <w:szCs w:val="32"/>
        </w:rPr>
        <w:t>共有编制人数</w:t>
      </w:r>
      <w:r>
        <w:rPr>
          <w:rFonts w:hint="eastAsia" w:ascii="宋体" w:hAnsi="宋体" w:eastAsia="宋体" w:cs="宋体"/>
          <w:color w:val="000000"/>
          <w:kern w:val="2"/>
          <w:sz w:val="32"/>
          <w:szCs w:val="32"/>
          <w:lang w:val="en-US" w:eastAsia="zh-CN"/>
        </w:rPr>
        <w:t>3</w:t>
      </w:r>
      <w:r>
        <w:rPr>
          <w:rFonts w:hint="eastAsia" w:ascii="宋体" w:hAnsi="宋体" w:eastAsia="宋体" w:cs="宋体"/>
          <w:color w:val="000000"/>
          <w:kern w:val="2"/>
          <w:sz w:val="32"/>
          <w:szCs w:val="32"/>
        </w:rPr>
        <w:t>人，实有人数</w:t>
      </w:r>
      <w:r>
        <w:rPr>
          <w:rFonts w:hint="eastAsia" w:ascii="宋体" w:hAnsi="宋体" w:eastAsia="宋体" w:cs="宋体"/>
          <w:color w:val="000000"/>
          <w:kern w:val="2"/>
          <w:sz w:val="32"/>
          <w:szCs w:val="32"/>
          <w:lang w:val="en-US" w:eastAsia="zh-CN"/>
        </w:rPr>
        <w:t>4</w:t>
      </w:r>
      <w:r>
        <w:rPr>
          <w:rFonts w:hint="eastAsia" w:ascii="宋体" w:hAnsi="宋体" w:eastAsia="宋体" w:cs="宋体"/>
          <w:color w:val="000000"/>
          <w:kern w:val="2"/>
          <w:sz w:val="32"/>
          <w:szCs w:val="32"/>
        </w:rPr>
        <w:t>人</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p>
    <w:p>
      <w:pPr>
        <w:numPr>
          <w:ilvl w:val="0"/>
          <w:numId w:val="0"/>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（二）主要工作职责</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1、</w:t>
      </w:r>
      <w:r>
        <w:rPr>
          <w:rFonts w:hint="eastAsia" w:ascii="宋体" w:hAnsi="宋体" w:eastAsia="宋体" w:cs="宋体"/>
          <w:color w:val="000000"/>
          <w:kern w:val="2"/>
          <w:sz w:val="32"/>
          <w:szCs w:val="32"/>
        </w:rPr>
        <w:t>贯彻执行国家、省、市关于促进现代服务业（特色文化）发展的方针、政策和法律、法规，根据全区国民经济和社会发展总体规划，向上争取政策和资金扶助，制定全区现代服务业(特色文化)发展中长期规划和年度计划以及有关配套政策，参与制定促进现代服务业发展的政策和措施。</w:t>
      </w:r>
      <w:r>
        <w:rPr>
          <w:rFonts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2、</w:t>
      </w:r>
      <w:r>
        <w:rPr>
          <w:rFonts w:hint="eastAsia" w:ascii="宋体" w:hAnsi="宋体" w:eastAsia="宋体" w:cs="宋体"/>
          <w:color w:val="000000"/>
          <w:kern w:val="2"/>
          <w:sz w:val="32"/>
          <w:szCs w:val="32"/>
        </w:rPr>
        <w:t>负责现代服务业发展的政策和措施的落实工作，做好现代服务业(特色文化)企业的管理和服务工作，负责现代服务业(特色文化)企业经济运行动态监测，负责协调解决全区现代服务业(特色文化)企业在生产、经营等发展过程中遇到的困难和问题，为现代服务业(特色文化)企业提供政策、信息、管理、法律等服务，打造现代服务业(特色文化)发展营造良好的外部环境。</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3、</w:t>
      </w:r>
      <w:r>
        <w:rPr>
          <w:rFonts w:hint="eastAsia" w:ascii="宋体" w:hAnsi="宋体" w:eastAsia="宋体" w:cs="宋体"/>
          <w:color w:val="000000"/>
          <w:kern w:val="2"/>
          <w:sz w:val="32"/>
          <w:szCs w:val="32"/>
        </w:rPr>
        <w:t>负责引进和培育以现代物流业、电子商务业、金融服务业、专业服务业、会展服务业、服务外包业等为代表的现代服务业企业；负责指导协调各类楼宇的二次招商和闲置楼宇的招商工作，建立招商项目库；配合相关部门做好客商接待工作。</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4、</w:t>
      </w:r>
      <w:r>
        <w:rPr>
          <w:rFonts w:hint="eastAsia" w:ascii="宋体" w:hAnsi="宋体" w:eastAsia="宋体" w:cs="宋体"/>
          <w:color w:val="000000"/>
          <w:kern w:val="2"/>
          <w:sz w:val="32"/>
          <w:szCs w:val="32"/>
        </w:rPr>
        <w:t>负责指导全区现代服务业(特色文化)和商务楼宇的规划布局、开发建设和发展环境优化，负责商务楼宇物业管理部门的指导和培育，搭建交流平台，组织培训各类人才，引导商务楼宇物业管理部门规范管理，提升商务楼宇档次和水平。</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5、</w:t>
      </w:r>
      <w:r>
        <w:rPr>
          <w:rFonts w:hint="eastAsia" w:ascii="宋体" w:hAnsi="宋体" w:eastAsia="宋体" w:cs="宋体"/>
          <w:color w:val="000000"/>
          <w:kern w:val="2"/>
          <w:sz w:val="32"/>
          <w:szCs w:val="32"/>
        </w:rPr>
        <w:t>负责组织参与各级政府举办的现代服务业(特色文化)交流和合作活动，协同相关部门做好全区的各种现代服务业招商、推介和洽谈会。</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6、</w:t>
      </w:r>
      <w:r>
        <w:rPr>
          <w:rFonts w:hint="eastAsia" w:ascii="宋体" w:hAnsi="宋体" w:eastAsia="宋体" w:cs="宋体"/>
          <w:color w:val="000000"/>
          <w:kern w:val="2"/>
          <w:sz w:val="32"/>
          <w:szCs w:val="32"/>
        </w:rPr>
        <w:t>负责现代服务业(特色文化)企业、创新创业人才的培养、引进及相关政策的落实。</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7、</w:t>
      </w:r>
      <w:r>
        <w:rPr>
          <w:rFonts w:hint="eastAsia" w:ascii="宋体" w:hAnsi="宋体" w:eastAsia="宋体" w:cs="宋体"/>
          <w:color w:val="000000"/>
          <w:kern w:val="2"/>
          <w:sz w:val="32"/>
          <w:szCs w:val="32"/>
        </w:rPr>
        <w:t>负责全区现代服务业(特色文化)资源及发展情况的综合统计和信息发布。</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8、</w:t>
      </w:r>
      <w:r>
        <w:rPr>
          <w:rFonts w:hint="eastAsia" w:ascii="宋体" w:hAnsi="宋体" w:eastAsia="宋体" w:cs="宋体"/>
          <w:color w:val="000000"/>
          <w:kern w:val="2"/>
          <w:sz w:val="32"/>
          <w:szCs w:val="32"/>
        </w:rPr>
        <w:t>负责协调现代服务业(特色文化)企业入驻落户我区，并协助财税部门加强楼宇税收的征管。</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default" w:ascii="宋体" w:hAnsi="宋体" w:eastAsia="宋体" w:cs="宋体"/>
          <w:i w:val="0"/>
          <w:iCs w:val="0"/>
          <w:caps w:val="0"/>
          <w:color w:val="000000"/>
          <w:spacing w:val="0"/>
          <w:sz w:val="32"/>
          <w:szCs w:val="32"/>
          <w:lang w:val="en-US" w:eastAsia="zh-CN"/>
        </w:rPr>
      </w:pPr>
      <w:r>
        <w:rPr>
          <w:rFonts w:hint="eastAsia" w:ascii="宋体" w:hAnsi="宋体" w:eastAsia="宋体" w:cs="宋体"/>
          <w:kern w:val="2"/>
          <w:sz w:val="32"/>
          <w:szCs w:val="32"/>
          <w:lang w:val="en-US" w:eastAsia="zh-CN" w:bidi="ar"/>
        </w:rPr>
        <w:t>2022年本部门年初预算安排59.14万元，本年实际支出</w:t>
      </w:r>
      <w:r>
        <w:rPr>
          <w:rFonts w:hint="eastAsia" w:ascii="宋体" w:hAnsi="宋体" w:eastAsia="宋体" w:cs="宋体"/>
          <w:i w:val="0"/>
          <w:iCs w:val="0"/>
          <w:caps w:val="0"/>
          <w:color w:val="000000"/>
          <w:spacing w:val="0"/>
          <w:sz w:val="32"/>
          <w:szCs w:val="32"/>
          <w:lang w:val="en-US" w:eastAsia="zh-CN"/>
        </w:rPr>
        <w:t>98.14</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eastAsia="zh-CN"/>
        </w:rPr>
        <w:t>，完成全年预算的</w:t>
      </w:r>
      <w:r>
        <w:rPr>
          <w:rFonts w:hint="eastAsia" w:ascii="宋体" w:hAnsi="宋体" w:eastAsia="宋体" w:cs="宋体"/>
          <w:i w:val="0"/>
          <w:iCs w:val="0"/>
          <w:caps w:val="0"/>
          <w:color w:val="000000"/>
          <w:spacing w:val="0"/>
          <w:sz w:val="32"/>
          <w:szCs w:val="32"/>
          <w:lang w:val="en-US" w:eastAsia="zh-CN"/>
        </w:rPr>
        <w:t>165.95%</w:t>
      </w:r>
      <w:r>
        <w:rPr>
          <w:rFonts w:hint="eastAsia" w:ascii="宋体" w:hAnsi="宋体" w:eastAsia="宋体" w:cs="宋体"/>
          <w:i w:val="0"/>
          <w:iCs w:val="0"/>
          <w:caps w:val="0"/>
          <w:color w:val="000000"/>
          <w:spacing w:val="0"/>
          <w:sz w:val="32"/>
          <w:szCs w:val="32"/>
        </w:rPr>
        <w:t>。与上一年度相比，</w:t>
      </w:r>
      <w:r>
        <w:rPr>
          <w:rFonts w:hint="eastAsia" w:ascii="宋体" w:hAnsi="宋体" w:eastAsia="宋体" w:cs="宋体"/>
          <w:i w:val="0"/>
          <w:iCs w:val="0"/>
          <w:caps w:val="0"/>
          <w:color w:val="000000"/>
          <w:spacing w:val="0"/>
          <w:sz w:val="32"/>
          <w:szCs w:val="32"/>
          <w:lang w:eastAsia="zh-CN"/>
        </w:rPr>
        <w:t>实际支出</w:t>
      </w:r>
      <w:r>
        <w:rPr>
          <w:rFonts w:hint="eastAsia" w:ascii="宋体" w:hAnsi="宋体" w:eastAsia="宋体" w:cs="宋体"/>
          <w:i w:val="0"/>
          <w:iCs w:val="0"/>
          <w:caps w:val="0"/>
          <w:color w:val="000000"/>
          <w:spacing w:val="0"/>
          <w:sz w:val="32"/>
          <w:szCs w:val="32"/>
          <w:lang w:val="en-US" w:eastAsia="zh-CN"/>
        </w:rPr>
        <w:t>减少90.99</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val="en-US" w:eastAsia="zh-CN"/>
        </w:rPr>
        <w:t>下降48.11</w:t>
      </w:r>
      <w:r>
        <w:rPr>
          <w:rFonts w:hint="eastAsia" w:ascii="宋体" w:hAnsi="宋体" w:eastAsia="宋体" w:cs="宋体"/>
          <w:i w:val="0"/>
          <w:iCs w:val="0"/>
          <w:caps w:val="0"/>
          <w:color w:val="000000"/>
          <w:spacing w:val="0"/>
          <w:sz w:val="32"/>
          <w:szCs w:val="32"/>
        </w:rPr>
        <w:t>%。主要原因</w:t>
      </w:r>
      <w:r>
        <w:rPr>
          <w:rFonts w:hint="eastAsia" w:ascii="宋体" w:hAnsi="宋体" w:eastAsia="宋体" w:cs="宋体"/>
          <w:i w:val="0"/>
          <w:iCs w:val="0"/>
          <w:caps w:val="0"/>
          <w:color w:val="000000"/>
          <w:spacing w:val="0"/>
          <w:sz w:val="32"/>
          <w:szCs w:val="32"/>
          <w:lang w:val="en-US" w:eastAsia="zh-CN"/>
        </w:rPr>
        <w:t>是2021年购买智慧平台应用系统70多万，压缩公用性经费开支，收入较上年减少。</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2022年度收入合计</w:t>
      </w:r>
      <w:r>
        <w:rPr>
          <w:rFonts w:hint="eastAsia" w:ascii="宋体" w:hAnsi="宋体" w:eastAsia="宋体" w:cs="宋体"/>
          <w:i w:val="0"/>
          <w:iCs w:val="0"/>
          <w:caps w:val="0"/>
          <w:color w:val="000000"/>
          <w:spacing w:val="0"/>
          <w:sz w:val="32"/>
          <w:szCs w:val="32"/>
          <w:lang w:val="en-US" w:eastAsia="zh-CN"/>
        </w:rPr>
        <w:t>98.14</w:t>
      </w:r>
      <w:r>
        <w:rPr>
          <w:rFonts w:hint="eastAsia" w:ascii="宋体" w:hAnsi="宋体" w:eastAsia="宋体" w:cs="宋体"/>
          <w:i w:val="0"/>
          <w:iCs w:val="0"/>
          <w:caps w:val="0"/>
          <w:color w:val="000000"/>
          <w:spacing w:val="0"/>
          <w:sz w:val="32"/>
          <w:szCs w:val="32"/>
        </w:rPr>
        <w:t>万元，其中：财政拨款收入</w:t>
      </w:r>
      <w:r>
        <w:rPr>
          <w:rFonts w:hint="eastAsia" w:ascii="宋体" w:hAnsi="宋体" w:eastAsia="宋体" w:cs="宋体"/>
          <w:i w:val="0"/>
          <w:iCs w:val="0"/>
          <w:caps w:val="0"/>
          <w:color w:val="000000"/>
          <w:spacing w:val="0"/>
          <w:sz w:val="32"/>
          <w:szCs w:val="32"/>
          <w:lang w:val="en-US" w:eastAsia="zh-CN"/>
        </w:rPr>
        <w:t>97.81</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99.66</w:t>
      </w:r>
      <w:r>
        <w:rPr>
          <w:rFonts w:hint="eastAsia" w:ascii="宋体" w:hAnsi="宋体" w:eastAsia="宋体" w:cs="宋体"/>
          <w:i w:val="0"/>
          <w:iCs w:val="0"/>
          <w:caps w:val="0"/>
          <w:color w:val="000000"/>
          <w:spacing w:val="0"/>
          <w:sz w:val="32"/>
          <w:szCs w:val="32"/>
        </w:rPr>
        <w:t>%；上级补助收入0万元，占0%；事业收入0万元，占0%；经营收入0万元，占0%；附属单位上缴收入0万元，占0%；其他收入</w:t>
      </w:r>
      <w:r>
        <w:rPr>
          <w:rFonts w:hint="eastAsia" w:ascii="宋体" w:hAnsi="宋体" w:eastAsia="宋体" w:cs="宋体"/>
          <w:i w:val="0"/>
          <w:iCs w:val="0"/>
          <w:caps w:val="0"/>
          <w:color w:val="000000"/>
          <w:spacing w:val="0"/>
          <w:sz w:val="32"/>
          <w:szCs w:val="32"/>
          <w:lang w:val="en-US" w:eastAsia="zh-CN"/>
        </w:rPr>
        <w:t>0.33</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0.34</w:t>
      </w:r>
      <w:r>
        <w:rPr>
          <w:rFonts w:hint="eastAsia" w:ascii="宋体" w:hAnsi="宋体" w:eastAsia="宋体" w:cs="宋体"/>
          <w:i w:val="0"/>
          <w:iCs w:val="0"/>
          <w:caps w:val="0"/>
          <w:color w:val="000000"/>
          <w:spacing w:val="0"/>
          <w:sz w:val="32"/>
          <w:szCs w:val="32"/>
        </w:rPr>
        <w:t>%</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2022年度支出合计</w:t>
      </w:r>
      <w:r>
        <w:rPr>
          <w:rFonts w:hint="eastAsia" w:ascii="宋体" w:hAnsi="宋体" w:eastAsia="宋体" w:cs="宋体"/>
          <w:i w:val="0"/>
          <w:iCs w:val="0"/>
          <w:caps w:val="0"/>
          <w:color w:val="000000"/>
          <w:spacing w:val="0"/>
          <w:sz w:val="32"/>
          <w:szCs w:val="32"/>
          <w:lang w:val="en-US" w:eastAsia="zh-CN"/>
        </w:rPr>
        <w:t>98.14</w:t>
      </w:r>
      <w:r>
        <w:rPr>
          <w:rFonts w:hint="eastAsia" w:ascii="宋体" w:hAnsi="宋体" w:eastAsia="宋体" w:cs="宋体"/>
          <w:i w:val="0"/>
          <w:iCs w:val="0"/>
          <w:caps w:val="0"/>
          <w:color w:val="000000"/>
          <w:spacing w:val="0"/>
          <w:sz w:val="32"/>
          <w:szCs w:val="32"/>
        </w:rPr>
        <w:t>万元，其中：基本支出</w:t>
      </w:r>
      <w:r>
        <w:rPr>
          <w:rFonts w:hint="eastAsia" w:ascii="宋体" w:hAnsi="宋体" w:eastAsia="宋体" w:cs="宋体"/>
          <w:i w:val="0"/>
          <w:iCs w:val="0"/>
          <w:caps w:val="0"/>
          <w:color w:val="000000"/>
          <w:spacing w:val="0"/>
          <w:sz w:val="32"/>
          <w:szCs w:val="32"/>
          <w:lang w:val="en-US" w:eastAsia="zh-CN"/>
        </w:rPr>
        <w:t>98.14</w:t>
      </w:r>
      <w:r>
        <w:rPr>
          <w:rFonts w:hint="eastAsia" w:ascii="宋体" w:hAnsi="宋体" w:eastAsia="宋体" w:cs="宋体"/>
          <w:i w:val="0"/>
          <w:iCs w:val="0"/>
          <w:caps w:val="0"/>
          <w:color w:val="000000"/>
          <w:spacing w:val="0"/>
          <w:sz w:val="32"/>
          <w:szCs w:val="32"/>
        </w:rPr>
        <w:t>万元，占100%；项目支出0万元，占0%；上缴上级支出0万元，占0%；经营支出0万元，占0%；对附属单位补助支出0万元，占0%。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2022年度北塔区特色文化服务业中心基本支出年初预算安排</w:t>
      </w:r>
      <w:r>
        <w:rPr>
          <w:rFonts w:hint="eastAsia" w:ascii="宋体" w:hAnsi="宋体" w:eastAsia="宋体" w:cs="宋体"/>
          <w:i w:val="0"/>
          <w:iCs w:val="0"/>
          <w:caps w:val="0"/>
          <w:color w:val="000000"/>
          <w:spacing w:val="0"/>
          <w:sz w:val="32"/>
          <w:szCs w:val="32"/>
          <w:lang w:val="en-US" w:eastAsia="zh-CN"/>
        </w:rPr>
        <w:t>46.14</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万元，本年实际支出为</w:t>
      </w:r>
      <w:r>
        <w:rPr>
          <w:rFonts w:hint="eastAsia" w:ascii="宋体" w:hAnsi="宋体" w:eastAsia="宋体" w:cs="宋体"/>
          <w:i w:val="0"/>
          <w:iCs w:val="0"/>
          <w:caps w:val="0"/>
          <w:color w:val="000000"/>
          <w:spacing w:val="0"/>
          <w:sz w:val="32"/>
          <w:szCs w:val="32"/>
          <w:lang w:val="en-US" w:eastAsia="zh-CN"/>
        </w:rPr>
        <w:t>98.14</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万元，主要为人员经费支出和公用经费支出，其中人员经费支出52.18万元、公用经费支出45.96万元。</w:t>
      </w:r>
    </w:p>
    <w:p>
      <w:pPr>
        <w:numPr>
          <w:ilvl w:val="0"/>
          <w:numId w:val="1"/>
        </w:numPr>
        <w:spacing w:line="480" w:lineRule="auto"/>
        <w:ind w:left="0" w:leftChars="0"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项目支出情况</w:t>
      </w:r>
    </w:p>
    <w:p>
      <w:pPr>
        <w:numPr>
          <w:ilvl w:val="0"/>
          <w:numId w:val="0"/>
        </w:num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本年项目支出年初预算安排为13万元，本年实际支出为0万元，本部门2022年度无项目支出。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rPr>
        <w:t>1、预算执行情况。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default"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数97.81万元，预算安排数59.14万元，预算执行率为165.95%；当年预算有超支38.67万元。⑵公用经费预算18.49万元，实际支出45.96万元，公用经费控制率为248.57%；（3）“三公经费”年初预算安排0万元，实际支出0万元（4）政府采购年初预算28万元，实际政府采购金额30.73万元，政府采购执行率109.75%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w:t>
      </w:r>
      <w:r>
        <w:rPr>
          <w:rFonts w:hint="eastAsia" w:ascii="宋体" w:hAnsi="宋体" w:eastAsia="宋体" w:cs="宋体"/>
          <w:b/>
          <w:bCs/>
          <w:i w:val="0"/>
          <w:iCs w:val="0"/>
          <w:caps w:val="0"/>
          <w:color w:val="auto"/>
          <w:spacing w:val="0"/>
          <w:sz w:val="32"/>
          <w:szCs w:val="32"/>
          <w:highlight w:val="none"/>
          <w:shd w:val="clear" w:fill="FFFFFF"/>
        </w:rPr>
        <w:t>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w:t>
      </w:r>
      <w:r>
        <w:rPr>
          <w:rFonts w:hint="eastAsia" w:ascii="宋体" w:hAnsi="宋体" w:eastAsia="宋体" w:cs="宋体"/>
          <w:b w:val="0"/>
          <w:bCs w:val="0"/>
          <w:i w:val="0"/>
          <w:iCs w:val="0"/>
          <w:caps w:val="0"/>
          <w:color w:val="auto"/>
          <w:spacing w:val="0"/>
          <w:sz w:val="32"/>
          <w:szCs w:val="32"/>
          <w:highlight w:val="none"/>
          <w:shd w:val="clear" w:fill="FFFFFF"/>
          <w:lang w:val="en-US" w:eastAsia="zh-CN"/>
        </w:rPr>
        <w:t>特色文化服务业中心</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color w:val="auto"/>
          <w:sz w:val="32"/>
          <w:szCs w:val="32"/>
          <w:lang w:eastAsia="zh-CN"/>
        </w:rPr>
        <w:t>北塔区</w:t>
      </w:r>
      <w:r>
        <w:rPr>
          <w:rFonts w:hint="eastAsia" w:ascii="宋体" w:hAnsi="宋体" w:eastAsia="宋体" w:cs="宋体"/>
          <w:b w:val="0"/>
          <w:bCs w:val="0"/>
          <w:i w:val="0"/>
          <w:iCs w:val="0"/>
          <w:caps w:val="0"/>
          <w:color w:val="auto"/>
          <w:spacing w:val="0"/>
          <w:sz w:val="32"/>
          <w:szCs w:val="32"/>
          <w:highlight w:val="none"/>
          <w:shd w:val="clear" w:fill="FFFFFF"/>
          <w:lang w:val="en-US" w:eastAsia="zh-CN"/>
        </w:rPr>
        <w:t>特色文化服务业中心</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拥有各类资产总额2.54万元，其中流动资产0万元，固定资产净值2.54万元。单位为加强资产管理，内部制定了资产管理制度，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rPr>
        <w:t>预算执行</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预算管理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为规范机关财务管理，建立健全财务管理制度，我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3、</w:t>
      </w:r>
      <w:r>
        <w:rPr>
          <w:rFonts w:hint="eastAsia" w:ascii="宋体" w:hAnsi="宋体" w:eastAsia="宋体" w:cs="宋体"/>
          <w:b w:val="0"/>
          <w:bCs w:val="0"/>
          <w:sz w:val="32"/>
          <w:szCs w:val="32"/>
        </w:rPr>
        <w:t>提升支出绩效</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202</w:t>
      </w: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年，我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i w:val="0"/>
          <w:iCs w:val="0"/>
          <w:caps w:val="0"/>
          <w:color w:val="auto"/>
          <w:spacing w:val="0"/>
          <w:kern w:val="2"/>
          <w:sz w:val="32"/>
          <w:szCs w:val="32"/>
          <w:shd w:val="clear" w:fill="FFFFFF"/>
          <w:lang w:val="en-US" w:eastAsia="zh-CN" w:bidi="ar-SA"/>
        </w:rPr>
      </w:pPr>
      <w:r>
        <w:rPr>
          <w:rFonts w:hint="eastAsia" w:ascii="宋体" w:hAnsi="宋体" w:eastAsia="宋体" w:cs="宋体"/>
          <w:b w:val="0"/>
          <w:bCs w:val="0"/>
          <w:sz w:val="32"/>
          <w:szCs w:val="32"/>
          <w:lang w:val="en-US" w:eastAsia="zh-CN"/>
        </w:rPr>
        <w:t>4、</w:t>
      </w:r>
      <w:r>
        <w:rPr>
          <w:rFonts w:hint="eastAsia" w:ascii="宋体" w:hAnsi="宋体" w:eastAsia="宋体" w:cs="宋体"/>
          <w:b w:val="0"/>
          <w:bCs w:val="0"/>
          <w:sz w:val="32"/>
          <w:szCs w:val="32"/>
        </w:rPr>
        <w:t>评价结论</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认真组织开展整体支出绩效自评，自评等级“良好”。</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存在的问题及原因分析</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预算编制不够明确和细化，预算编制的合理性需要提高，预算执行力还要进一步加强。资金使用效益有待进一步提高，绩效目标设立不够明确、细化和量化。</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人员素质有待提高。由于人员变动，单位对相关绩效管理业务的熟练，加上缺乏系统的培训，业务操作水平有限。</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改进措施及有关建议</w:t>
      </w:r>
    </w:p>
    <w:p>
      <w:pPr>
        <w:widowControl/>
        <w:spacing w:line="600" w:lineRule="exact"/>
        <w:ind w:firstLine="645"/>
        <w:jc w:val="left"/>
        <w:rPr>
          <w:rFonts w:hint="eastAsia" w:ascii="宋体" w:hAnsi="宋体" w:eastAsia="宋体" w:cs="宋体"/>
          <w:kern w:val="0"/>
          <w:sz w:val="32"/>
          <w:szCs w:val="32"/>
          <w:lang w:val="en-US" w:eastAsia="zh-CN" w:bidi="ar"/>
        </w:rPr>
      </w:pPr>
      <w:r>
        <w:rPr>
          <w:rFonts w:hint="eastAsia" w:ascii="宋体" w:hAnsi="宋体" w:eastAsia="宋体" w:cs="宋体"/>
          <w:sz w:val="32"/>
          <w:szCs w:val="32"/>
        </w:rPr>
        <w:t>（一）</w:t>
      </w:r>
      <w:r>
        <w:rPr>
          <w:rFonts w:hint="eastAsia" w:ascii="宋体" w:hAnsi="宋体" w:eastAsia="宋体" w:cs="宋体"/>
          <w:kern w:val="0"/>
          <w:sz w:val="32"/>
          <w:szCs w:val="32"/>
          <w:lang w:val="en-US" w:eastAsia="zh-CN" w:bidi="ar"/>
        </w:rPr>
        <w:t>细化预算编制工作，认真做好预算的编制。进一步加强内设机构的预算管理意识，严格按照预算编制的相关制度和要求进行预算编制。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（二）加强政策学习，提高思想认识。组织相关人员认真学习《会计法》、《预算法》等相关法规、制度，提高业务人员的业务水平及思想认识，为绩效评价工作夯实基础。</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429"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851"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   指标</w:t>
            </w:r>
          </w:p>
        </w:tc>
        <w:tc>
          <w:tcPr>
            <w:tcW w:w="567"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分值</w:t>
            </w:r>
          </w:p>
        </w:tc>
        <w:tc>
          <w:tcPr>
            <w:tcW w:w="3118"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评价标准</w:t>
            </w:r>
          </w:p>
        </w:tc>
        <w:tc>
          <w:tcPr>
            <w:tcW w:w="3472" w:type="dxa"/>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c>
          <w:tcPr>
            <w:tcW w:w="617" w:type="dxa"/>
            <w:noWrap/>
            <w:vAlign w:val="center"/>
          </w:tcPr>
          <w:p>
            <w:pPr>
              <w:widowControl/>
              <w:jc w:val="center"/>
              <w:rPr>
                <w:rFonts w:ascii="宋体" w:hAnsi="宋体" w:eastAsia="宋体" w:cs="宋体"/>
                <w:b/>
                <w:bCs/>
                <w:kern w:val="0"/>
                <w:sz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noWrap/>
            <w:vAlign w:val="center"/>
          </w:tcPr>
          <w:p>
            <w:pPr>
              <w:widowControl/>
              <w:jc w:val="center"/>
              <w:rPr>
                <w:rFonts w:ascii="仿宋_GB2312" w:hAnsi="宋体" w:eastAsia="仿宋_GB2312" w:cs="宋体"/>
                <w:kern w:val="0"/>
                <w:sz w:val="20"/>
                <w:szCs w:val="20"/>
              </w:rPr>
            </w:pPr>
          </w:p>
        </w:tc>
        <w:tc>
          <w:tcPr>
            <w:tcW w:w="567" w:type="dxa"/>
            <w:vMerge w:val="continue"/>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非税收入完成率=（2021年度非税实际收入完成数/2021年度非税收入预算数）×100%，有减免因素的，以非税局确定的为准。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textDirection w:val="tbRlV"/>
            <w:vAlign w:val="center"/>
          </w:tcPr>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widowControl/>
              <w:jc w:val="center"/>
              <w:rPr>
                <w:rFonts w:ascii="仿宋_GB2312" w:hAnsi="宋体" w:eastAsia="仿宋_GB2312" w:cs="宋体"/>
                <w:kern w:val="0"/>
                <w:sz w:val="20"/>
                <w:szCs w:val="20"/>
              </w:rPr>
            </w:pPr>
          </w:p>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left"/>
              <w:rPr>
                <w:rFonts w:ascii="仿宋_GB2312" w:hAnsi="宋体" w:eastAsia="仿宋_GB2312" w:cs="宋体"/>
                <w:kern w:val="0"/>
                <w:sz w:val="20"/>
                <w:szCs w:val="20"/>
              </w:rPr>
            </w:pP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rPr>
                <w:rFonts w:ascii="仿宋_GB2312" w:hAnsi="宋体" w:eastAsia="仿宋_GB2312" w:cs="宋体"/>
                <w:kern w:val="0"/>
                <w:sz w:val="20"/>
                <w:szCs w:val="20"/>
              </w:rPr>
            </w:pPr>
          </w:p>
        </w:tc>
        <w:tc>
          <w:tcPr>
            <w:tcW w:w="3118" w:type="dxa"/>
            <w:tcBorders>
              <w:top w:val="single" w:color="auto" w:sz="4" w:space="0"/>
            </w:tcBorders>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ign w:val="center"/>
          </w:tcPr>
          <w:p>
            <w:pPr>
              <w:jc w:val="center"/>
              <w:rPr>
                <w:rFonts w:ascii="仿宋_GB2312" w:hAnsi="宋体" w:eastAsia="仿宋_GB2312" w:cs="宋体"/>
                <w:kern w:val="0"/>
                <w:sz w:val="20"/>
                <w:szCs w:val="20"/>
              </w:rPr>
            </w:pPr>
          </w:p>
        </w:tc>
        <w:tc>
          <w:tcPr>
            <w:tcW w:w="851"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ign w:val="center"/>
          </w:tcPr>
          <w:p>
            <w:pPr>
              <w:widowControl/>
              <w:jc w:val="left"/>
              <w:rPr>
                <w:rFonts w:ascii="仿宋_GB2312" w:hAnsi="宋体" w:eastAsia="仿宋_GB2312" w:cs="宋体"/>
                <w:kern w:val="0"/>
                <w:sz w:val="20"/>
                <w:szCs w:val="20"/>
              </w:rPr>
            </w:pPr>
          </w:p>
        </w:tc>
        <w:tc>
          <w:tcPr>
            <w:tcW w:w="617" w:type="dxa"/>
            <w:tcBorders>
              <w:top w:val="single" w:color="auto" w:sz="4" w:space="0"/>
            </w:tcBorders>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tcBorders>
            <w:noWrap/>
            <w:vAlign w:val="center"/>
          </w:tcPr>
          <w:p>
            <w:pPr>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ign w:val="center"/>
          </w:tcPr>
          <w:p>
            <w:pPr>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2021年度部门整体支出绩效目标的，2分；③在规定时间内报送、公开以上目标的，2分，否则不得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ign w:val="center"/>
          </w:tcPr>
          <w:p>
            <w:pPr>
              <w:widowControl/>
              <w:jc w:val="left"/>
              <w:rPr>
                <w:rFonts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ign w:val="center"/>
          </w:tcPr>
          <w:p>
            <w:pPr>
              <w:jc w:val="center"/>
              <w:rPr>
                <w:rFonts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ign w:val="center"/>
          </w:tcPr>
          <w:p>
            <w:pPr>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ign w:val="center"/>
          </w:tcPr>
          <w:p>
            <w:pPr>
              <w:autoSpaceDN w:val="0"/>
              <w:jc w:val="left"/>
              <w:textAlignment w:val="center"/>
              <w:rPr>
                <w:rFonts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textDirection w:val="tbRlV"/>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工作</w:t>
            </w:r>
          </w:p>
          <w:p>
            <w:pPr>
              <w:rPr>
                <w:rFonts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ign w:val="center"/>
          </w:tcPr>
          <w:p>
            <w:pPr>
              <w:rPr>
                <w:rFonts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ign w:val="center"/>
          </w:tcPr>
          <w:p>
            <w:pPr>
              <w:jc w:val="left"/>
              <w:rPr>
                <w:rFonts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ign w:val="center"/>
          </w:tcPr>
          <w:p>
            <w:pPr>
              <w:autoSpaceDN w:val="0"/>
              <w:jc w:val="left"/>
              <w:textAlignment w:val="center"/>
              <w:rPr>
                <w:rFonts w:ascii="仿宋_GB2312" w:hAnsi="宋体" w:eastAsia="仿宋_GB2312" w:cs="宋体"/>
                <w:kern w:val="0"/>
                <w:sz w:val="20"/>
                <w:szCs w:val="20"/>
              </w:rPr>
            </w:pPr>
          </w:p>
        </w:tc>
        <w:tc>
          <w:tcPr>
            <w:tcW w:w="617" w:type="dxa"/>
            <w:noWrap/>
            <w:vAlign w:val="center"/>
          </w:tcPr>
          <w:p>
            <w:pPr>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此三项指标可根据部门实际并结合2021年度部门整体支出绩效目标设立情况有选择的进行评价。</w:t>
            </w:r>
          </w:p>
        </w:tc>
        <w:tc>
          <w:tcPr>
            <w:tcW w:w="617" w:type="dxa"/>
            <w:vMerge w:val="restart"/>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ign w:val="center"/>
          </w:tcPr>
          <w:p>
            <w:pPr>
              <w:widowControl/>
              <w:rPr>
                <w:rFonts w:ascii="仿宋_GB2312" w:hAnsi="宋体" w:eastAsia="仿宋_GB2312" w:cs="宋体"/>
                <w:kern w:val="0"/>
                <w:sz w:val="20"/>
                <w:szCs w:val="20"/>
              </w:rPr>
            </w:pPr>
          </w:p>
        </w:tc>
        <w:tc>
          <w:tcPr>
            <w:tcW w:w="6590" w:type="dxa"/>
            <w:gridSpan w:val="2"/>
            <w:vMerge w:val="continue"/>
            <w:noWrap/>
            <w:vAlign w:val="center"/>
          </w:tcPr>
          <w:p>
            <w:pPr>
              <w:widowControl/>
              <w:jc w:val="left"/>
              <w:rPr>
                <w:rFonts w:ascii="仿宋_GB2312" w:hAnsi="宋体" w:eastAsia="仿宋_GB2312" w:cs="宋体"/>
                <w:kern w:val="0"/>
                <w:sz w:val="20"/>
                <w:szCs w:val="20"/>
              </w:rPr>
            </w:pPr>
          </w:p>
        </w:tc>
        <w:tc>
          <w:tcPr>
            <w:tcW w:w="617" w:type="dxa"/>
            <w:vMerge w:val="continue"/>
            <w:noWrap/>
            <w:vAlign w:val="center"/>
          </w:tcPr>
          <w:p>
            <w:pPr>
              <w:widowControl/>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ign w:val="center"/>
          </w:tcPr>
          <w:p>
            <w:pPr>
              <w:widowControl/>
              <w:jc w:val="center"/>
              <w:rPr>
                <w:rFonts w:ascii="仿宋_GB2312" w:hAnsi="宋体" w:eastAsia="仿宋_GB2312" w:cs="宋体"/>
                <w:kern w:val="0"/>
                <w:sz w:val="20"/>
                <w:szCs w:val="20"/>
              </w:rPr>
            </w:pPr>
          </w:p>
        </w:tc>
        <w:tc>
          <w:tcPr>
            <w:tcW w:w="851"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ign w:val="center"/>
          </w:tcPr>
          <w:p>
            <w:pPr>
              <w:widowControl/>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ign w:val="center"/>
          </w:tcPr>
          <w:p>
            <w:pPr>
              <w:widowControl/>
              <w:jc w:val="left"/>
              <w:rPr>
                <w:rFonts w:ascii="仿宋_GB2312" w:hAnsi="宋体" w:eastAsia="仿宋_GB2312" w:cs="宋体"/>
                <w:kern w:val="0"/>
                <w:sz w:val="20"/>
                <w:szCs w:val="20"/>
              </w:rPr>
            </w:pPr>
          </w:p>
        </w:tc>
        <w:tc>
          <w:tcPr>
            <w:tcW w:w="617" w:type="dxa"/>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90</w:t>
            </w:r>
          </w:p>
        </w:tc>
      </w:tr>
    </w:tbl>
    <w:p>
      <w:pPr>
        <w:spacing w:line="600" w:lineRule="exact"/>
        <w:rPr>
          <w:rFonts w:ascii="宋体" w:hAnsi="宋体" w:cs="宋体"/>
          <w:kern w:val="0"/>
          <w:sz w:val="32"/>
          <w:szCs w:val="32"/>
        </w:rPr>
      </w:pPr>
    </w:p>
    <w:p>
      <w:pPr>
        <w:pStyle w:val="2"/>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AA82F546"/>
    <w:multiLevelType w:val="singleLevel"/>
    <w:tmpl w:val="AA82F546"/>
    <w:lvl w:ilvl="0" w:tentative="0">
      <w:start w:val="1"/>
      <w:numFmt w:val="decimal"/>
      <w:suff w:val="nothing"/>
      <w:lvlText w:val="%1、"/>
      <w:lvlJc w:val="left"/>
    </w:lvl>
  </w:abstractNum>
  <w:abstractNum w:abstractNumId="2">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6D6F3B"/>
    <w:rsid w:val="00D51644"/>
    <w:rsid w:val="025D08EA"/>
    <w:rsid w:val="02A74CAA"/>
    <w:rsid w:val="02AE7D30"/>
    <w:rsid w:val="0401638F"/>
    <w:rsid w:val="05213482"/>
    <w:rsid w:val="06FD0684"/>
    <w:rsid w:val="09E17252"/>
    <w:rsid w:val="0C9F6413"/>
    <w:rsid w:val="0D5E3707"/>
    <w:rsid w:val="10B70E37"/>
    <w:rsid w:val="11E84674"/>
    <w:rsid w:val="126C42B4"/>
    <w:rsid w:val="17042185"/>
    <w:rsid w:val="17546308"/>
    <w:rsid w:val="17B648CC"/>
    <w:rsid w:val="17DD6E2C"/>
    <w:rsid w:val="191A5DFC"/>
    <w:rsid w:val="1AED7481"/>
    <w:rsid w:val="1D9A1B96"/>
    <w:rsid w:val="1F010C8F"/>
    <w:rsid w:val="20F63895"/>
    <w:rsid w:val="21A92AB0"/>
    <w:rsid w:val="22030E7C"/>
    <w:rsid w:val="23BE3486"/>
    <w:rsid w:val="26166273"/>
    <w:rsid w:val="283A2AB0"/>
    <w:rsid w:val="28565BEC"/>
    <w:rsid w:val="2ADF1D1C"/>
    <w:rsid w:val="2B032004"/>
    <w:rsid w:val="2C3A1B18"/>
    <w:rsid w:val="2C7529D1"/>
    <w:rsid w:val="2D6C05C8"/>
    <w:rsid w:val="2DB256DE"/>
    <w:rsid w:val="2F064022"/>
    <w:rsid w:val="3619015E"/>
    <w:rsid w:val="36334246"/>
    <w:rsid w:val="36E22B02"/>
    <w:rsid w:val="375C4F25"/>
    <w:rsid w:val="37A26170"/>
    <w:rsid w:val="37AC5E54"/>
    <w:rsid w:val="38AF35DE"/>
    <w:rsid w:val="38F247D2"/>
    <w:rsid w:val="3A365ACD"/>
    <w:rsid w:val="3B9303B2"/>
    <w:rsid w:val="3C5D6B3D"/>
    <w:rsid w:val="3C8416D7"/>
    <w:rsid w:val="3D1D5E40"/>
    <w:rsid w:val="3FAB09ED"/>
    <w:rsid w:val="44AF5D78"/>
    <w:rsid w:val="45833892"/>
    <w:rsid w:val="45CB4E15"/>
    <w:rsid w:val="462F1B6A"/>
    <w:rsid w:val="47D12ED9"/>
    <w:rsid w:val="492E7EB7"/>
    <w:rsid w:val="49F7299F"/>
    <w:rsid w:val="4A4754D4"/>
    <w:rsid w:val="4ACA7AAB"/>
    <w:rsid w:val="4B991F60"/>
    <w:rsid w:val="4C455C43"/>
    <w:rsid w:val="4D113C42"/>
    <w:rsid w:val="4E58558A"/>
    <w:rsid w:val="4F3501F1"/>
    <w:rsid w:val="4FB97D79"/>
    <w:rsid w:val="514A0D2E"/>
    <w:rsid w:val="52C04276"/>
    <w:rsid w:val="53202F66"/>
    <w:rsid w:val="54517DF8"/>
    <w:rsid w:val="55C776C9"/>
    <w:rsid w:val="575435C3"/>
    <w:rsid w:val="58CA4CA4"/>
    <w:rsid w:val="59A70B1E"/>
    <w:rsid w:val="59E60318"/>
    <w:rsid w:val="59E6787C"/>
    <w:rsid w:val="5A90351D"/>
    <w:rsid w:val="5C8E7193"/>
    <w:rsid w:val="5CBC5F90"/>
    <w:rsid w:val="5E6D1153"/>
    <w:rsid w:val="5F83500A"/>
    <w:rsid w:val="600F6B1B"/>
    <w:rsid w:val="60745B56"/>
    <w:rsid w:val="611076B5"/>
    <w:rsid w:val="61371BA7"/>
    <w:rsid w:val="641F097E"/>
    <w:rsid w:val="65236940"/>
    <w:rsid w:val="65C43C25"/>
    <w:rsid w:val="664A41B0"/>
    <w:rsid w:val="66D16D4F"/>
    <w:rsid w:val="66FE6113"/>
    <w:rsid w:val="6B874FA2"/>
    <w:rsid w:val="6C3C4515"/>
    <w:rsid w:val="6C6B54E9"/>
    <w:rsid w:val="6CB322FE"/>
    <w:rsid w:val="6FD52562"/>
    <w:rsid w:val="70246EC1"/>
    <w:rsid w:val="70514092"/>
    <w:rsid w:val="70852420"/>
    <w:rsid w:val="71881FAB"/>
    <w:rsid w:val="722B120E"/>
    <w:rsid w:val="72DA6836"/>
    <w:rsid w:val="73125FD0"/>
    <w:rsid w:val="734F209E"/>
    <w:rsid w:val="74A57A08"/>
    <w:rsid w:val="76DC35F5"/>
    <w:rsid w:val="7832658D"/>
    <w:rsid w:val="79074D5F"/>
    <w:rsid w:val="7A21330E"/>
    <w:rsid w:val="7AF745AA"/>
    <w:rsid w:val="7B7D06A6"/>
    <w:rsid w:val="7BA62A3A"/>
    <w:rsid w:val="7CF23984"/>
    <w:rsid w:val="7D3D1E9B"/>
    <w:rsid w:val="7EEE7268"/>
    <w:rsid w:val="7F06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semiHidden/>
    <w:qFormat/>
    <w:uiPriority w:val="99"/>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0CC04C7DAEDC4F9FAA92C24277F066E7_13</vt:lpwstr>
  </property>
</Properties>
</file>