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邵阳市北塔区统计局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8"/>
      </w:pPr>
    </w:p>
    <w:p>
      <w:pPr>
        <w:pStyle w:val="8"/>
      </w:pPr>
    </w:p>
    <w:p>
      <w:pPr>
        <w:pStyle w:val="25"/>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pStyle w:val="26"/>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_Toc1439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一、</w:t>
          </w:r>
          <w:r>
            <w:rPr>
              <w:rFonts w:hint="default" w:ascii="Times New Roman" w:hAnsi="Times New Roman" w:eastAsia="仿宋" w:cs="Times New Roman"/>
              <w:bCs/>
              <w:sz w:val="30"/>
              <w:szCs w:val="30"/>
              <w:lang w:val="en-US" w:eastAsia="zh-CN"/>
            </w:rPr>
            <w:t>单位基本情况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_Toc1439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_Toc10753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（一）部门概况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_Toc10753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_Toc18617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（二）主要职责</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_Toc18617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_Toc4586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（三）人员情况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_Toc4586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_Toc11136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二、</w:t>
          </w:r>
          <w:r>
            <w:rPr>
              <w:rFonts w:hint="default" w:ascii="Times New Roman" w:hAnsi="Times New Roman" w:eastAsia="仿宋" w:cs="Times New Roman"/>
              <w:bCs/>
              <w:kern w:val="2"/>
              <w:sz w:val="30"/>
              <w:szCs w:val="30"/>
              <w:highlight w:val="none"/>
              <w:lang w:val="en-US" w:eastAsia="zh-CN" w:bidi="ar-SA"/>
            </w:rPr>
            <w:t>部门整体收支情况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_Toc11136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_Toc4018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（一）资金收入情况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_Toc4018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_Toc24304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（二）资金支出情况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_Toc24304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_Toc4521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highlight w:val="none"/>
              <w:lang w:val="en-US" w:eastAsia="zh-CN"/>
            </w:rPr>
            <w:t>资金管理情况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_Toc4521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_Toc7252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三、制度建设情况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_Toc7252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_Toc18241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（一）内控制度建设情况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_Toc18241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_Toc2911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（二）资产管理制度建设及使用情况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_Toc2911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_Toc16193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（三）政府采购制度建设情况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_Toc16193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_Toc30235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四、第三方重点绩效评价工作情况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_Toc30235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_Toc8319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（一）重点绩效评价目的</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_Toc8319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_Toc8489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（二）重点绩效评价工作过程</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_Toc8489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_Toc6555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五、部门整体支出绩效情况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_Toc6555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_Toc4903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default" w:ascii="Times New Roman" w:hAnsi="Times New Roman" w:eastAsia="仿宋" w:cs="Times New Roman"/>
              <w:bCs/>
              <w:sz w:val="30"/>
              <w:szCs w:val="30"/>
              <w:highlight w:val="none"/>
              <w:lang w:val="en-US" w:eastAsia="zh-CN"/>
            </w:rPr>
            <w:t>一）部门整体实际产出情况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_Toc4903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_Toc18250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（二）部门整体效益情况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_Toc18250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_Toc11046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（三）部门整体满意度</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_Toc11046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_Toc14525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六、综合评价情况及评价结论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_Toc14525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_Toc9481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七</w:t>
          </w:r>
          <w:r>
            <w:rPr>
              <w:rFonts w:hint="default" w:ascii="Times New Roman" w:hAnsi="Times New Roman" w:eastAsia="仿宋" w:cs="Times New Roman"/>
              <w:bCs/>
              <w:kern w:val="2"/>
              <w:sz w:val="30"/>
              <w:szCs w:val="30"/>
              <w:highlight w:val="none"/>
              <w:lang w:val="en-US" w:eastAsia="zh-CN" w:bidi="ar-SA"/>
            </w:rPr>
            <w:t>、存在的主要问题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_Toc9481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_Toc4125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（一）政府采购方面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_Toc4125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_Toc12644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（二）资产管理方面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_Toc12644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_Toc14638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highlight w:val="none"/>
              <w:lang w:val="en-US" w:eastAsia="zh-CN" w:bidi="ar-SA"/>
            </w:rPr>
            <w:t>八、相关建议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_Toc14638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_Toc8350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（一）加强政府采购管理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_Toc8350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_Toc27474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（二）规范资产管理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_Toc27474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_Toc10203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九、报告使用情况说明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_Toc10203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bookmarkStart w:id="40" w:name="_GoBack"/>
      <w:bookmarkEnd w:id="40"/>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both"/>
        <w:rPr>
          <w:rFonts w:hint="default" w:ascii="Times New Roman Regular" w:hAnsi="Times New Roman Regular" w:eastAsia="仿宋" w:cs="Times New Roman Regular"/>
          <w:b/>
          <w:bCs/>
          <w:sz w:val="33"/>
          <w:lang w:val="en-US" w:eastAsia="zh-CN"/>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79</w:t>
      </w:r>
      <w:r>
        <w:rPr>
          <w:rFonts w:hint="default" w:ascii="Times New Roman Regular" w:hAnsi="Times New Roman Regular" w:eastAsia="仿宋" w:cs="Times New Roman Regular"/>
          <w:b/>
          <w:bCs/>
          <w:sz w:val="33"/>
          <w:lang w:val="en-US" w:eastAsia="zh-CN"/>
        </w:rPr>
        <w:t>号</w:t>
      </w:r>
    </w:p>
    <w:p>
      <w:pPr>
        <w:pStyle w:val="20"/>
        <w:ind w:left="0" w:leftChars="0" w:firstLine="0" w:firstLineChars="0"/>
        <w:rPr>
          <w:rFonts w:hint="default"/>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邵阳市北塔区统计局</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pStyle w:val="20"/>
        <w:ind w:left="0" w:leftChars="0" w:firstLine="0" w:firstLineChars="0"/>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邵阳市北塔区统计局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1439"/>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 w:name="_Toc10753"/>
      <w:r>
        <w:rPr>
          <w:rFonts w:hint="default" w:ascii="Times New Roman Regular" w:hAnsi="Times New Roman Regular" w:eastAsia="楷体" w:cs="Times New Roman Regular"/>
          <w:b/>
          <w:bCs/>
          <w:sz w:val="32"/>
          <w:szCs w:val="32"/>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邵阳市北塔区统计局（以下简称“统计局”）是邵阳市北塔区人民政府直属的正科级公益一类全额拨款事业单位。下设办公室、综合统计股、农业财贸投资统计股和工业交通能源统计股4个内设机构。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18617"/>
      <w:r>
        <w:rPr>
          <w:rFonts w:hint="default" w:ascii="Times New Roman Regular" w:hAnsi="Times New Roman Regular" w:eastAsia="楷体" w:cs="Times New Roman Regular"/>
          <w:b/>
          <w:bCs/>
          <w:sz w:val="32"/>
          <w:szCs w:val="32"/>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统计局主要职责为：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1、贯彻执行国家统计工作的方针、政策和统计法律法规，研究统计制度和统计方法的改革，完成国家和地方统计调查任务；承担组织领导和协调全区统计工作，确保统计数据真实、准确、及时；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监督检查统计法律法规的实施情况，查处各类统计违法行为。制定并组织实施全区统计改革和统计现代化建设规划及统计调查计划，建立健全国民经济核算体系和统计指标体系，组织实施全区国民经济核算制度和全区投入产出调查，核算全区地方生产总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3、拟订重大普查计划与方案，组织实施全区人口、经济、农业等重大普查，汇总、整理和提供有关方面的统计信息；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4、组织实施农林牧渔业、畜禽调查、畜禽监测、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5、组织实施能源、投资、消费、价格、收入、科技、人口、劳动力、社会发展基本情况、环境基本状况等统计调查，收集、汇总、整理和提供有关调查的统计数据，综合整理和提供资源、房屋、对外贸易、对外经济等全区性基本统计数据。组织各乡办、各部门的经济、社会、科技和资源环境统计调查；统一核实、管理、公布全区性基本统计资料，定期发布全区国民经济和社会发展情况的统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6、组织建立服务业统计信息管理制度、共享制度和发布制度。对国民经济、社会发展、科技进步和资源环境等情况进行统计分析、统计预测和统计监督，向区委、区政府及有关部门提供统计信息和咨询建议；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7、建立健全和管理全区统计信息自动化系统和统计数据库体系，指导各级基层单位加强统计基础建设。会同有关部门承办全区统计专业资格考试和职称评审有关工作，组织指导全区统计科研、统计教育、统计宣传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8、承担区委、区人民政府交办的其他事项。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4586"/>
      <w:r>
        <w:rPr>
          <w:rFonts w:hint="default" w:ascii="Times New Roman Regular" w:hAnsi="Times New Roman Regular" w:eastAsia="楷体" w:cs="Times New Roman Regular"/>
          <w:b/>
          <w:bCs/>
          <w:sz w:val="32"/>
          <w:szCs w:val="32"/>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统计局2022年度</w:t>
      </w:r>
      <w:r>
        <w:rPr>
          <w:rFonts w:hint="eastAsia" w:ascii="Times New Roman Regular" w:hAnsi="Times New Roman Regular" w:eastAsia="仿宋" w:cs="Times New Roman Regular"/>
          <w:b w:val="0"/>
          <w:bCs w:val="0"/>
          <w:color w:val="auto"/>
          <w:sz w:val="32"/>
          <w:szCs w:val="32"/>
          <w:lang w:val="en-US" w:eastAsia="zh-CN"/>
        </w:rPr>
        <w:t>实有人员14名（在职干部职工11人，临聘人员3人）。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highlight w:val="none"/>
          <w:lang w:val="en-US" w:eastAsia="zh-CN"/>
        </w:rPr>
      </w:pPr>
      <w:bookmarkStart w:id="4" w:name="_Toc11136"/>
      <w:r>
        <w:rPr>
          <w:rFonts w:hint="default" w:ascii="Times New Roman Regular" w:hAnsi="Times New Roman Regular" w:eastAsia="黑体" w:cs="Times New Roman Regular"/>
          <w:b/>
          <w:bCs/>
          <w:kern w:val="2"/>
          <w:sz w:val="32"/>
          <w:szCs w:val="32"/>
          <w:lang w:val="en-US" w:eastAsia="zh-CN" w:bidi="ar-SA"/>
        </w:rPr>
        <w:t>二、</w:t>
      </w:r>
      <w:r>
        <w:rPr>
          <w:rFonts w:hint="default" w:ascii="Times New Roman Regular" w:hAnsi="Times New Roman Regular" w:eastAsia="黑体" w:cs="Times New Roman Regular"/>
          <w:b/>
          <w:bCs/>
          <w:kern w:val="2"/>
          <w:sz w:val="32"/>
          <w:szCs w:val="32"/>
          <w:highlight w:val="none"/>
          <w:lang w:val="en-US" w:eastAsia="zh-CN" w:bidi="ar-SA"/>
        </w:rPr>
        <w:t>部门整体收支情况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4018"/>
      <w:r>
        <w:rPr>
          <w:rFonts w:hint="default" w:ascii="Times New Roman Regular" w:hAnsi="Times New Roman Regular" w:eastAsia="楷体" w:cs="Times New Roman Regular"/>
          <w:b/>
          <w:bCs/>
          <w:sz w:val="32"/>
          <w:szCs w:val="32"/>
          <w:lang w:val="en-US" w:eastAsia="zh-CN"/>
        </w:rPr>
        <w:t>（一）资金收入情况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2022年度部门</w:t>
      </w:r>
      <w:r>
        <w:rPr>
          <w:rFonts w:hint="default" w:ascii="Times New Roman Regular" w:hAnsi="Times New Roman Regular" w:eastAsia="仿宋" w:cs="Times New Roman Regular"/>
          <w:b w:val="0"/>
          <w:bCs w:val="0"/>
          <w:sz w:val="32"/>
          <w:szCs w:val="32"/>
          <w:lang w:eastAsia="zh-CN"/>
        </w:rPr>
        <w:t>预</w:t>
      </w:r>
      <w:r>
        <w:rPr>
          <w:rFonts w:hint="default" w:ascii="Times New Roman Regular" w:hAnsi="Times New Roman Regular" w:eastAsia="仿宋" w:cs="Times New Roman Regular"/>
          <w:b w:val="0"/>
          <w:bCs w:val="0"/>
          <w:sz w:val="32"/>
          <w:szCs w:val="32"/>
          <w:lang w:val="en-US" w:eastAsia="zh-CN"/>
        </w:rPr>
        <w:t>决算报表，2022</w:t>
      </w:r>
      <w:r>
        <w:rPr>
          <w:rFonts w:hint="eastAsia" w:ascii="Times New Roman Regular" w:hAnsi="Times New Roman Regular" w:eastAsia="仿宋" w:cs="Times New Roman Regular"/>
          <w:b w:val="0"/>
          <w:bCs w:val="0"/>
          <w:sz w:val="32"/>
          <w:szCs w:val="32"/>
          <w:lang w:val="en-US" w:eastAsia="zh-CN"/>
        </w:rPr>
        <w:t>年度部门收入</w:t>
      </w:r>
      <w:r>
        <w:rPr>
          <w:rFonts w:hint="default" w:ascii="Times New Roman Regular" w:hAnsi="Times New Roman Regular" w:eastAsia="仿宋" w:cs="Times New Roman Regular"/>
          <w:b w:val="0"/>
          <w:bCs w:val="0"/>
          <w:sz w:val="32"/>
          <w:szCs w:val="32"/>
          <w:lang w:eastAsia="zh-CN"/>
        </w:rPr>
        <w:t>预算数163.41万元，其中：一般公共预算拨款收入163.41万元；</w:t>
      </w:r>
      <w:r>
        <w:rPr>
          <w:rFonts w:hint="eastAsia" w:ascii="Times New Roman Regular" w:hAnsi="Times New Roman Regular" w:eastAsia="仿宋" w:cs="Times New Roman Regular"/>
          <w:b w:val="0"/>
          <w:bCs w:val="0"/>
          <w:sz w:val="32"/>
          <w:szCs w:val="32"/>
          <w:lang w:val="en-US" w:eastAsia="zh-CN"/>
        </w:rPr>
        <w:t>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210.25</w:t>
      </w:r>
      <w:r>
        <w:rPr>
          <w:rFonts w:hint="default" w:ascii="Times New Roman Regular" w:hAnsi="Times New Roman Regular" w:eastAsia="仿宋" w:cs="Times New Roman Regular"/>
          <w:b w:val="0"/>
          <w:bCs w:val="0"/>
          <w:sz w:val="32"/>
          <w:szCs w:val="32"/>
          <w:lang w:val="en-US" w:eastAsia="zh-CN"/>
        </w:rPr>
        <w:t>万元，其中</w:t>
      </w:r>
      <w:r>
        <w:rPr>
          <w:rFonts w:hint="default" w:ascii="Times New Roman Regular" w:hAnsi="Times New Roman Regular" w:eastAsia="仿宋" w:cs="Times New Roman Regular"/>
          <w:b w:val="0"/>
          <w:bCs w:val="0"/>
          <w:sz w:val="32"/>
          <w:szCs w:val="32"/>
          <w:lang w:eastAsia="zh-CN"/>
        </w:rPr>
        <w:t>：</w:t>
      </w:r>
      <w:r>
        <w:rPr>
          <w:rFonts w:hint="default" w:ascii="Times New Roman Regular" w:hAnsi="Times New Roman Regular" w:eastAsia="仿宋" w:cs="Times New Roman Regular"/>
          <w:b w:val="0"/>
          <w:bCs w:val="0"/>
          <w:sz w:val="32"/>
          <w:szCs w:val="32"/>
          <w:lang w:val="en-US" w:eastAsia="zh-CN"/>
        </w:rPr>
        <w:t>一般公共预算财政拨款收入</w:t>
      </w:r>
      <w:r>
        <w:rPr>
          <w:rFonts w:hint="eastAsia" w:ascii="Times New Roman Regular" w:hAnsi="Times New Roman Regular" w:eastAsia="仿宋" w:cs="Times New Roman Regular"/>
          <w:b w:val="0"/>
          <w:bCs w:val="0"/>
          <w:sz w:val="32"/>
          <w:szCs w:val="32"/>
          <w:lang w:val="en-US" w:eastAsia="zh-CN"/>
        </w:rPr>
        <w:t>208.92</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1.33</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6" w:name="_Toc24304"/>
      <w:r>
        <w:rPr>
          <w:rFonts w:hint="default" w:ascii="Times New Roman Regular" w:hAnsi="Times New Roman Regular" w:eastAsia="楷体" w:cs="Times New Roman Regular"/>
          <w:b/>
          <w:bCs/>
          <w:sz w:val="32"/>
          <w:szCs w:val="32"/>
          <w:lang w:val="en-US" w:eastAsia="zh-CN"/>
        </w:rPr>
        <w:t>（二）资金</w:t>
      </w:r>
      <w:r>
        <w:rPr>
          <w:rFonts w:hint="eastAsia" w:ascii="Times New Roman Regular" w:hAnsi="Times New Roman Regular" w:eastAsia="楷体" w:cs="Times New Roman Regular"/>
          <w:b/>
          <w:bCs/>
          <w:sz w:val="32"/>
          <w:szCs w:val="32"/>
          <w:lang w:val="en-US" w:eastAsia="zh-CN"/>
        </w:rPr>
        <w:t>支出</w:t>
      </w:r>
      <w:r>
        <w:rPr>
          <w:rFonts w:hint="default" w:ascii="Times New Roman Regular" w:hAnsi="Times New Roman Regular" w:eastAsia="楷体" w:cs="Times New Roman Regular"/>
          <w:b/>
          <w:bCs/>
          <w:sz w:val="32"/>
          <w:szCs w:val="32"/>
          <w:lang w:val="en-US" w:eastAsia="zh-CN"/>
        </w:rPr>
        <w:t>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210.25</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210.25</w:t>
      </w:r>
      <w:r>
        <w:rPr>
          <w:rFonts w:hint="default" w:ascii="Times New Roman Regular" w:hAnsi="Times New Roman Regular" w:eastAsia="仿宋" w:cs="Times New Roman Regular"/>
          <w:b w:val="0"/>
          <w:bCs w:val="0"/>
          <w:sz w:val="32"/>
          <w:szCs w:val="32"/>
          <w:lang w:val="en-US" w:eastAsia="zh-CN"/>
        </w:rPr>
        <w:t>万元，项目支出</w:t>
      </w:r>
      <w:r>
        <w:rPr>
          <w:rFonts w:hint="eastAsia" w:ascii="Times New Roman Regular" w:hAnsi="Times New Roman Regular" w:eastAsia="仿宋" w:cs="Times New Roman Regular"/>
          <w:b w:val="0"/>
          <w:bCs w:val="0"/>
          <w:sz w:val="32"/>
          <w:szCs w:val="32"/>
          <w:lang w:val="en-US" w:eastAsia="zh-CN"/>
        </w:rPr>
        <w:t>0</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210.25</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w:t>
      </w:r>
      <w:r>
        <w:rPr>
          <w:rFonts w:hint="eastAsia" w:ascii="Times New Roman Regular" w:hAnsi="Times New Roman Regular" w:eastAsia="仿宋" w:cs="Times New Roman Regular"/>
          <w:b w:val="0"/>
          <w:bCs w:val="0"/>
          <w:sz w:val="32"/>
          <w:szCs w:val="32"/>
          <w:lang w:val="en-US" w:eastAsia="zh-CN"/>
        </w:rPr>
        <w:t>208.92</w:t>
      </w:r>
      <w:r>
        <w:rPr>
          <w:rFonts w:hint="eastAsia" w:ascii="Times New Roman Regular" w:hAnsi="Times New Roman Regular" w:eastAsia="仿宋" w:cs="Times New Roman Regular"/>
          <w:b w:val="0"/>
          <w:bCs w:val="0"/>
          <w:color w:val="auto"/>
          <w:sz w:val="32"/>
          <w:szCs w:val="32"/>
          <w:lang w:val="en-US" w:eastAsia="zh-CN"/>
        </w:rPr>
        <w:t>万元（人员经费151.98万元，公用经费56.94万元），一般公共预算财政拨款支出中人员经费和公用经费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22"/>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1"/>
        <w:gridCol w:w="5013"/>
        <w:gridCol w:w="2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b/>
                <w:bCs/>
                <w:spacing w:val="-5"/>
                <w:sz w:val="18"/>
                <w:szCs w:val="18"/>
              </w:rPr>
              <w:t>序号</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b/>
                <w:bCs/>
                <w:spacing w:val="6"/>
                <w:sz w:val="18"/>
                <w:szCs w:val="18"/>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b/>
                <w:bCs/>
                <w:spacing w:val="4"/>
                <w:sz w:val="18"/>
                <w:szCs w:val="18"/>
              </w:rPr>
              <w:t>金额</w:t>
            </w:r>
            <w:r>
              <w:rPr>
                <w:rFonts w:hint="eastAsia" w:ascii="仿宋_GB2312" w:hAnsi="仿宋_GB2312" w:eastAsia="仿宋_GB2312" w:cs="仿宋_GB2312"/>
                <w:b/>
                <w:bCs/>
                <w:spacing w:val="4"/>
                <w:sz w:val="18"/>
                <w:szCs w:val="18"/>
                <w:lang w:eastAsia="zh-CN"/>
              </w:rPr>
              <w:t>（</w:t>
            </w:r>
            <w:r>
              <w:rPr>
                <w:rFonts w:hint="eastAsia" w:ascii="仿宋_GB2312" w:hAnsi="仿宋_GB2312" w:eastAsia="仿宋_GB2312" w:cs="仿宋_GB2312"/>
                <w:b/>
                <w:bCs/>
                <w:spacing w:val="4"/>
                <w:sz w:val="18"/>
                <w:szCs w:val="18"/>
              </w:rPr>
              <w:t>万元</w:t>
            </w:r>
            <w:r>
              <w:rPr>
                <w:rFonts w:hint="eastAsia" w:ascii="仿宋_GB2312" w:hAnsi="仿宋_GB2312" w:eastAsia="仿宋_GB2312" w:cs="仿宋_GB2312"/>
                <w:b/>
                <w:bCs/>
                <w:spacing w:val="4"/>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lang w:val="en-US" w:eastAsia="zh-CN"/>
              </w:rPr>
              <w:t>一</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b/>
                <w:bCs/>
                <w:spacing w:val="-5"/>
                <w:sz w:val="18"/>
                <w:szCs w:val="18"/>
              </w:rPr>
              <w:t>人员经费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151.98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bookmarkStart w:id="7" w:name="OLE_LINK1" w:colFirst="2" w:colLast="2"/>
            <w:r>
              <w:rPr>
                <w:rFonts w:hint="eastAsia" w:ascii="仿宋_GB2312" w:hAnsi="仿宋_GB2312" w:eastAsia="仿宋_GB2312" w:cs="仿宋_GB2312"/>
                <w:sz w:val="18"/>
                <w:szCs w:val="18"/>
                <w:lang w:val="en-US" w:eastAsia="zh-CN"/>
              </w:rPr>
              <w:t>1</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基本工资</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津贴补贴</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22.52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18"/>
                <w:szCs w:val="18"/>
                <w:lang w:val="en-US" w:eastAsia="zh-CN"/>
              </w:rPr>
            </w:pPr>
            <w:r>
              <w:rPr>
                <w:rFonts w:hint="eastAsia" w:ascii="仿宋_GB2312" w:hAnsi="仿宋_GB2312" w:eastAsia="仿宋_GB2312" w:cs="仿宋_GB2312"/>
                <w:sz w:val="18"/>
                <w:szCs w:val="18"/>
              </w:rPr>
              <w:t xml:space="preserve">  奖金</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22.45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伙食补助费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sz w:val="18"/>
                <w:szCs w:val="18"/>
              </w:rPr>
              <w:t xml:space="preserve">  机关事业单位基本养老保险缴费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pacing w:val="-3"/>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18.96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 xml:space="preserve">  职业年金缴费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7</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z w:val="18"/>
                <w:szCs w:val="18"/>
              </w:rPr>
              <w:t xml:space="preserve">  职工基本医疗保险缴费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pacing w:val="-3"/>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8</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sz w:val="18"/>
                <w:szCs w:val="18"/>
              </w:rPr>
              <w:t xml:space="preserve">  公务员医疗补助缴费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pacing w:val="-3"/>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9</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 xml:space="preserve">  其他社会保障缴费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sz w:val="18"/>
                <w:szCs w:val="18"/>
              </w:rPr>
              <w:t xml:space="preserve">  住房公积金</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pacing w:val="-3"/>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11</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z w:val="18"/>
                <w:szCs w:val="18"/>
              </w:rPr>
              <w:t xml:space="preserve">  其他工资福利支出</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pacing w:val="-3"/>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对个人和家庭的补助</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28.02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b/>
                <w:bCs/>
                <w:position w:val="-4"/>
                <w:sz w:val="18"/>
                <w:szCs w:val="18"/>
              </w:rPr>
              <w:t>二</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b/>
                <w:bCs/>
                <w:spacing w:val="-1"/>
                <w:sz w:val="18"/>
                <w:szCs w:val="18"/>
              </w:rPr>
              <w:t>公用经费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56.94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sz w:val="18"/>
                <w:szCs w:val="18"/>
              </w:rPr>
              <w:t>1</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办公费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sz w:val="18"/>
                <w:szCs w:val="18"/>
              </w:rPr>
              <w:t>2</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印刷费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sz w:val="18"/>
                <w:szCs w:val="18"/>
              </w:rPr>
              <w:t>3</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水费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邮电费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snapToGrid w:val="0"/>
                <w:color w:val="000000"/>
                <w:kern w:val="0"/>
                <w:sz w:val="18"/>
                <w:szCs w:val="18"/>
                <w:lang w:val="en-US" w:eastAsia="zh-CN"/>
              </w:rPr>
              <w:t>5</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差旅费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snapToGrid w:val="0"/>
                <w:color w:val="000000"/>
                <w:kern w:val="0"/>
                <w:sz w:val="18"/>
                <w:szCs w:val="18"/>
                <w:lang w:val="en-US" w:eastAsia="zh-CN"/>
              </w:rPr>
              <w:t>6</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劳务费</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spacing w:val="-6"/>
                <w:kern w:val="0"/>
                <w:sz w:val="18"/>
                <w:szCs w:val="18"/>
                <w:lang w:val="en-US" w:eastAsia="zh-CN"/>
              </w:rPr>
            </w:pPr>
            <w:r>
              <w:rPr>
                <w:rFonts w:hint="eastAsia" w:ascii="仿宋_GB2312" w:hAnsi="仿宋_GB2312" w:eastAsia="仿宋_GB2312" w:cs="仿宋_GB2312"/>
                <w:snapToGrid w:val="0"/>
                <w:color w:val="000000"/>
                <w:spacing w:val="-6"/>
                <w:kern w:val="0"/>
                <w:sz w:val="18"/>
                <w:szCs w:val="18"/>
                <w:lang w:val="en-US" w:eastAsia="zh-CN"/>
              </w:rPr>
              <w:t>7</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其他交通费用</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pacing w:val="-6"/>
                <w:sz w:val="18"/>
                <w:szCs w:val="18"/>
                <w:lang w:val="en-US" w:eastAsia="zh-CN"/>
              </w:rPr>
            </w:pPr>
            <w:r>
              <w:rPr>
                <w:rFonts w:hint="eastAsia" w:ascii="仿宋_GB2312" w:hAnsi="仿宋_GB2312" w:eastAsia="仿宋_GB2312" w:cs="仿宋_GB2312"/>
                <w:spacing w:val="-6"/>
                <w:sz w:val="18"/>
                <w:szCs w:val="18"/>
                <w:lang w:val="en-US" w:eastAsia="zh-CN"/>
              </w:rPr>
              <w:t>8</w:t>
            </w:r>
          </w:p>
        </w:tc>
        <w:tc>
          <w:tcPr>
            <w:tcW w:w="2960"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其他商品和服务支出</w:t>
            </w:r>
          </w:p>
        </w:tc>
        <w:tc>
          <w:tcPr>
            <w:tcW w:w="1235" w:type="pct"/>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32.17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b/>
                <w:bCs/>
                <w:spacing w:val="-3"/>
                <w:sz w:val="18"/>
                <w:szCs w:val="18"/>
              </w:rPr>
              <w:t>合计</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napToGrid w:val="0"/>
                <w:color w:val="000000"/>
                <w:kern w:val="0"/>
                <w:sz w:val="18"/>
                <w:szCs w:val="18"/>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napToGrid w:val="0"/>
                <w:color w:val="000000"/>
                <w:kern w:val="0"/>
                <w:sz w:val="18"/>
                <w:szCs w:val="18"/>
                <w:lang w:val="en-US" w:eastAsia="zh-CN"/>
              </w:rPr>
            </w:pPr>
            <w:r>
              <w:rPr>
                <w:rFonts w:hint="eastAsia" w:ascii="仿宋_GB2312" w:hAnsi="仿宋_GB2312" w:eastAsia="仿宋_GB2312" w:cs="仿宋_GB2312"/>
                <w:b/>
                <w:bCs/>
                <w:spacing w:val="-4"/>
                <w:sz w:val="18"/>
                <w:szCs w:val="18"/>
                <w:lang w:val="en-US" w:eastAsia="zh-CN"/>
              </w:rPr>
              <w:t>208.92</w:t>
            </w:r>
          </w:p>
        </w:tc>
      </w:tr>
      <w:bookmarkEnd w:id="7"/>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1.35</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0</w:t>
      </w:r>
      <w:r>
        <w:rPr>
          <w:rFonts w:hint="default" w:ascii="Times New Roman" w:hAnsi="Times New Roman" w:eastAsia="仿宋" w:cs="Times New Roman"/>
          <w:b w:val="0"/>
          <w:bCs w:val="0"/>
          <w:color w:val="auto"/>
          <w:sz w:val="32"/>
          <w:szCs w:val="32"/>
          <w:lang w:val="en-US" w:eastAsia="zh-CN"/>
        </w:rPr>
        <w:t>万元</w:t>
      </w:r>
      <w:r>
        <w:rPr>
          <w:rFonts w:hint="eastAsia" w:ascii="Times New Roman" w:hAnsi="Times New Roman" w:eastAsia="仿宋" w:cs="Times New Roman"/>
          <w:b w:val="0"/>
          <w:bCs w:val="0"/>
          <w:color w:val="auto"/>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其中公务用车及运行维护0.00万元，公务接待费0.00万元，因公出国</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境</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费用0.00元。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统计局</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统计局项目支出共计0.00万元，主要原因是2022年度没有全国性的普查项目。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8" w:name="_Toc4521"/>
      <w:r>
        <w:rPr>
          <w:rFonts w:hint="default"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highlight w:val="none"/>
          <w:lang w:val="en-US" w:eastAsia="zh-CN"/>
        </w:rPr>
        <w:t>资金管理情况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统计局</w:t>
      </w:r>
      <w:r>
        <w:rPr>
          <w:rFonts w:hint="default" w:ascii="Times New Roman Regular" w:hAnsi="Times New Roman Regular" w:eastAsia="仿宋" w:cs="Times New Roman Regular"/>
          <w:b w:val="0"/>
          <w:bCs w:val="0"/>
          <w:color w:val="auto"/>
          <w:sz w:val="32"/>
          <w:szCs w:val="32"/>
          <w:lang w:val="en-US" w:eastAsia="zh-CN"/>
        </w:rPr>
        <w:t>制定了《财务管理</w:t>
      </w:r>
      <w:r>
        <w:rPr>
          <w:rFonts w:hint="eastAsia" w:ascii="Times New Roman Regular" w:hAnsi="Times New Roman Regular" w:eastAsia="仿宋" w:cs="Times New Roman Regular"/>
          <w:b w:val="0"/>
          <w:bCs w:val="0"/>
          <w:color w:val="auto"/>
          <w:sz w:val="32"/>
          <w:szCs w:val="32"/>
          <w:lang w:val="en-US" w:eastAsia="zh-CN"/>
        </w:rPr>
        <w:t>制度》《</w:t>
      </w:r>
      <w:r>
        <w:rPr>
          <w:rFonts w:hint="default" w:ascii="Times New Roman Regular" w:hAnsi="Times New Roman Regular" w:eastAsia="仿宋" w:cs="Times New Roman Regular"/>
          <w:b w:val="0"/>
          <w:bCs w:val="0"/>
          <w:color w:val="auto"/>
          <w:sz w:val="32"/>
          <w:szCs w:val="32"/>
          <w:lang w:val="en-US" w:eastAsia="zh-CN"/>
        </w:rPr>
        <w:t>北塔区统计局专项资金管理制度》，</w:t>
      </w:r>
      <w:r>
        <w:rPr>
          <w:rFonts w:hint="eastAsia" w:ascii="Times New Roman Regular" w:hAnsi="Times New Roman Regular" w:eastAsia="仿宋" w:cs="Times New Roman Regular"/>
          <w:b w:val="0"/>
          <w:bCs w:val="0"/>
          <w:color w:val="auto"/>
          <w:sz w:val="32"/>
          <w:szCs w:val="32"/>
          <w:lang w:val="en-US" w:eastAsia="zh-CN"/>
        </w:rPr>
        <w:t>从收支管理、票据管理、财务监督、资产管理等方面进行了有关规定，</w:t>
      </w:r>
      <w:r>
        <w:rPr>
          <w:rFonts w:hint="default" w:ascii="Times New Roman Regular" w:hAnsi="Times New Roman Regular" w:eastAsia="仿宋" w:cs="Times New Roman Regular"/>
          <w:b w:val="0"/>
          <w:bCs w:val="0"/>
          <w:color w:val="auto"/>
          <w:sz w:val="32"/>
          <w:szCs w:val="32"/>
          <w:lang w:val="en-US" w:eastAsia="zh-CN"/>
        </w:rPr>
        <w:t>严格按照有关财务制度，加强机关财务管理，节约使用资金，降低行政成本</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9" w:name="_Toc7252"/>
      <w:r>
        <w:rPr>
          <w:rFonts w:hint="default" w:ascii="Times New Roman Regular" w:hAnsi="Times New Roman Regular" w:eastAsia="黑体" w:cs="Times New Roman Regular"/>
          <w:b/>
          <w:bCs/>
          <w:kern w:val="2"/>
          <w:sz w:val="32"/>
          <w:szCs w:val="32"/>
          <w:lang w:val="en-US" w:eastAsia="zh-CN" w:bidi="ar-SA"/>
        </w:rPr>
        <w:t>三、制度建设情况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1824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统计局</w:t>
      </w:r>
      <w:r>
        <w:rPr>
          <w:rFonts w:hint="default" w:ascii="Times New Roman Regular" w:hAnsi="Times New Roman Regular" w:eastAsia="仿宋" w:cs="Times New Roman Regular"/>
          <w:b w:val="0"/>
          <w:bCs w:val="0"/>
          <w:color w:val="auto"/>
          <w:sz w:val="32"/>
          <w:szCs w:val="32"/>
          <w:lang w:val="en-US" w:eastAsia="zh-CN"/>
        </w:rPr>
        <w:t>制定了《</w:t>
      </w:r>
      <w:r>
        <w:rPr>
          <w:rFonts w:hint="eastAsia" w:ascii="Times New Roman Regular" w:hAnsi="Times New Roman Regular" w:eastAsia="仿宋" w:cs="Times New Roman Regular"/>
          <w:b w:val="0"/>
          <w:bCs w:val="0"/>
          <w:color w:val="auto"/>
          <w:sz w:val="32"/>
          <w:szCs w:val="32"/>
          <w:lang w:val="en-US" w:eastAsia="zh-CN"/>
        </w:rPr>
        <w:t>采购管理制度》《北塔区统计局预算管理办法》《统计局经费支出管理办法》等</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对部门采购、预算管理、经费支出</w:t>
      </w:r>
      <w:r>
        <w:rPr>
          <w:rFonts w:hint="default" w:ascii="Times New Roman Regular" w:hAnsi="Times New Roman Regular" w:eastAsia="仿宋" w:cs="Times New Roman Regular"/>
          <w:b w:val="0"/>
          <w:bCs w:val="0"/>
          <w:color w:val="auto"/>
          <w:sz w:val="32"/>
          <w:szCs w:val="32"/>
          <w:lang w:val="en-US" w:eastAsia="zh-CN"/>
        </w:rPr>
        <w:t>等</w:t>
      </w:r>
      <w:r>
        <w:rPr>
          <w:rFonts w:hint="eastAsia" w:ascii="Times New Roman Regular" w:hAnsi="Times New Roman Regular" w:eastAsia="仿宋" w:cs="Times New Roman Regular"/>
          <w:b w:val="0"/>
          <w:bCs w:val="0"/>
          <w:color w:val="auto"/>
          <w:sz w:val="32"/>
          <w:szCs w:val="32"/>
          <w:lang w:val="en-US" w:eastAsia="zh-CN"/>
        </w:rPr>
        <w:t>方面</w:t>
      </w:r>
      <w:r>
        <w:rPr>
          <w:rFonts w:hint="default" w:ascii="Times New Roman Regular" w:hAnsi="Times New Roman Regular" w:eastAsia="仿宋" w:cs="Times New Roman Regular"/>
          <w:b w:val="0"/>
          <w:bCs w:val="0"/>
          <w:color w:val="auto"/>
          <w:sz w:val="32"/>
          <w:szCs w:val="32"/>
          <w:lang w:val="en-US" w:eastAsia="zh-CN"/>
        </w:rPr>
        <w:t>做出了具体规定</w:t>
      </w:r>
      <w:r>
        <w:rPr>
          <w:rFonts w:hint="eastAsia"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1" w:name="_Toc291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color w:val="auto"/>
          <w:sz w:val="32"/>
          <w:szCs w:val="32"/>
          <w:lang w:val="en-US" w:eastAsia="zh-CN"/>
        </w:rPr>
        <w:t>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highlight w:val="none"/>
          <w:lang w:val="en-US" w:eastAsia="zh-CN"/>
        </w:rPr>
      </w:pPr>
      <w:r>
        <w:rPr>
          <w:rFonts w:hint="default" w:ascii="Times New Roman Regular" w:hAnsi="Times New Roman Regular" w:eastAsia="仿宋" w:cs="Times New Roman Regular"/>
          <w:b w:val="0"/>
          <w:bCs w:val="0"/>
          <w:sz w:val="32"/>
          <w:szCs w:val="32"/>
          <w:highlight w:val="none"/>
          <w:lang w:val="en-US" w:eastAsia="zh-CN"/>
        </w:rPr>
        <w:t>截</w:t>
      </w:r>
      <w:r>
        <w:rPr>
          <w:rFonts w:hint="eastAsia" w:ascii="Times New Roman Regular" w:hAnsi="Times New Roman Regular" w:eastAsia="仿宋" w:cs="Times New Roman Regular"/>
          <w:b w:val="0"/>
          <w:bCs w:val="0"/>
          <w:sz w:val="32"/>
          <w:szCs w:val="32"/>
          <w:highlight w:val="none"/>
          <w:lang w:val="en-US" w:eastAsia="zh-CN"/>
        </w:rPr>
        <w:t>至</w:t>
      </w:r>
      <w:r>
        <w:rPr>
          <w:rFonts w:hint="default" w:ascii="Times New Roman Regular" w:hAnsi="Times New Roman Regular" w:eastAsia="仿宋" w:cs="Times New Roman Regular"/>
          <w:b w:val="0"/>
          <w:bCs w:val="0"/>
          <w:sz w:val="32"/>
          <w:szCs w:val="32"/>
          <w:highlight w:val="none"/>
          <w:lang w:val="en-US" w:eastAsia="zh-CN"/>
        </w:rPr>
        <w:t>2022年12月31日，</w:t>
      </w:r>
      <w:r>
        <w:rPr>
          <w:rFonts w:hint="eastAsia" w:ascii="Times New Roman Regular" w:hAnsi="Times New Roman Regular" w:eastAsia="仿宋" w:cs="Times New Roman Regular"/>
          <w:b w:val="0"/>
          <w:bCs w:val="0"/>
          <w:sz w:val="32"/>
          <w:szCs w:val="32"/>
          <w:highlight w:val="none"/>
          <w:lang w:val="en-US" w:eastAsia="zh-CN"/>
        </w:rPr>
        <w:t>统计局</w:t>
      </w:r>
      <w:r>
        <w:rPr>
          <w:rFonts w:hint="default" w:ascii="Times New Roman Regular" w:hAnsi="Times New Roman Regular" w:eastAsia="仿宋" w:cs="Times New Roman Regular"/>
          <w:b w:val="0"/>
          <w:bCs w:val="0"/>
          <w:sz w:val="32"/>
          <w:szCs w:val="32"/>
          <w:highlight w:val="none"/>
          <w:lang w:val="en-US" w:eastAsia="zh-CN"/>
        </w:rPr>
        <w:t>固定资产账面原值</w:t>
      </w:r>
      <w:r>
        <w:rPr>
          <w:rFonts w:hint="eastAsia" w:ascii="Times New Roman Regular" w:hAnsi="Times New Roman Regular" w:eastAsia="仿宋" w:cs="Times New Roman Regular"/>
          <w:b w:val="0"/>
          <w:bCs w:val="0"/>
          <w:sz w:val="32"/>
          <w:szCs w:val="32"/>
          <w:highlight w:val="none"/>
          <w:lang w:val="en-US" w:eastAsia="zh-CN"/>
        </w:rPr>
        <w:t>10.45</w:t>
      </w:r>
      <w:r>
        <w:rPr>
          <w:rFonts w:hint="default" w:ascii="Times New Roman Regular" w:hAnsi="Times New Roman Regular" w:eastAsia="仿宋" w:cs="Times New Roman Regular"/>
          <w:b w:val="0"/>
          <w:bCs w:val="0"/>
          <w:sz w:val="32"/>
          <w:szCs w:val="32"/>
          <w:highlight w:val="none"/>
          <w:lang w:val="en-US" w:eastAsia="zh-CN"/>
        </w:rPr>
        <w:t>万元。其中：通用设备</w:t>
      </w:r>
      <w:r>
        <w:rPr>
          <w:rFonts w:hint="eastAsia" w:ascii="Times New Roman Regular" w:hAnsi="Times New Roman Regular" w:eastAsia="仿宋" w:cs="Times New Roman Regular"/>
          <w:b w:val="0"/>
          <w:bCs w:val="0"/>
          <w:sz w:val="32"/>
          <w:szCs w:val="32"/>
          <w:highlight w:val="none"/>
          <w:lang w:val="en-US" w:eastAsia="zh-CN"/>
        </w:rPr>
        <w:t>5.55</w:t>
      </w:r>
      <w:r>
        <w:rPr>
          <w:rFonts w:hint="default" w:ascii="Times New Roman Regular" w:hAnsi="Times New Roman Regular" w:eastAsia="仿宋" w:cs="Times New Roman Regular"/>
          <w:b w:val="0"/>
          <w:bCs w:val="0"/>
          <w:sz w:val="32"/>
          <w:szCs w:val="32"/>
          <w:highlight w:val="none"/>
          <w:lang w:val="en-US" w:eastAsia="zh-CN"/>
        </w:rPr>
        <w:t>万元；家具、用具、装具及动植物</w:t>
      </w:r>
      <w:r>
        <w:rPr>
          <w:rFonts w:hint="eastAsia" w:ascii="Times New Roman Regular" w:hAnsi="Times New Roman Regular" w:eastAsia="仿宋" w:cs="Times New Roman Regular"/>
          <w:b w:val="0"/>
          <w:bCs w:val="0"/>
          <w:sz w:val="32"/>
          <w:szCs w:val="32"/>
          <w:highlight w:val="none"/>
          <w:lang w:val="en-US" w:eastAsia="zh-CN"/>
        </w:rPr>
        <w:t>4.90</w:t>
      </w:r>
      <w:r>
        <w:rPr>
          <w:rFonts w:hint="default" w:ascii="Times New Roman Regular" w:hAnsi="Times New Roman Regular" w:eastAsia="仿宋" w:cs="Times New Roman Regular"/>
          <w:b w:val="0"/>
          <w:bCs w:val="0"/>
          <w:sz w:val="32"/>
          <w:szCs w:val="32"/>
          <w:highlight w:val="none"/>
          <w:lang w:val="en-US" w:eastAsia="zh-CN"/>
        </w:rPr>
        <w:t>万元</w:t>
      </w:r>
      <w:r>
        <w:rPr>
          <w:rFonts w:hint="eastAsia" w:ascii="Times New Roman Regular" w:hAnsi="Times New Roman Regular" w:eastAsia="仿宋" w:cs="Times New Roman Regular"/>
          <w:b w:val="0"/>
          <w:bCs w:val="0"/>
          <w:sz w:val="32"/>
          <w:szCs w:val="32"/>
          <w:highlight w:val="none"/>
          <w:lang w:val="en-US" w:eastAsia="zh-CN"/>
        </w:rPr>
        <w:t>。</w:t>
      </w:r>
      <w:r>
        <w:rPr>
          <w:rFonts w:hint="default" w:ascii="Times New Roman Regular" w:hAnsi="Times New Roman Regular" w:eastAsia="仿宋" w:cs="Times New Roman Regular"/>
          <w:b w:val="0"/>
          <w:bCs w:val="0"/>
          <w:color w:val="auto"/>
          <w:sz w:val="32"/>
          <w:szCs w:val="32"/>
          <w:highlight w:val="none"/>
          <w:lang w:val="en-US" w:eastAsia="zh-CN"/>
        </w:rPr>
        <w:t>资产在用</w:t>
      </w:r>
      <w:r>
        <w:rPr>
          <w:rFonts w:hint="eastAsia" w:ascii="Times New Roman Regular" w:hAnsi="Times New Roman Regular" w:eastAsia="仿宋" w:cs="Times New Roman Regular"/>
          <w:b w:val="0"/>
          <w:bCs w:val="0"/>
          <w:sz w:val="32"/>
          <w:szCs w:val="32"/>
          <w:highlight w:val="none"/>
          <w:lang w:val="en-US" w:eastAsia="zh-CN"/>
        </w:rPr>
        <w:t>10.45</w:t>
      </w:r>
      <w:r>
        <w:rPr>
          <w:rFonts w:hint="default" w:ascii="Times New Roman Regular" w:hAnsi="Times New Roman Regular" w:eastAsia="仿宋" w:cs="Times New Roman Regular"/>
          <w:b w:val="0"/>
          <w:bCs w:val="0"/>
          <w:color w:val="auto"/>
          <w:sz w:val="32"/>
          <w:szCs w:val="32"/>
          <w:highlight w:val="none"/>
          <w:lang w:val="en-US" w:eastAsia="zh-CN"/>
        </w:rPr>
        <w:t>万元，资产使用率</w:t>
      </w:r>
      <w:r>
        <w:rPr>
          <w:rFonts w:hint="eastAsia" w:ascii="Times New Roman Regular" w:hAnsi="Times New Roman Regular" w:eastAsia="仿宋" w:cs="Times New Roman Regular"/>
          <w:b w:val="0"/>
          <w:bCs w:val="0"/>
          <w:color w:val="auto"/>
          <w:sz w:val="32"/>
          <w:szCs w:val="32"/>
          <w:highlight w:val="none"/>
          <w:lang w:val="en-US" w:eastAsia="zh-CN"/>
        </w:rPr>
        <w:t>100</w:t>
      </w:r>
      <w:r>
        <w:rPr>
          <w:rFonts w:hint="default" w:ascii="Times New Roman Regular" w:hAnsi="Times New Roman Regular" w:eastAsia="仿宋" w:cs="Times New Roman Regular"/>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 w:name="_Toc16193"/>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制定了</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采购管理制度</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主要对部门采购的职责划分、组织形式与方式、政府采购预算、政府采购实施计划、采购审批流程、采购验收与结算</w:t>
      </w:r>
      <w:r>
        <w:rPr>
          <w:rFonts w:hint="default" w:ascii="Times New Roman Regular" w:hAnsi="Times New Roman Regular" w:eastAsia="仿宋" w:cs="Times New Roman Regular"/>
          <w:b w:val="0"/>
          <w:bCs w:val="0"/>
          <w:color w:val="auto"/>
          <w:sz w:val="32"/>
          <w:szCs w:val="32"/>
          <w:lang w:val="en-US" w:eastAsia="zh-CN"/>
        </w:rPr>
        <w:t>等</w:t>
      </w:r>
      <w:r>
        <w:rPr>
          <w:rFonts w:hint="eastAsia" w:ascii="Times New Roman Regular" w:hAnsi="Times New Roman Regular" w:eastAsia="仿宋" w:cs="Times New Roman Regular"/>
          <w:b w:val="0"/>
          <w:bCs w:val="0"/>
          <w:color w:val="auto"/>
          <w:sz w:val="32"/>
          <w:szCs w:val="32"/>
          <w:lang w:val="en-US" w:eastAsia="zh-CN"/>
        </w:rPr>
        <w:t>方面</w:t>
      </w:r>
      <w:r>
        <w:rPr>
          <w:rFonts w:hint="default" w:ascii="Times New Roman Regular" w:hAnsi="Times New Roman Regular" w:eastAsia="仿宋" w:cs="Times New Roman Regular"/>
          <w:b w:val="0"/>
          <w:bCs w:val="0"/>
          <w:color w:val="auto"/>
          <w:sz w:val="32"/>
          <w:szCs w:val="32"/>
          <w:lang w:val="en-US" w:eastAsia="zh-CN"/>
        </w:rPr>
        <w:t>做出了具体规定</w:t>
      </w:r>
      <w:r>
        <w:rPr>
          <w:rFonts w:hint="eastAsia"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3" w:name="_Toc30235"/>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4" w:name="_Toc8319"/>
      <w:r>
        <w:rPr>
          <w:rFonts w:hint="default" w:ascii="Times New Roman Regular" w:hAnsi="Times New Roman Regular" w:eastAsia="楷体" w:cs="Times New Roman Regular"/>
          <w:b/>
          <w:bCs/>
          <w:sz w:val="32"/>
          <w:szCs w:val="32"/>
          <w:lang w:val="en-US" w:eastAsia="zh-CN"/>
        </w:rPr>
        <w:t>（一）重点绩效评价目的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8489"/>
      <w:r>
        <w:rPr>
          <w:rFonts w:hint="default" w:ascii="Times New Roman Regular" w:hAnsi="Times New Roman Regular" w:eastAsia="楷体" w:cs="Times New Roman Regular"/>
          <w:b/>
          <w:bCs/>
          <w:sz w:val="32"/>
          <w:szCs w:val="32"/>
          <w:lang w:val="en-US" w:eastAsia="zh-CN"/>
        </w:rPr>
        <w:t>（二）重点绩效评价工作过程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《湖南省财政厅关于印发〈湖南省预算支出绩效评价管理办法〉的通知》（湘财绩〔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6" w:name="_Toc6555"/>
      <w:r>
        <w:rPr>
          <w:rFonts w:hint="default" w:ascii="Times New Roman Regular" w:hAnsi="Times New Roman Regular" w:eastAsia="黑体" w:cs="Times New Roman Regular"/>
          <w:b/>
          <w:bCs/>
          <w:kern w:val="2"/>
          <w:sz w:val="32"/>
          <w:szCs w:val="32"/>
          <w:lang w:val="en-US" w:eastAsia="zh-CN" w:bidi="ar-SA"/>
        </w:rPr>
        <w:t>五、部门整体支出绩效情况</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yellow"/>
          <w:lang w:val="en-US" w:eastAsia="zh-CN"/>
        </w:rPr>
      </w:pPr>
      <w:bookmarkStart w:id="17" w:name="_Toc4903"/>
      <w:r>
        <w:rPr>
          <w:rFonts w:hint="default" w:ascii="Times New Roman Regular" w:hAnsi="Times New Roman Regular" w:eastAsia="楷体" w:cs="Times New Roman Regular"/>
          <w:b/>
          <w:bCs/>
          <w:sz w:val="32"/>
          <w:szCs w:val="32"/>
          <w:lang w:val="en-US" w:eastAsia="zh-CN"/>
        </w:rPr>
        <w:t>（</w:t>
      </w:r>
      <w:r>
        <w:rPr>
          <w:rFonts w:hint="default" w:ascii="Times New Roman Regular" w:hAnsi="Times New Roman Regular" w:eastAsia="楷体" w:cs="Times New Roman Regular"/>
          <w:b/>
          <w:bCs/>
          <w:sz w:val="32"/>
          <w:szCs w:val="32"/>
          <w:highlight w:val="none"/>
          <w:lang w:val="en-US" w:eastAsia="zh-CN"/>
        </w:rPr>
        <w:t>一）部门整体实际产出情况</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1、数量指标。灾害防治、森林防火、安全生产知识培训覆盖村（社区）数17个；工资及政策性社会保障性资金按月支付次数12次。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2、质量指标。惠民惠农资金准确及时发放到户达到100%；工资津贴发放率达到100%。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3、时效指标。重点工作办结率，按时办结100%。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4、成本指标。各项业务经费100%不超出预算、超支审批。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8" w:name="_Toc18250"/>
      <w:r>
        <w:rPr>
          <w:rFonts w:hint="default" w:ascii="Times New Roman Regular" w:hAnsi="Times New Roman Regular" w:eastAsia="楷体" w:cs="Times New Roman Regular"/>
          <w:b/>
          <w:bCs/>
          <w:sz w:val="32"/>
          <w:szCs w:val="32"/>
          <w:lang w:val="en-US" w:eastAsia="zh-CN"/>
        </w:rPr>
        <w:t>（二）部门整体效益情况</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19" w:name="_Toc18931"/>
      <w:bookmarkStart w:id="20" w:name="_Toc21621"/>
      <w:bookmarkStart w:id="21" w:name="_Toc11328"/>
      <w:r>
        <w:rPr>
          <w:rFonts w:hint="default" w:ascii="Times New Roman Regular" w:hAnsi="Times New Roman Regular" w:eastAsia="仿宋" w:cs="Times New Roman Regular"/>
          <w:b w:val="0"/>
          <w:bCs w:val="0"/>
          <w:color w:val="auto"/>
          <w:sz w:val="32"/>
          <w:szCs w:val="32"/>
          <w:lang w:val="en-US" w:eastAsia="zh-CN"/>
        </w:rPr>
        <w:t>2022年，在区委、区政府的正确领导下，</w:t>
      </w:r>
      <w:r>
        <w:rPr>
          <w:rFonts w:hint="eastAsia" w:ascii="Times New Roman Regular" w:hAnsi="Times New Roman Regular" w:eastAsia="仿宋" w:cs="Times New Roman Regular"/>
          <w:b w:val="0"/>
          <w:bCs w:val="0"/>
          <w:color w:val="auto"/>
          <w:sz w:val="32"/>
          <w:szCs w:val="32"/>
          <w:lang w:val="en-US" w:eastAsia="zh-CN"/>
        </w:rPr>
        <w:t>统计局</w:t>
      </w:r>
      <w:r>
        <w:rPr>
          <w:rFonts w:hint="default" w:ascii="Times New Roman Regular" w:hAnsi="Times New Roman Regular" w:eastAsia="仿宋" w:cs="Times New Roman Regular"/>
          <w:b w:val="0"/>
          <w:bCs w:val="0"/>
          <w:color w:val="auto"/>
          <w:sz w:val="32"/>
          <w:szCs w:val="32"/>
          <w:lang w:val="en-US" w:eastAsia="zh-CN"/>
        </w:rPr>
        <w:t>始终坚持习近平新时代中国特色社会主义思想，聚焦省市区重点决策部署，抓好抓细抓实各项工作，以高质量服务保障助推北塔高质量发展。</w:t>
      </w:r>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仿宋" w:cs="Times New Roman Regular"/>
          <w:b/>
          <w:bCs/>
          <w:color w:val="auto"/>
          <w:kern w:val="2"/>
          <w:sz w:val="32"/>
          <w:szCs w:val="32"/>
          <w:highlight w:val="none"/>
          <w:lang w:val="en-US" w:eastAsia="zh-CN" w:bidi="ar-SA"/>
        </w:rPr>
      </w:pPr>
      <w:bookmarkStart w:id="22" w:name="_Toc3629"/>
      <w:r>
        <w:rPr>
          <w:rFonts w:hint="eastAsia" w:ascii="Times New Roman Regular" w:hAnsi="Times New Roman Regular" w:eastAsia="仿宋" w:cs="Times New Roman Regular"/>
          <w:b/>
          <w:bCs/>
          <w:color w:val="auto"/>
          <w:kern w:val="2"/>
          <w:sz w:val="32"/>
          <w:szCs w:val="32"/>
          <w:highlight w:val="none"/>
          <w:lang w:val="en-US" w:eastAsia="zh-CN" w:bidi="ar-SA"/>
        </w:rPr>
        <w:t>1、突出党建引领，增强防腐拒变能力</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kern w:val="2"/>
          <w:sz w:val="32"/>
          <w:szCs w:val="32"/>
          <w:highlight w:val="none"/>
          <w:lang w:val="en-US" w:eastAsia="zh-CN" w:bidi="ar-SA"/>
        </w:rPr>
      </w:pPr>
      <w:bookmarkStart w:id="23" w:name="_Toc14123"/>
      <w:r>
        <w:rPr>
          <w:rFonts w:hint="eastAsia" w:ascii="Times New Roman Regular" w:hAnsi="Times New Roman Regular" w:eastAsia="仿宋" w:cs="Times New Roman Regular"/>
          <w:b w:val="0"/>
          <w:bCs w:val="0"/>
          <w:color w:val="auto"/>
          <w:kern w:val="2"/>
          <w:sz w:val="32"/>
          <w:szCs w:val="32"/>
          <w:highlight w:val="none"/>
          <w:lang w:val="en-US" w:eastAsia="zh-CN" w:bidi="ar-SA"/>
        </w:rPr>
        <w:t>一是加强党内监督和自我批评，通过制定工作计划、召开工作例会、接受派驻纪检组监督等方式，综合运用廉政教育、制度约束和纪律监督三种机制，深入开展廉洁自律和反腐拒变作风建设。二是定期组织学习上级曝光的统计违法违纪案例，抓好警示教育。三是通过主题党日活动及学习研讨，实现统计工作和党建工作、文明创建工作共同发展。四是建立了“一把手”负总责、分管领导具体抓落实、班子成员按分工各司其责的工作机制，认真落实党风廉政责任制。</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仿宋" w:cs="Times New Roman Regular"/>
          <w:b/>
          <w:bCs/>
          <w:color w:val="auto"/>
          <w:kern w:val="2"/>
          <w:sz w:val="32"/>
          <w:szCs w:val="32"/>
          <w:highlight w:val="none"/>
          <w:lang w:val="en-US" w:eastAsia="zh-CN" w:bidi="ar-SA"/>
        </w:rPr>
      </w:pPr>
      <w:bookmarkStart w:id="24" w:name="_Toc3156"/>
      <w:r>
        <w:rPr>
          <w:rFonts w:hint="eastAsia" w:ascii="Times New Roman Regular" w:hAnsi="Times New Roman Regular" w:eastAsia="仿宋" w:cs="Times New Roman Regular"/>
          <w:b/>
          <w:bCs/>
          <w:color w:val="auto"/>
          <w:kern w:val="2"/>
          <w:sz w:val="32"/>
          <w:szCs w:val="32"/>
          <w:highlight w:val="none"/>
          <w:lang w:val="en-US" w:eastAsia="zh-CN" w:bidi="ar-SA"/>
        </w:rPr>
        <w:t>2、做优统计服务，把控数据质量</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kern w:val="2"/>
          <w:sz w:val="32"/>
          <w:szCs w:val="32"/>
          <w:highlight w:val="none"/>
          <w:lang w:val="en-US" w:eastAsia="zh-CN" w:bidi="ar-SA"/>
        </w:rPr>
      </w:pPr>
      <w:bookmarkStart w:id="25" w:name="_Toc10016"/>
      <w:r>
        <w:rPr>
          <w:rFonts w:hint="eastAsia" w:ascii="Times New Roman Regular" w:hAnsi="Times New Roman Regular" w:eastAsia="仿宋" w:cs="Times New Roman Regular"/>
          <w:b w:val="0"/>
          <w:bCs w:val="0"/>
          <w:color w:val="auto"/>
          <w:kern w:val="2"/>
          <w:sz w:val="32"/>
          <w:szCs w:val="32"/>
          <w:highlight w:val="none"/>
          <w:lang w:val="en-US" w:eastAsia="zh-CN" w:bidi="ar-SA"/>
        </w:rPr>
        <w:t>一是做优统计服务。持续跟进北塔区招商引资工作进展，对商务、税务、发改等部门的资料及时梳理排摸，抓好“四上”企业培育工作，助力新增企业发展，同时以统计分析、统计月报等统计产品形式报送及时向社会发布北塔区经济发展动态，发挥统计参谋作用。二是抓质量管控。提前对接重点行业和企业，了解生产经营动态，研判月度走势及影响；科学建立质量评估分级制度，深化“四分之一”月度工作机制，抽取关键指标现场核访，实现“回头看”全覆盖；对全体基层统计对象落实专业联动执法机制和双随机执法检查，加大违法查处和曝光力度，营造健康生态；按照“开网即查、随报随审、查询核实”的工作要求，加大数据审核查询力度；开展专项行动，采取“三到”“三查”“三覆盖”的原则对北塔区所有“四上”企业、5000万元以上固定资产投资项目进行专项服务和企业统计人员业务指导服务，协助企业建立健全统计台账和企业档案。</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bCs/>
          <w:color w:val="auto"/>
          <w:kern w:val="2"/>
          <w:sz w:val="32"/>
          <w:szCs w:val="32"/>
          <w:highlight w:val="none"/>
          <w:lang w:val="en-US" w:eastAsia="zh-CN" w:bidi="ar-SA"/>
        </w:rPr>
      </w:pPr>
      <w:bookmarkStart w:id="26" w:name="_Toc10198"/>
      <w:r>
        <w:rPr>
          <w:rFonts w:hint="eastAsia" w:ascii="Times New Roman Regular" w:hAnsi="Times New Roman Regular" w:eastAsia="仿宋" w:cs="Times New Roman Regular"/>
          <w:b/>
          <w:bCs/>
          <w:color w:val="auto"/>
          <w:kern w:val="2"/>
          <w:sz w:val="32"/>
          <w:szCs w:val="32"/>
          <w:highlight w:val="none"/>
          <w:lang w:val="en-US" w:eastAsia="zh-CN" w:bidi="ar-SA"/>
        </w:rPr>
        <w:t>3、组织学习培训，</w:t>
      </w:r>
      <w:r>
        <w:rPr>
          <w:rFonts w:hint="default" w:ascii="Times New Roman Regular" w:hAnsi="Times New Roman Regular" w:eastAsia="仿宋" w:cs="Times New Roman Regular"/>
          <w:b/>
          <w:bCs/>
          <w:color w:val="auto"/>
          <w:kern w:val="2"/>
          <w:sz w:val="32"/>
          <w:szCs w:val="32"/>
          <w:highlight w:val="none"/>
          <w:lang w:val="en-US" w:eastAsia="zh-CN" w:bidi="ar-SA"/>
        </w:rPr>
        <w:t>强化</w:t>
      </w:r>
      <w:r>
        <w:rPr>
          <w:rFonts w:hint="eastAsia" w:ascii="Times New Roman Regular" w:hAnsi="Times New Roman Regular" w:eastAsia="仿宋" w:cs="Times New Roman Regular"/>
          <w:b/>
          <w:bCs/>
          <w:color w:val="auto"/>
          <w:kern w:val="2"/>
          <w:sz w:val="32"/>
          <w:szCs w:val="32"/>
          <w:highlight w:val="none"/>
          <w:lang w:val="en-US" w:eastAsia="zh-CN" w:bidi="ar-SA"/>
        </w:rPr>
        <w:t>业务能力</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kern w:val="2"/>
          <w:sz w:val="32"/>
          <w:szCs w:val="32"/>
          <w:highlight w:val="none"/>
          <w:lang w:val="en-US" w:eastAsia="zh-CN" w:bidi="ar-SA"/>
        </w:rPr>
      </w:pPr>
      <w:bookmarkStart w:id="27" w:name="_Toc4757"/>
      <w:r>
        <w:rPr>
          <w:rFonts w:hint="eastAsia" w:ascii="Times New Roman Regular" w:hAnsi="Times New Roman Regular" w:eastAsia="仿宋" w:cs="Times New Roman Regular"/>
          <w:b w:val="0"/>
          <w:bCs w:val="0"/>
          <w:color w:val="auto"/>
          <w:kern w:val="2"/>
          <w:sz w:val="32"/>
          <w:szCs w:val="32"/>
          <w:highlight w:val="none"/>
          <w:lang w:val="en-US" w:eastAsia="zh-CN" w:bidi="ar-SA"/>
        </w:rPr>
        <w:t>北塔区党校对培训班学员分批次进行培训，通过组织全区领导干部学习、邀请上级统计部门专业人员讲解、加强统计普法宣传、考核奖励等方式，进一步增强北塔区领导干部和统计人员的统计法制意识和业务能力。</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28" w:name="_Toc11046"/>
      <w:r>
        <w:rPr>
          <w:rFonts w:hint="default" w:ascii="Times New Roman Regular" w:hAnsi="Times New Roman Regular" w:eastAsia="楷体" w:cs="Times New Roman Regular"/>
          <w:b/>
          <w:bCs/>
          <w:sz w:val="32"/>
          <w:szCs w:val="32"/>
          <w:lang w:val="en-US" w:eastAsia="zh-CN"/>
        </w:rPr>
        <w:t>（三）部门整体满意度</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w:t>
      </w:r>
      <w:r>
        <w:rPr>
          <w:rFonts w:hint="default" w:ascii="Times New Roman Regular" w:hAnsi="Times New Roman Regular" w:eastAsia="仿宋" w:cs="Times New Roman Regular"/>
          <w:b w:val="0"/>
          <w:bCs w:val="0"/>
          <w:color w:val="auto"/>
          <w:sz w:val="32"/>
          <w:szCs w:val="32"/>
          <w:lang w:val="en-US" w:eastAsia="zh-CN"/>
        </w:rPr>
        <w:t>问卷</w:t>
      </w:r>
      <w:r>
        <w:rPr>
          <w:rFonts w:hint="eastAsia" w:ascii="Times New Roman Regular" w:hAnsi="Times New Roman Regular" w:eastAsia="仿宋" w:cs="Times New Roman Regular"/>
          <w:b w:val="0"/>
          <w:bCs w:val="0"/>
          <w:color w:val="auto"/>
          <w:sz w:val="32"/>
          <w:szCs w:val="32"/>
          <w:lang w:val="en-US" w:eastAsia="zh-CN"/>
        </w:rPr>
        <w:t>29</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统计局</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9" w:name="_Toc14525"/>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统计局</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w:t>
      </w:r>
      <w:r>
        <w:rPr>
          <w:rFonts w:hint="default" w:ascii="Times New Roman Regular" w:hAnsi="Times New Roman Regular" w:eastAsia="仿宋" w:cs="Times New Roman Regular"/>
          <w:b w:val="0"/>
          <w:bCs w:val="0"/>
          <w:color w:val="auto"/>
          <w:sz w:val="32"/>
          <w:szCs w:val="32"/>
          <w:lang w:val="en-US" w:eastAsia="zh-CN"/>
        </w:rPr>
        <w:t>得</w:t>
      </w:r>
      <w:r>
        <w:rPr>
          <w:rFonts w:hint="eastAsia" w:ascii="Times New Roman Regular" w:hAnsi="Times New Roman Regular" w:eastAsia="仿宋" w:cs="Times New Roman Regular"/>
          <w:b w:val="0"/>
          <w:bCs w:val="0"/>
          <w:color w:val="auto"/>
          <w:sz w:val="32"/>
          <w:szCs w:val="32"/>
          <w:lang w:val="en-US" w:eastAsia="zh-CN"/>
        </w:rPr>
        <w:t>95</w:t>
      </w:r>
      <w:r>
        <w:rPr>
          <w:rFonts w:hint="default" w:ascii="Times New Roman Regular" w:hAnsi="Times New Roman Regular" w:eastAsia="仿宋" w:cs="Times New Roman Regular"/>
          <w:b w:val="0"/>
          <w:bCs w:val="0"/>
          <w:color w:val="auto"/>
          <w:sz w:val="32"/>
          <w:szCs w:val="32"/>
          <w:lang w:val="en-US" w:eastAsia="zh-CN"/>
        </w:rPr>
        <w:t>分，被评为</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sz w:val="32"/>
          <w:szCs w:val="32"/>
          <w:lang w:val="en-US" w:eastAsia="zh-CN"/>
        </w:rPr>
        <w:t>优”等级（详见附件）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yellow"/>
          <w:lang w:val="en-US" w:eastAsia="zh-CN"/>
        </w:rPr>
      </w:pPr>
      <w:bookmarkStart w:id="30" w:name="_Toc9481"/>
      <w:r>
        <w:rPr>
          <w:rFonts w:hint="default" w:ascii="Times New Roman Regular" w:hAnsi="Times New Roman Regular" w:eastAsia="黑体" w:cs="Times New Roman Regular"/>
          <w:b/>
          <w:bCs/>
          <w:kern w:val="2"/>
          <w:sz w:val="32"/>
          <w:szCs w:val="32"/>
          <w:lang w:val="en-US" w:eastAsia="zh-CN" w:bidi="ar-SA"/>
        </w:rPr>
        <w:t>七</w:t>
      </w:r>
      <w:r>
        <w:rPr>
          <w:rFonts w:hint="default" w:ascii="Times New Roman Regular" w:hAnsi="Times New Roman Regular" w:eastAsia="黑体" w:cs="Times New Roman Regular"/>
          <w:b/>
          <w:bCs/>
          <w:kern w:val="2"/>
          <w:sz w:val="32"/>
          <w:szCs w:val="32"/>
          <w:highlight w:val="none"/>
          <w:lang w:val="en-US" w:eastAsia="zh-CN" w:bidi="ar-SA"/>
        </w:rPr>
        <w:t>、存在的主要问题</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1" w:name="_Toc4125"/>
      <w:r>
        <w:rPr>
          <w:rFonts w:hint="eastAsia" w:ascii="Times New Roman Regular" w:hAnsi="Times New Roman Regular" w:eastAsia="楷体" w:cs="Times New Roman Regular"/>
          <w:b/>
          <w:bCs/>
          <w:sz w:val="32"/>
          <w:szCs w:val="32"/>
          <w:lang w:val="en-US" w:eastAsia="zh-CN"/>
        </w:rPr>
        <w:t>（一）政府采购方面</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政府采购</w:t>
      </w:r>
      <w:r>
        <w:rPr>
          <w:rFonts w:hint="default" w:ascii="Times New Roman Regular" w:hAnsi="Times New Roman Regular" w:eastAsia="仿宋" w:cs="Times New Roman Regular"/>
          <w:b w:val="0"/>
          <w:bCs w:val="0"/>
          <w:sz w:val="32"/>
          <w:szCs w:val="32"/>
          <w:lang w:eastAsia="zh-CN"/>
        </w:rPr>
        <w:t>流程不规范。经查看2022-4-4#号凭证，付消防器材费9868元，后附政府采购合同协议书、验收单，无《办公室物资采购申请单》；2022-1-5#号凭证，付劳动力调查费用10384元，后附政府采购合同协议书、验收单、劳动力调查发放物资表，无《办公室物资采购申请单》；不符合统计局《采购管理制度》第七条“在满足物资采购条件时，办公室跟据库存记录，提出采购申请，填写《办公物资采购申请单》……办公室物资管理相关人员凭审定后的《办公物资采购申请单》交办公室采购相关人员联系采购”这一规定</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2" w:name="_Toc1264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bookmarkStart w:id="33" w:name="_Toc19409"/>
      <w:r>
        <w:rPr>
          <w:rFonts w:hint="eastAsia" w:ascii="Times New Roman Regular" w:hAnsi="Times New Roman Regular" w:eastAsia="楷体" w:cs="Times New Roman Regular"/>
          <w:b/>
          <w:bCs/>
          <w:sz w:val="32"/>
          <w:szCs w:val="32"/>
          <w:lang w:val="en-US" w:eastAsia="zh-CN"/>
        </w:rPr>
        <w:t>资产管理</w:t>
      </w:r>
      <w:bookmarkEnd w:id="33"/>
      <w:r>
        <w:rPr>
          <w:rFonts w:hint="eastAsia" w:ascii="Times New Roman Regular" w:hAnsi="Times New Roman Regular" w:eastAsia="楷体" w:cs="Times New Roman Regular"/>
          <w:b/>
          <w:bCs/>
          <w:sz w:val="32"/>
          <w:szCs w:val="32"/>
          <w:lang w:val="en-US" w:eastAsia="zh-CN"/>
        </w:rPr>
        <w:t>方面</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lang w:val="en-US" w:eastAsia="zh-CN"/>
        </w:rPr>
      </w:pPr>
      <w:bookmarkStart w:id="34" w:name="_Toc3769"/>
      <w:r>
        <w:rPr>
          <w:rFonts w:hint="eastAsia" w:ascii="Times New Roman Regular" w:hAnsi="Times New Roman Regular" w:eastAsia="仿宋" w:cs="Times New Roman Regular"/>
          <w:b w:val="0"/>
          <w:bCs w:val="0"/>
          <w:sz w:val="32"/>
          <w:szCs w:val="32"/>
          <w:lang w:val="en-US" w:eastAsia="zh-CN"/>
        </w:rPr>
        <w:t>存在资产管理不规范的情况。经现场检查单位资产，一是资产均未贴标，且大部分资产在资产卡片列表中未写明资产存放位置，不利于单位资产管理。</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none"/>
          <w:lang w:val="en-US" w:eastAsia="zh-CN"/>
        </w:rPr>
      </w:pPr>
      <w:bookmarkStart w:id="35" w:name="_Toc14638"/>
      <w:r>
        <w:rPr>
          <w:rFonts w:hint="default" w:ascii="Times New Roman Regular" w:hAnsi="Times New Roman Regular" w:eastAsia="黑体" w:cs="Times New Roman Regular"/>
          <w:b/>
          <w:bCs/>
          <w:kern w:val="2"/>
          <w:sz w:val="32"/>
          <w:szCs w:val="32"/>
          <w:highlight w:val="none"/>
          <w:lang w:val="en-US" w:eastAsia="zh-CN" w:bidi="ar-SA"/>
        </w:rPr>
        <w:t>八、相关建议</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6" w:name="_Toc8350"/>
      <w:bookmarkStart w:id="37" w:name="_Toc25649"/>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加强政府采购管理</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eastAsia="zh-CN"/>
        </w:rPr>
        <w:t>一是</w:t>
      </w:r>
      <w:r>
        <w:rPr>
          <w:rFonts w:hint="eastAsia" w:ascii="Times New Roman Regular" w:hAnsi="Times New Roman Regular" w:eastAsia="仿宋" w:cs="Times New Roman Regular"/>
          <w:b w:val="0"/>
          <w:bCs w:val="0"/>
          <w:sz w:val="32"/>
          <w:szCs w:val="32"/>
          <w:lang w:val="en-US" w:eastAsia="zh-CN"/>
        </w:rPr>
        <w:t>加强政府采购的制度建设，</w:t>
      </w:r>
      <w:r>
        <w:rPr>
          <w:rFonts w:hint="default" w:ascii="Times New Roman Regular" w:hAnsi="Times New Roman Regular" w:eastAsia="仿宋" w:cs="Times New Roman Regular"/>
          <w:b w:val="0"/>
          <w:bCs w:val="0"/>
          <w:sz w:val="32"/>
          <w:szCs w:val="32"/>
          <w:lang w:val="en-US" w:eastAsia="zh-CN"/>
        </w:rPr>
        <w:t>增强政府采购预算的刚性约束，严格按预算执行政府采购支出</w:t>
      </w:r>
      <w:r>
        <w:rPr>
          <w:rFonts w:hint="default" w:ascii="Times New Roman Regular" w:hAnsi="Times New Roman Regular" w:eastAsia="仿宋" w:cs="Times New Roman Regular"/>
          <w:b w:val="0"/>
          <w:bCs w:val="0"/>
          <w:sz w:val="32"/>
          <w:szCs w:val="32"/>
          <w:lang w:eastAsia="zh-CN"/>
        </w:rPr>
        <w:t>，二是规范政府采购流程的管控，严格执行政府采购程序</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8" w:name="_Toc2747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规范资产管理</w:t>
      </w:r>
      <w:bookmarkEnd w:id="38"/>
    </w:p>
    <w:p>
      <w:pPr>
        <w:ind w:firstLine="640" w:firstLineChars="200"/>
        <w:rPr>
          <w:rFonts w:hint="default"/>
          <w:lang w:val="en-US" w:eastAsia="zh-CN"/>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对于资产分类、资产品牌、规格型号等资产信息录入错误的情况及时更正，</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bookmarkEnd w:id="37"/>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9" w:name="_Toc10203"/>
      <w:r>
        <w:rPr>
          <w:rFonts w:hint="default" w:ascii="Times New Roman Regular" w:hAnsi="Times New Roman Regular" w:eastAsia="黑体" w:cs="Times New Roman Regular"/>
          <w:b/>
          <w:bCs/>
          <w:kern w:val="2"/>
          <w:sz w:val="32"/>
          <w:szCs w:val="32"/>
          <w:lang w:val="en-US" w:eastAsia="zh-CN" w:bidi="ar-SA"/>
        </w:rPr>
        <w:t>九、报告使用情况说明</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邵阳市北塔区统计局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20"/>
        <w:rPr>
          <w:rFonts w:hint="default" w:ascii="Times New Roman Regular" w:hAnsi="Times New Roman Regular" w:eastAsia="仿宋" w:cs="Times New Roman Regular"/>
          <w:b w:val="0"/>
          <w:bCs w:val="0"/>
          <w:sz w:val="32"/>
          <w:szCs w:val="32"/>
          <w:lang w:val="en-US" w:eastAsia="zh-CN"/>
        </w:rPr>
      </w:pPr>
    </w:p>
    <w:p>
      <w:pPr>
        <w:pStyle w:val="20"/>
        <w:rPr>
          <w:rFonts w:hint="default" w:ascii="Times New Roman Regular" w:hAnsi="Times New Roman Regular" w:eastAsia="仿宋" w:cs="Times New Roman Regular"/>
          <w:b w:val="0"/>
          <w:bCs w:val="0"/>
          <w:sz w:val="32"/>
          <w:szCs w:val="32"/>
          <w:lang w:val="en-US" w:eastAsia="zh-CN"/>
        </w:rPr>
      </w:pPr>
    </w:p>
    <w:p>
      <w:pPr>
        <w:pStyle w:val="20"/>
        <w:rPr>
          <w:rFonts w:hint="default" w:ascii="Times New Roman Regular" w:hAnsi="Times New Roman Regular" w:eastAsia="仿宋" w:cs="Times New Roman Regular"/>
          <w:b w:val="0"/>
          <w:bCs w:val="0"/>
          <w:sz w:val="32"/>
          <w:szCs w:val="32"/>
          <w:lang w:val="en-US" w:eastAsia="zh-CN"/>
        </w:rPr>
      </w:pPr>
    </w:p>
    <w:p>
      <w:pPr>
        <w:pStyle w:val="20"/>
        <w:rPr>
          <w:rFonts w:hint="default" w:ascii="Times New Roman Regular" w:hAnsi="Times New Roman Regular" w:eastAsia="仿宋" w:cs="Times New Roman Regular"/>
          <w:b w:val="0"/>
          <w:bCs w:val="0"/>
          <w:sz w:val="32"/>
          <w:szCs w:val="32"/>
          <w:lang w:val="en-US" w:eastAsia="zh-CN"/>
        </w:rPr>
      </w:pPr>
    </w:p>
    <w:p>
      <w:pPr>
        <w:pStyle w:val="12"/>
        <w:rPr>
          <w:rFonts w:hint="default" w:ascii="Times New Roman Regular" w:hAnsi="Times New Roman Regular" w:eastAsia="仿宋" w:cs="Times New Roman Regular"/>
          <w:b w:val="0"/>
          <w:bCs w:val="0"/>
          <w:sz w:val="32"/>
          <w:szCs w:val="32"/>
          <w:lang w:val="en-US" w:eastAsia="zh-CN"/>
        </w:rPr>
      </w:pPr>
    </w:p>
    <w:p>
      <w:pPr>
        <w:pStyle w:val="12"/>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邵阳市北塔区统计局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2"/>
        <w:rPr>
          <w:rFonts w:hint="default"/>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邵阳市北塔区统计局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绩效评价基础数据表</w:t>
      </w:r>
    </w:p>
    <w:p>
      <w:pPr>
        <w:pStyle w:val="12"/>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邵阳市北塔区统计局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绩效评价自评表</w:t>
      </w:r>
    </w:p>
    <w:p>
      <w:pPr>
        <w:rPr>
          <w:rFonts w:hint="eastAsia" w:ascii="Times New Roman Regular" w:hAnsi="Times New Roman Regular" w:eastAsia="仿宋" w:cs="Times New Roman Regular"/>
          <w:b w:val="0"/>
          <w:bCs w:val="0"/>
          <w:sz w:val="32"/>
          <w:szCs w:val="32"/>
          <w:lang w:val="en-US" w:eastAsia="zh-CN"/>
        </w:rPr>
      </w:pPr>
    </w:p>
    <w:p>
      <w:pPr>
        <w:pStyle w:val="20"/>
        <w:rPr>
          <w:rFonts w:hint="eastAsia" w:ascii="Times New Roman Regular" w:hAnsi="Times New Roman Regular" w:eastAsia="仿宋" w:cs="Times New Roman Regular"/>
          <w:b w:val="0"/>
          <w:bCs w:val="0"/>
          <w:sz w:val="32"/>
          <w:szCs w:val="32"/>
          <w:lang w:val="en-US" w:eastAsia="zh-CN"/>
        </w:rPr>
      </w:pPr>
    </w:p>
    <w:p>
      <w:pPr>
        <w:pStyle w:val="20"/>
        <w:rPr>
          <w:rFonts w:hint="default" w:ascii="Times New Roman Regular" w:hAnsi="Times New Roman Regular" w:eastAsia="仿宋" w:cs="Times New Roman Regular"/>
          <w:b w:val="0"/>
          <w:bCs w:val="0"/>
          <w:sz w:val="32"/>
          <w:szCs w:val="32"/>
          <w:lang w:val="en-US" w:eastAsia="zh-CN"/>
        </w:rPr>
      </w:pPr>
    </w:p>
    <w:p>
      <w:pPr>
        <w:pStyle w:val="13"/>
        <w:rPr>
          <w:rFonts w:hint="default"/>
          <w:lang w:val="en-US" w:eastAsia="zh-CN"/>
        </w:rPr>
      </w:pPr>
    </w:p>
    <w:p>
      <w:pPr>
        <w:pStyle w:val="12"/>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1200" w:firstLineChars="4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Times New Roman Regular" w:hAnsi="Times New Roman Regular" w:eastAsia="楷体" w:cs="Times New Roman Regular"/>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2"/>
        <w:rPr>
          <w:rFonts w:hint="default" w:ascii="Times New Roman Regular" w:hAnsi="Times New Roman Regular" w:cs="Times New Roman Regular"/>
          <w:lang w:val="en-US" w:eastAsia="zh-CN"/>
        </w:rPr>
      </w:pPr>
    </w:p>
    <w:p>
      <w:pPr>
        <w:pStyle w:val="12"/>
        <w:ind w:firstLine="5670" w:firstLineChars="2700"/>
        <w:rPr>
          <w:rFonts w:hint="default" w:ascii="Times New Roman Regular" w:hAnsi="Times New Roman Regular" w:cs="Times New Roman Regular"/>
          <w:lang w:val="en-US" w:eastAsia="zh-CN"/>
        </w:rPr>
      </w:pPr>
    </w:p>
    <w:p>
      <w:pPr>
        <w:pStyle w:val="12"/>
        <w:ind w:firstLine="5670" w:firstLineChars="2700"/>
        <w:rPr>
          <w:rFonts w:hint="default" w:ascii="Times New Roman Regular" w:hAnsi="Times New Roman Regular" w:cs="Times New Roman Regular"/>
          <w:lang w:val="en-US" w:eastAsia="zh-CN"/>
        </w:rPr>
      </w:pPr>
    </w:p>
    <w:p>
      <w:pPr>
        <w:pStyle w:val="12"/>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rPr>
          <w:rFonts w:hint="default"/>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统计局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1"/>
        <w:gridCol w:w="1015"/>
        <w:gridCol w:w="1473"/>
        <w:gridCol w:w="917"/>
        <w:gridCol w:w="5773"/>
        <w:gridCol w:w="931"/>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4"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政府采购管理制度、资产管理制度均未得到有效执行，扣1分。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经查看单位相关资料，政府采购流程不规范，扣2分。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一是资产未贴标；二是存在资产分类、资产品牌录入错误的情况，扣</w:t>
            </w:r>
            <w:r>
              <w:rPr>
                <w:rFonts w:hint="eastAsia" w:ascii="Times New Roman" w:hAnsi="Times New Roman" w:cs="Times New Roman"/>
                <w:color w:val="000000"/>
                <w:sz w:val="18"/>
                <w:szCs w:val="18"/>
                <w:lang w:val="en-US" w:eastAsia="zh-CN"/>
              </w:rPr>
              <w:t>2</w:t>
            </w:r>
            <w:r>
              <w:rPr>
                <w:rFonts w:hint="eastAsia" w:ascii="Times New Roman" w:hAnsi="Times New Roman" w:cs="Times New Roman" w:eastAsiaTheme="minorEastAsia"/>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4"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灾害防治、森林防火、安全生产知识培训覆盖村（社区）数</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5</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灾害防治、森林防火、安全生产知识培训覆盖村（社区）数达到17个，工作</w:t>
            </w:r>
            <w:r>
              <w:rPr>
                <w:rFonts w:ascii="Times New Roman" w:hAnsi="Times New Roman" w:cs="Times New Roman" w:eastAsiaTheme="minorEastAsia"/>
                <w:color w:val="000000"/>
                <w:sz w:val="18"/>
                <w:szCs w:val="18"/>
              </w:rPr>
              <w:t>完成率100%，计</w:t>
            </w:r>
            <w:r>
              <w:rPr>
                <w:rFonts w:hint="eastAsia" w:ascii="Times New Roman" w:hAnsi="Times New Roman" w:cs="Times New Roman"/>
                <w:color w:val="000000"/>
                <w:sz w:val="18"/>
                <w:szCs w:val="18"/>
                <w:lang w:val="en-US" w:eastAsia="zh-CN"/>
              </w:rPr>
              <w:t>满</w:t>
            </w:r>
            <w:r>
              <w:rPr>
                <w:rFonts w:ascii="Times New Roman" w:hAnsi="Times New Roman" w:cs="Times New Roman" w:eastAsiaTheme="minorEastAsia"/>
                <w:color w:val="000000"/>
                <w:sz w:val="18"/>
                <w:szCs w:val="18"/>
              </w:rPr>
              <w:t>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r>
              <w:rPr>
                <w:rFonts w:hint="eastAsia" w:ascii="Times New Roman" w:hAnsi="Times New Roman" w:cs="Times New Roman"/>
                <w:color w:val="000000"/>
                <w:sz w:val="18"/>
                <w:szCs w:val="18"/>
                <w:lang w:eastAsia="zh-CN"/>
              </w:rPr>
              <w:t>。</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highlight w:val="none"/>
                <w:lang w:val="en-US" w:eastAsia="zh-CN"/>
              </w:rPr>
            </w:pPr>
            <w:r>
              <w:rPr>
                <w:rFonts w:hint="default" w:ascii="Times New Roman" w:hAnsi="Times New Roman" w:cs="Times New Roman" w:eastAsiaTheme="minorEastAsia"/>
                <w:color w:val="000000"/>
                <w:sz w:val="18"/>
                <w:szCs w:val="18"/>
                <w:highlight w:val="none"/>
                <w:lang w:val="en-US" w:eastAsia="zh-CN"/>
              </w:rPr>
              <w:t>工资及政策性社会保障性资金按月支付次数</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highlight w:val="none"/>
                <w:lang w:val="en-US" w:eastAsia="zh-CN"/>
              </w:rPr>
              <w:t>工资及政策性社会保障性资金按月支付次数</w:t>
            </w:r>
            <w:r>
              <w:rPr>
                <w:rFonts w:hint="eastAsia" w:ascii="Times New Roman" w:hAnsi="Times New Roman" w:cs="Times New Roman"/>
                <w:color w:val="000000"/>
                <w:sz w:val="18"/>
                <w:szCs w:val="18"/>
                <w:highlight w:val="none"/>
                <w:lang w:val="en-US" w:eastAsia="zh-CN"/>
              </w:rPr>
              <w:t>12次，</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完成率100%，计</w:t>
            </w:r>
            <w:r>
              <w:rPr>
                <w:rFonts w:hint="eastAsia" w:ascii="Times New Roman" w:hAnsi="Times New Roman" w:cs="Times New Roman"/>
                <w:color w:val="000000"/>
                <w:sz w:val="18"/>
                <w:szCs w:val="18"/>
                <w:lang w:val="en-US" w:eastAsia="zh-CN"/>
              </w:rPr>
              <w:t>满</w:t>
            </w:r>
            <w:r>
              <w:rPr>
                <w:rFonts w:ascii="Times New Roman" w:hAnsi="Times New Roman" w:cs="Times New Roman" w:eastAsiaTheme="minorEastAsia"/>
                <w:color w:val="000000"/>
                <w:sz w:val="18"/>
                <w:szCs w:val="18"/>
              </w:rPr>
              <w:t>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r>
              <w:rPr>
                <w:rFonts w:hint="eastAsia" w:ascii="Times New Roman" w:hAnsi="Times New Roman" w:cs="Times New Roman"/>
                <w:color w:val="000000"/>
                <w:sz w:val="18"/>
                <w:szCs w:val="18"/>
                <w:lang w:eastAsia="zh-CN"/>
              </w:rPr>
              <w:t>。</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70" w:lineRule="exact"/>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惠民惠农资金准确及时发放</w:t>
            </w:r>
          </w:p>
          <w:p>
            <w:pPr>
              <w:spacing w:line="370" w:lineRule="exact"/>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到户</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达到100%，得</w:t>
            </w:r>
            <w:r>
              <w:rPr>
                <w:rFonts w:hint="eastAsia" w:ascii="Times New Roman" w:hAnsi="Times New Roman" w:cs="Times New Roman"/>
                <w:color w:val="000000"/>
                <w:sz w:val="18"/>
                <w:szCs w:val="18"/>
                <w:lang w:val="en-US" w:eastAsia="zh-CN"/>
              </w:rPr>
              <w:t>满</w:t>
            </w:r>
            <w:r>
              <w:rPr>
                <w:rFonts w:hint="eastAsia" w:ascii="Times New Roman" w:hAnsi="Times New Roman" w:cs="Times New Roman" w:eastAsiaTheme="minorEastAsia"/>
                <w:color w:val="000000"/>
                <w:sz w:val="18"/>
                <w:szCs w:val="18"/>
                <w:lang w:val="en-US" w:eastAsia="zh-CN"/>
              </w:rPr>
              <w:t>分，</w:t>
            </w:r>
            <w:r>
              <w:rPr>
                <w:rFonts w:hint="eastAsia" w:ascii="Times New Roman" w:hAnsi="Times New Roman" w:cs="Times New Roman" w:eastAsiaTheme="minorEastAsia"/>
                <w:color w:val="000000"/>
                <w:sz w:val="18"/>
                <w:szCs w:val="18"/>
              </w:rPr>
              <w:t>未达到按实际完成情况得分。每下降5%，扣1分，扣完为止。</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70" w:lineRule="exact"/>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工资津贴发放率</w:t>
            </w:r>
          </w:p>
        </w:tc>
        <w:tc>
          <w:tcPr>
            <w:tcW w:w="326"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达到100%，得</w:t>
            </w:r>
            <w:r>
              <w:rPr>
                <w:rFonts w:hint="eastAsia" w:ascii="Times New Roman" w:hAnsi="Times New Roman" w:cs="Times New Roman"/>
                <w:color w:val="000000"/>
                <w:sz w:val="18"/>
                <w:szCs w:val="18"/>
                <w:lang w:val="en-US" w:eastAsia="zh-CN"/>
              </w:rPr>
              <w:t>满</w:t>
            </w:r>
            <w:r>
              <w:rPr>
                <w:rFonts w:hint="eastAsia" w:ascii="Times New Roman" w:hAnsi="Times New Roman" w:cs="Times New Roman" w:eastAsiaTheme="minorEastAsia"/>
                <w:color w:val="000000"/>
                <w:sz w:val="18"/>
                <w:szCs w:val="18"/>
                <w:lang w:val="en-US" w:eastAsia="zh-CN"/>
              </w:rPr>
              <w:t>分，</w:t>
            </w:r>
            <w:r>
              <w:rPr>
                <w:rFonts w:hint="eastAsia" w:ascii="Times New Roman" w:hAnsi="Times New Roman" w:cs="Times New Roman" w:eastAsiaTheme="minorEastAsia"/>
                <w:color w:val="000000"/>
                <w:sz w:val="18"/>
                <w:szCs w:val="18"/>
              </w:rPr>
              <w:t>未达到按实际完成情况得分。每下降5%，扣1分，扣完为止。</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eastAsiaTheme="minorEastAsia"/>
                <w:color w:val="000000"/>
                <w:sz w:val="18"/>
                <w:szCs w:val="18"/>
                <w:lang w:eastAsia="zh-CN"/>
              </w:rPr>
              <w:t>重点工作办结率</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70" w:lineRule="exact"/>
              <w:jc w:val="both"/>
              <w:rPr>
                <w:rFonts w:ascii="Times New Roman" w:hAnsi="Times New Roman" w:cs="Times New Roman" w:eastAsia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hint="eastAsia" w:ascii="Times New Roman" w:hAnsi="Times New Roman" w:cs="Times New Roman" w:eastAsiaTheme="minorEastAsia"/>
                <w:color w:val="000000"/>
                <w:sz w:val="18"/>
                <w:szCs w:val="18"/>
                <w:lang w:val="en-US" w:eastAsia="zh-CN"/>
              </w:rPr>
              <w:t>各项业务经费不超出预算，超支审批</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各项业务经费不超出预算，</w:t>
            </w:r>
            <w:r>
              <w:rPr>
                <w:rFonts w:ascii="Times New Roman" w:hAnsi="Times New Roman" w:cs="Times New Roman" w:eastAsiaTheme="minorEastAsia"/>
                <w:color w:val="000000"/>
                <w:sz w:val="18"/>
                <w:szCs w:val="18"/>
              </w:rPr>
              <w:t>得满分；未达到按实际完成情况得分。</w:t>
            </w:r>
          </w:p>
          <w:p>
            <w:pPr>
              <w:spacing w:line="370" w:lineRule="exact"/>
              <w:jc w:val="both"/>
              <w:rPr>
                <w:rFonts w:ascii="Times New Roman" w:hAnsi="Times New Roman" w:cs="Times New Roman" w:eastAsiaTheme="minorEastAsia"/>
                <w:color w:val="000000"/>
                <w:sz w:val="18"/>
                <w:szCs w:val="18"/>
              </w:rPr>
            </w:pP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经济效益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highlight w:val="yellow"/>
                <w:lang w:val="en-US" w:eastAsia="zh-CN"/>
              </w:rPr>
            </w:pPr>
            <w:r>
              <w:rPr>
                <w:rFonts w:hint="eastAsia" w:ascii="Times New Roman" w:hAnsi="Times New Roman" w:cs="Times New Roman"/>
                <w:color w:val="000000"/>
                <w:sz w:val="18"/>
                <w:szCs w:val="18"/>
                <w:highlight w:val="none"/>
                <w:shd w:val="clear"/>
                <w:lang w:val="en-US" w:eastAsia="zh-CN"/>
              </w:rPr>
              <w:t>4</w:t>
            </w:r>
          </w:p>
        </w:tc>
        <w:tc>
          <w:tcPr>
            <w:tcW w:w="2053"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highlight w:val="yellow"/>
                <w:lang w:val="en-US"/>
              </w:rPr>
            </w:pPr>
            <w:r>
              <w:rPr>
                <w:rFonts w:hint="eastAsia" w:ascii="Times New Roman" w:hAnsi="Times New Roman" w:cs="Times New Roman"/>
                <w:color w:val="000000"/>
                <w:sz w:val="18"/>
                <w:szCs w:val="18"/>
                <w:lang w:val="en-US" w:eastAsia="zh-CN"/>
              </w:rPr>
              <w:t>考核单位工作的开展是否能降低人、畜、作物死亡率，促进农民增收，结合单位工作开展情况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考核单位工作的开展是否能确保社会特殊困难人群的基本生活保障；改善农村道路基础设施建设，保障村道、组道公路网络；通过排查化解安全隐患、矛盾纠纷，确保社会安定和谐。结合单位工作开展情况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hint="eastAsia" w:ascii="Times New Roman" w:hAnsi="Times New Roman" w:cs="Times New Roman" w:eastAsiaTheme="minorEastAsia"/>
                <w:color w:val="000000"/>
                <w:sz w:val="18"/>
                <w:szCs w:val="18"/>
              </w:rPr>
              <w:t>生态效益</w:t>
            </w:r>
          </w:p>
        </w:tc>
        <w:tc>
          <w:tcPr>
            <w:tcW w:w="326" w:type="pct"/>
            <w:shd w:val="clear" w:color="auto" w:fill="auto"/>
            <w:vAlign w:val="center"/>
          </w:tcPr>
          <w:p>
            <w:pPr>
              <w:spacing w:line="36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考核单位工作的开展是否能加强生态文明建设，结合单位工作开展情况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kern w:val="2"/>
                <w:sz w:val="18"/>
                <w:szCs w:val="18"/>
                <w:lang w:val="en-US" w:eastAsia="zh-CN" w:bidi="ar-SA"/>
              </w:rPr>
              <w:t>2</w:t>
            </w:r>
          </w:p>
        </w:tc>
        <w:tc>
          <w:tcPr>
            <w:tcW w:w="2053" w:type="pct"/>
            <w:shd w:val="clear" w:color="auto" w:fill="auto"/>
            <w:vAlign w:val="center"/>
          </w:tcPr>
          <w:p>
            <w:pPr>
              <w:spacing w:line="360" w:lineRule="exact"/>
              <w:jc w:val="both"/>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考核单位工作的开展是否能提高民众思想文化素养、持续加强文明环境，结合单位工作开展情况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4" w:type="pct"/>
            <w:shd w:val="clear" w:color="auto" w:fill="auto"/>
            <w:vAlign w:val="center"/>
          </w:tcPr>
          <w:p>
            <w:pPr>
              <w:spacing w:line="36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单位职工</w:t>
            </w:r>
            <w:r>
              <w:rPr>
                <w:rFonts w:hint="eastAsia" w:ascii="Times New Roman" w:hAnsi="Times New Roman" w:cs="Times New Roman"/>
                <w:color w:val="000000"/>
                <w:sz w:val="18"/>
                <w:szCs w:val="18"/>
                <w:highlight w:val="none"/>
                <w:lang w:val="en-US" w:eastAsia="zh-CN"/>
              </w:rPr>
              <w:t>及受益群众</w:t>
            </w:r>
            <w:r>
              <w:rPr>
                <w:rFonts w:ascii="Times New Roman" w:hAnsi="Times New Roman" w:cs="Times New Roman" w:eastAsiaTheme="minorEastAsia"/>
                <w:color w:val="000000"/>
                <w:sz w:val="18"/>
                <w:szCs w:val="18"/>
                <w:highlight w:val="none"/>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95</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pStyle w:val="2"/>
        <w:rPr>
          <w:rFonts w:hint="eastAsia" w:ascii="Times New Roman Regular" w:hAnsi="Times New Roman Regular" w:eastAsia="仿宋" w:cs="Times New Roman Regular"/>
          <w:b w:val="0"/>
          <w:bCs w:val="0"/>
          <w:sz w:val="31"/>
          <w:szCs w:val="31"/>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sectPr>
          <w:headerReference r:id="rId5" w:type="default"/>
          <w:footerReference r:id="rId6" w:type="default"/>
          <w:pgSz w:w="16838" w:h="11906" w:orient="landscape"/>
          <w:pgMar w:top="1519" w:right="1497" w:bottom="1519" w:left="1497" w:header="851" w:footer="992" w:gutter="0"/>
          <w:pgNumType w:fmt="decimal" w:start="1"/>
          <w:cols w:space="720"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2</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pStyle w:val="2"/>
        <w:ind w:left="0" w:leftChars="0" w:firstLine="0" w:firstLineChars="0"/>
        <w:jc w:val="center"/>
        <w:rPr>
          <w:rFonts w:hint="default"/>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统计局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w:t>
      </w:r>
    </w:p>
    <w:p>
      <w:pPr>
        <w:widowControl/>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cs="Times New Roman"/>
          <w:kern w:val="0"/>
          <w:sz w:val="24"/>
        </w:rPr>
      </w:pP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p>
    <w:tbl>
      <w:tblPr>
        <w:tblStyle w:val="17"/>
        <w:tblW w:w="9111" w:type="dxa"/>
        <w:jc w:val="center"/>
        <w:tblLayout w:type="fixed"/>
        <w:tblCellMar>
          <w:top w:w="0" w:type="dxa"/>
          <w:left w:w="108" w:type="dxa"/>
          <w:bottom w:w="0" w:type="dxa"/>
          <w:right w:w="108" w:type="dxa"/>
        </w:tblCellMar>
      </w:tblPr>
      <w:tblGrid>
        <w:gridCol w:w="3354"/>
        <w:gridCol w:w="1709"/>
        <w:gridCol w:w="5"/>
        <w:gridCol w:w="5"/>
        <w:gridCol w:w="2319"/>
        <w:gridCol w:w="171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编制数</w:t>
            </w:r>
          </w:p>
        </w:tc>
        <w:tc>
          <w:tcPr>
            <w:tcW w:w="232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w:t>
            </w:r>
          </w:p>
        </w:tc>
        <w:tc>
          <w:tcPr>
            <w:tcW w:w="232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当年决算数</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210.25</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133.71</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357.25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其中： 1、压缩一般性支出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210.25</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133.71</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357.25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1.35</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文化旅游体育与传媒支出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eastAsia" w:ascii="Times New Roman" w:hAnsi="Times New Roman"/>
                <w:kern w:val="0"/>
                <w:szCs w:val="21"/>
              </w:rPr>
              <w:t>节能环保支出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商业服务业等支出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eastAsia" w:ascii="Times New Roman" w:hAnsi="Times New Roman"/>
                <w:kern w:val="0"/>
                <w:szCs w:val="21"/>
              </w:rPr>
              <w:t>灾害防治及应急管理支出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其他支出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kern w:val="0"/>
                <w:szCs w:val="21"/>
              </w:rPr>
              <w:t>社会保障和就业支出</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w:t>
            </w: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eastAsia="仿宋_GB2312" w:cs="Times New Roman"/>
                <w:kern w:val="0"/>
                <w:szCs w:val="21"/>
              </w:rPr>
            </w:pPr>
            <w:r>
              <w:rPr>
                <w:rFonts w:hint="eastAsia" w:ascii="Times New Roman" w:hAnsi="Times New Roman"/>
                <w:kern w:val="0"/>
                <w:szCs w:val="21"/>
              </w:rPr>
              <w:t>城乡社区支出</w:t>
            </w:r>
          </w:p>
        </w:tc>
        <w:tc>
          <w:tcPr>
            <w:tcW w:w="171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eastAsia" w:ascii="Times New Roman" w:hAnsi="Times New Roman"/>
                <w:kern w:val="0"/>
                <w:szCs w:val="21"/>
              </w:rPr>
            </w:pPr>
            <w:r>
              <w:rPr>
                <w:rFonts w:hint="eastAsia" w:ascii="Times New Roman" w:hAnsi="Times New Roman"/>
                <w:kern w:val="0"/>
                <w:szCs w:val="21"/>
              </w:rPr>
              <w:t>政府采购金额</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32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rPr>
            </w:pPr>
            <w:r>
              <w:rPr>
                <w:rFonts w:hint="eastAsia" w:ascii="Times New Roman" w:hAnsi="Times New Roman"/>
                <w:kern w:val="0"/>
                <w:szCs w:val="21"/>
              </w:rPr>
              <w:t>厉行节约保障措施</w:t>
            </w:r>
          </w:p>
        </w:tc>
        <w:tc>
          <w:tcPr>
            <w:tcW w:w="5757"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ab/>
            </w:r>
            <w:r>
              <w:rPr>
                <w:rFonts w:hint="eastAsia" w:ascii="Times New Roman" w:hAnsi="Times New Roman"/>
                <w:kern w:val="0"/>
                <w:szCs w:val="21"/>
                <w:lang w:val="en-US" w:eastAsia="zh-CN"/>
              </w:rPr>
              <w:t>严格控制三公经费支出</w:t>
            </w:r>
            <w:r>
              <w:rPr>
                <w:rFonts w:hint="eastAsia" w:ascii="Times New Roman" w:hAnsi="Times New Roman"/>
                <w:kern w:val="0"/>
                <w:szCs w:val="21"/>
              </w:rPr>
              <w:t>　　</w:t>
            </w:r>
          </w:p>
        </w:tc>
      </w:tr>
    </w:tbl>
    <w:p>
      <w:pPr>
        <w:pStyle w:val="2"/>
        <w:ind w:left="0" w:leftChars="0" w:firstLine="0" w:firstLineChars="0"/>
        <w:rPr>
          <w:rFonts w:hint="default"/>
        </w:rPr>
        <w:sectPr>
          <w:headerReference r:id="rId7" w:type="default"/>
          <w:pgSz w:w="11906" w:h="16838"/>
          <w:pgMar w:top="1497" w:right="1519" w:bottom="1497" w:left="1519" w:header="680" w:footer="992" w:gutter="0"/>
          <w:pgNumType w:fmt="decimal"/>
          <w:cols w:space="720" w:num="1"/>
          <w:docGrid w:type="lines" w:linePitch="312" w:charSpace="0"/>
        </w:sectPr>
      </w:pPr>
    </w:p>
    <w:p>
      <w:pPr>
        <w:pStyle w:val="20"/>
        <w:ind w:left="0" w:leftChars="0" w:firstLine="0" w:firstLineChars="0"/>
        <w:rPr>
          <w:rFonts w:hint="eastAsia"/>
          <w:b/>
          <w:bCs/>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3</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邵阳市北塔区</w:t>
      </w:r>
      <w:r>
        <w:rPr>
          <w:rFonts w:hint="eastAsia" w:ascii="Times New Roman" w:hAnsi="Times New Roman" w:eastAsia="方正小标宋_GBK" w:cs="Times New Roman"/>
          <w:sz w:val="32"/>
          <w:szCs w:val="32"/>
          <w:highlight w:val="none"/>
          <w:lang w:val="en-US" w:eastAsia="zh-CN"/>
        </w:rPr>
        <w:t>统计局</w:t>
      </w:r>
      <w:r>
        <w:rPr>
          <w:rFonts w:hint="default" w:ascii="Times New Roman" w:hAnsi="Times New Roman" w:eastAsia="方正小标宋_GBK" w:cs="Times New Roman"/>
          <w:sz w:val="32"/>
          <w:szCs w:val="32"/>
          <w:highlight w:val="none"/>
          <w:lang w:val="en-US" w:eastAsia="zh-CN"/>
        </w:rPr>
        <w:t>2022年度部门整体支出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eastAsia="方正小标宋_GBK" w:cs="Times New Roman"/>
          <w:sz w:val="32"/>
          <w:szCs w:val="32"/>
          <w:highlight w:val="none"/>
        </w:rPr>
        <w:t>绩效</w:t>
      </w:r>
      <w:r>
        <w:rPr>
          <w:rFonts w:hint="eastAsia" w:ascii="Times New Roman" w:hAnsi="Times New Roman" w:eastAsia="方正小标宋_GBK" w:cs="Times New Roman"/>
          <w:sz w:val="32"/>
          <w:szCs w:val="32"/>
          <w:highlight w:val="none"/>
          <w:lang w:val="en-US" w:eastAsia="zh-CN"/>
        </w:rPr>
        <w:t>评价</w:t>
      </w:r>
      <w:r>
        <w:rPr>
          <w:rFonts w:hint="default" w:ascii="Times New Roman" w:hAnsi="Times New Roman" w:eastAsia="方正小标宋_GBK" w:cs="Times New Roman"/>
          <w:sz w:val="32"/>
          <w:szCs w:val="32"/>
          <w:highlight w:val="none"/>
        </w:rPr>
        <w:t>自评表</w:t>
      </w:r>
      <w:r>
        <w:rPr>
          <w:rFonts w:hint="default" w:ascii="Times New Roman" w:hAnsi="Times New Roman" w:cs="Times New Roman"/>
          <w:sz w:val="24"/>
        </w:rPr>
        <w:t xml:space="preserve">                    </w:t>
      </w:r>
    </w:p>
    <w:tbl>
      <w:tblPr>
        <w:tblStyle w:val="17"/>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05"/>
        <w:gridCol w:w="1880"/>
        <w:gridCol w:w="1197"/>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部门资金（万元）</w:t>
            </w: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全年预算数</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全年执行数</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预算执行率</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7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年度资金总额　</w:t>
            </w: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163.41</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133.14</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81.64%</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7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4560"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按收入性质分类</w:t>
            </w:r>
          </w:p>
        </w:tc>
        <w:tc>
          <w:tcPr>
            <w:tcW w:w="4740"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一般公共预算拨款</w:t>
            </w: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163.41</w:t>
            </w:r>
          </w:p>
        </w:tc>
        <w:tc>
          <w:tcPr>
            <w:tcW w:w="3077"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基本支出</w:t>
            </w:r>
          </w:p>
        </w:tc>
        <w:tc>
          <w:tcPr>
            <w:tcW w:w="1663"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0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政府性基金拨款</w:t>
            </w: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c>
          <w:tcPr>
            <w:tcW w:w="3077"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1.人员经费</w:t>
            </w:r>
          </w:p>
        </w:tc>
        <w:tc>
          <w:tcPr>
            <w:tcW w:w="1663"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纳入管理的非税收入拨款</w:t>
            </w: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c>
          <w:tcPr>
            <w:tcW w:w="3077"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2.公用经费</w:t>
            </w:r>
          </w:p>
        </w:tc>
        <w:tc>
          <w:tcPr>
            <w:tcW w:w="1663"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3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……拨款</w:t>
            </w: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c>
          <w:tcPr>
            <w:tcW w:w="3077"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其中：三公经费</w:t>
            </w:r>
          </w:p>
        </w:tc>
        <w:tc>
          <w:tcPr>
            <w:tcW w:w="1663"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3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其他资金</w:t>
            </w:r>
          </w:p>
        </w:tc>
        <w:tc>
          <w:tcPr>
            <w:tcW w:w="1605" w:type="dxa"/>
            <w:noWrap w:val="0"/>
            <w:vAlign w:val="center"/>
          </w:tcPr>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c>
          <w:tcPr>
            <w:tcW w:w="3077"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项目支出</w:t>
            </w:r>
          </w:p>
        </w:tc>
        <w:tc>
          <w:tcPr>
            <w:tcW w:w="1663"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9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年度总体目标</w:t>
            </w:r>
          </w:p>
        </w:tc>
        <w:tc>
          <w:tcPr>
            <w:tcW w:w="4560"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年初预期（设定）目标　</w:t>
            </w:r>
          </w:p>
        </w:tc>
        <w:tc>
          <w:tcPr>
            <w:tcW w:w="4740"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58"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4560" w:type="dxa"/>
            <w:gridSpan w:val="4"/>
            <w:noWrap w:val="0"/>
            <w:vAlign w:val="center"/>
          </w:tcPr>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在本年度收支预算内，确保完成以下整体目标：</w:t>
            </w:r>
          </w:p>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目标1：人员经费按照相关政策及时发放到位</w:t>
            </w:r>
          </w:p>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目标2：严格控制三公经费，确保机关正常运行</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目标3：做好社会保障工作</w:t>
            </w:r>
          </w:p>
        </w:tc>
        <w:tc>
          <w:tcPr>
            <w:tcW w:w="4740"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按照财政预算，严控三公经费，2022年本单位正常运行，人员相关经费按照政策及时发放到位。民生支出及时到位，</w:t>
            </w:r>
            <w:r>
              <w:rPr>
                <w:rFonts w:hint="eastAsia" w:ascii="Times New Roman" w:hAnsi="Times New Roman" w:cs="Times New Roman" w:eastAsiaTheme="minorEastAsia"/>
                <w:color w:val="000000"/>
                <w:kern w:val="0"/>
                <w:sz w:val="18"/>
                <w:szCs w:val="18"/>
                <w:highlight w:val="none"/>
              </w:rPr>
              <w:t>本乡经济平稳发展</w:t>
            </w:r>
            <w:r>
              <w:rPr>
                <w:rFonts w:hint="eastAsia" w:ascii="Times New Roman" w:hAnsi="Times New Roman" w:cs="Times New Roman" w:eastAsiaTheme="minorEastAsia"/>
                <w:color w:val="000000"/>
                <w:kern w:val="0"/>
                <w:sz w:val="18"/>
                <w:szCs w:val="18"/>
                <w:highlight w:val="none"/>
                <w:lang w:eastAsia="zh-CN"/>
              </w:rPr>
              <w:t>。</w:t>
            </w:r>
            <w:r>
              <w:rPr>
                <w:rFonts w:hint="eastAsia" w:ascii="Times New Roman" w:hAnsi="Times New Roman" w:cs="Times New Roman" w:eastAsiaTheme="minorEastAsia"/>
                <w:color w:val="000000"/>
                <w:kern w:val="0"/>
                <w:sz w:val="18"/>
                <w:szCs w:val="18"/>
                <w:highlight w:val="none"/>
              </w:rPr>
              <w:t xml:space="preserve"> </w:t>
            </w:r>
            <w:r>
              <w:rPr>
                <w:rFonts w:hint="default" w:ascii="Times New Roman" w:hAnsi="Times New Roman" w:cs="Times New Roman" w:eastAsiaTheme="minorEastAsia"/>
                <w:color w:val="000000"/>
                <w:kern w:val="0"/>
                <w:sz w:val="18"/>
                <w:szCs w:val="18"/>
                <w:highlight w:val="none"/>
              </w:rPr>
              <w:t>　</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2" w:hRule="exac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9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一级</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05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二级指标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三级指标　</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年度指标值</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实际完成值</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产出</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（50分）</w:t>
            </w:r>
          </w:p>
        </w:tc>
        <w:tc>
          <w:tcPr>
            <w:tcW w:w="105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数量指标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灾害防治、森林防火、安全生产知识培训覆盖村</w:t>
            </w:r>
            <w:r>
              <w:rPr>
                <w:rFonts w:hint="eastAsia" w:ascii="Times New Roman" w:hAnsi="Times New Roman" w:cs="Times New Roman" w:eastAsiaTheme="minorEastAsia"/>
                <w:color w:val="000000"/>
                <w:kern w:val="0"/>
                <w:sz w:val="18"/>
                <w:szCs w:val="18"/>
                <w:highlight w:val="none"/>
                <w:lang w:eastAsia="zh-CN"/>
              </w:rPr>
              <w:t>（</w:t>
            </w:r>
            <w:r>
              <w:rPr>
                <w:rFonts w:hint="eastAsia" w:ascii="Times New Roman" w:hAnsi="Times New Roman" w:cs="Times New Roman" w:eastAsiaTheme="minorEastAsia"/>
                <w:color w:val="000000"/>
                <w:kern w:val="0"/>
                <w:sz w:val="18"/>
                <w:szCs w:val="18"/>
                <w:highlight w:val="none"/>
                <w:lang w:val="en-US" w:eastAsia="zh-CN"/>
              </w:rPr>
              <w:t>社区</w:t>
            </w:r>
            <w:r>
              <w:rPr>
                <w:rFonts w:hint="eastAsia" w:ascii="Times New Roman" w:hAnsi="Times New Roman" w:cs="Times New Roman" w:eastAsiaTheme="minorEastAsia"/>
                <w:color w:val="000000"/>
                <w:kern w:val="0"/>
                <w:sz w:val="18"/>
                <w:szCs w:val="18"/>
                <w:highlight w:val="none"/>
                <w:lang w:eastAsia="zh-CN"/>
              </w:rPr>
              <w:t>）</w:t>
            </w:r>
            <w:r>
              <w:rPr>
                <w:rFonts w:hint="eastAsia" w:ascii="Times New Roman" w:hAnsi="Times New Roman" w:cs="Times New Roman" w:eastAsiaTheme="minorEastAsia"/>
                <w:color w:val="000000"/>
                <w:kern w:val="0"/>
                <w:sz w:val="18"/>
                <w:szCs w:val="18"/>
                <w:highlight w:val="none"/>
                <w:lang w:val="en-US" w:eastAsia="zh-CN"/>
              </w:rPr>
              <w:t>数</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17个</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17个</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工资及政策性社会保障性资金按月支付次数</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12次</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12次</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质量指标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惠民</w:t>
            </w:r>
            <w:r>
              <w:rPr>
                <w:rFonts w:hint="eastAsia" w:ascii="Times New Roman" w:hAnsi="Times New Roman" w:cs="Times New Roman" w:eastAsiaTheme="minorEastAsia"/>
                <w:color w:val="000000"/>
                <w:kern w:val="0"/>
                <w:sz w:val="18"/>
                <w:szCs w:val="18"/>
                <w:highlight w:val="none"/>
                <w:lang w:val="en-US" w:eastAsia="zh-CN"/>
              </w:rPr>
              <w:t>惠农</w:t>
            </w:r>
            <w:r>
              <w:rPr>
                <w:rFonts w:hint="eastAsia" w:ascii="Times New Roman" w:hAnsi="Times New Roman" w:cs="Times New Roman" w:eastAsiaTheme="minorEastAsia"/>
                <w:color w:val="000000"/>
                <w:kern w:val="0"/>
                <w:sz w:val="18"/>
                <w:szCs w:val="18"/>
                <w:highlight w:val="none"/>
              </w:rPr>
              <w:t>资金准确及时发放到户</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1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工资津贴发放率</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1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时效指标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重点工作办结率</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按时办结100%</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按时办</w:t>
            </w:r>
            <w:r>
              <w:rPr>
                <w:rFonts w:hint="eastAsia" w:ascii="Times New Roman" w:hAnsi="Times New Roman" w:cs="Times New Roman" w:eastAsiaTheme="minorEastAsia"/>
                <w:color w:val="000000"/>
                <w:kern w:val="0"/>
                <w:sz w:val="18"/>
                <w:szCs w:val="18"/>
                <w:highlight w:val="none"/>
                <w:lang w:val="en-US" w:eastAsia="zh-CN"/>
              </w:rPr>
              <w:t>结</w:t>
            </w: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成本指标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各项业务经费不超出预算，超支审批</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01" w:hRule="exact"/>
          <w:jc w:val="center"/>
        </w:trPr>
        <w:tc>
          <w:tcPr>
            <w:tcW w:w="612"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90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效益</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（30分）</w:t>
            </w:r>
          </w:p>
        </w:tc>
        <w:tc>
          <w:tcPr>
            <w:tcW w:w="105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经济效益指标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人、畜、作物死亡率</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较上年有所下降</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有所下降</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农民增收</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较去年有所提高</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有所提高</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2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社会效益指标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基础民生保障</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确保社会特殊困难人群的基本生活保障，如五保、孤儿</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有所保障</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4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道路基础设施建设</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改善农村道路基础设施建设，保障村道、组道公路网络</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道路基础设施建设</w:t>
            </w:r>
            <w:r>
              <w:rPr>
                <w:rFonts w:hint="eastAsia" w:ascii="Times New Roman" w:hAnsi="Times New Roman" w:cs="Times New Roman" w:eastAsiaTheme="minorEastAsia"/>
                <w:color w:val="000000"/>
                <w:kern w:val="0"/>
                <w:sz w:val="18"/>
                <w:szCs w:val="18"/>
                <w:highlight w:val="none"/>
                <w:lang w:val="en-US" w:eastAsia="zh-CN"/>
              </w:rPr>
              <w:t>有所优化</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36"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安全保障和社会和谐</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通过排查化解安全隐患、矛盾纠纷，确保社会安定和谐</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社会和谐</w:t>
            </w:r>
            <w:r>
              <w:rPr>
                <w:rFonts w:hint="eastAsia" w:ascii="Times New Roman" w:hAnsi="Times New Roman" w:cs="Times New Roman" w:eastAsiaTheme="minorEastAsia"/>
                <w:color w:val="000000"/>
                <w:kern w:val="0"/>
                <w:sz w:val="18"/>
                <w:szCs w:val="18"/>
                <w:highlight w:val="none"/>
                <w:lang w:val="en-US" w:eastAsia="zh-CN"/>
              </w:rPr>
              <w:t>稳定</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41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生态效益指标</w:t>
            </w:r>
          </w:p>
        </w:tc>
        <w:tc>
          <w:tcPr>
            <w:tcW w:w="261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生态文明</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将卫生环境保护贯穿到辖区村（社区）、丰富文化生活，加强乡风文明建设，着力建设生态环保，节能高效的社会环境</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有所提升</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bl>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sectPr>
          <w:headerReference r:id="rId8" w:type="default"/>
          <w:footerReference r:id="rId9" w:type="default"/>
          <w:pgSz w:w="11906" w:h="16838"/>
          <w:pgMar w:top="986" w:right="1389" w:bottom="986" w:left="1389" w:header="283" w:footer="737"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7"/>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2610"/>
        <w:gridCol w:w="1880"/>
        <w:gridCol w:w="1197"/>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517" w:hRule="exact"/>
          <w:jc w:val="center"/>
        </w:trPr>
        <w:tc>
          <w:tcPr>
            <w:tcW w:w="612" w:type="dxa"/>
            <w:vMerge w:val="restart"/>
            <w:noWrap w:val="0"/>
            <w:vAlign w:val="center"/>
          </w:tcPr>
          <w:p>
            <w:pPr>
              <w:pStyle w:val="2"/>
              <w:rPr>
                <w:rFonts w:hint="default"/>
              </w:rPr>
            </w:pPr>
          </w:p>
        </w:tc>
        <w:tc>
          <w:tcPr>
            <w:tcW w:w="9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可持续影响指标</w:t>
            </w:r>
          </w:p>
        </w:tc>
        <w:tc>
          <w:tcPr>
            <w:tcW w:w="261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文明环境</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通过乡风文明建设逐步提高民众思想文化素养，创造持续的文明环境</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民众思想文化素养</w:t>
            </w:r>
            <w:r>
              <w:rPr>
                <w:rFonts w:hint="eastAsia" w:ascii="Times New Roman" w:hAnsi="Times New Roman" w:cs="Times New Roman" w:eastAsiaTheme="minorEastAsia"/>
                <w:color w:val="000000"/>
                <w:kern w:val="0"/>
                <w:sz w:val="18"/>
                <w:szCs w:val="18"/>
                <w:highlight w:val="none"/>
                <w:lang w:val="en-US" w:eastAsia="zh-CN"/>
              </w:rPr>
              <w:t>提高，文明环境持续加强</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1"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满意度</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（10分）</w:t>
            </w:r>
          </w:p>
        </w:tc>
        <w:tc>
          <w:tcPr>
            <w:tcW w:w="1050"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社会公众或服务对象满意度指标</w:t>
            </w:r>
          </w:p>
        </w:tc>
        <w:tc>
          <w:tcPr>
            <w:tcW w:w="261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干部职工满意度</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员工满意度≥95%</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98%</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13"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社会公众</w:t>
            </w:r>
            <w:r>
              <w:rPr>
                <w:rFonts w:hint="eastAsia" w:ascii="Times New Roman" w:hAnsi="Times New Roman" w:cs="Times New Roman" w:eastAsiaTheme="minorEastAsia"/>
                <w:color w:val="000000"/>
                <w:kern w:val="0"/>
                <w:sz w:val="18"/>
                <w:szCs w:val="18"/>
                <w:highlight w:val="none"/>
                <w:lang w:val="en-US" w:eastAsia="zh-CN"/>
              </w:rPr>
              <w:t>或</w:t>
            </w:r>
            <w:r>
              <w:rPr>
                <w:rFonts w:hint="eastAsia" w:ascii="Times New Roman" w:hAnsi="Times New Roman" w:cs="Times New Roman" w:eastAsiaTheme="minorEastAsia"/>
                <w:color w:val="000000"/>
                <w:kern w:val="0"/>
                <w:sz w:val="18"/>
                <w:szCs w:val="18"/>
                <w:highlight w:val="none"/>
              </w:rPr>
              <w:t>服务对象满意度</w:t>
            </w:r>
          </w:p>
        </w:tc>
        <w:tc>
          <w:tcPr>
            <w:tcW w:w="188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社会公众或服务对象满意度≥95%</w:t>
            </w:r>
          </w:p>
        </w:tc>
        <w:tc>
          <w:tcPr>
            <w:tcW w:w="1197"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98%</w:t>
            </w:r>
          </w:p>
        </w:tc>
        <w:tc>
          <w:tcPr>
            <w:tcW w:w="732"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bl>
    <w:p/>
    <w:p>
      <w:pPr>
        <w:pStyle w:val="20"/>
        <w:ind w:left="0" w:leftChars="0" w:firstLine="0" w:firstLineChars="0"/>
        <w:rPr>
          <w:rFonts w:hint="default"/>
          <w:b/>
          <w:bCs/>
          <w:lang w:val="en-US" w:eastAsia="zh-CN"/>
        </w:rPr>
      </w:pPr>
      <w:r>
        <w:rPr>
          <w:rFonts w:hint="eastAsia"/>
          <w:b/>
          <w:bCs/>
          <w:lang w:val="en-US" w:eastAsia="zh-CN"/>
        </w:rPr>
        <w:br w:type="textWrapping"/>
      </w:r>
    </w:p>
    <w:sectPr>
      <w:footerReference r:id="rId10" w:type="default"/>
      <w:pgSz w:w="11906" w:h="16838"/>
      <w:pgMar w:top="986" w:right="1389" w:bottom="986" w:left="1389" w:header="283" w:footer="737"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Theme="minorEastAsia"/>
                              <w:lang w:val="en-US" w:eastAsia="zh-CN"/>
                            </w:rPr>
                          </w:pPr>
                          <w:r>
                            <w:rPr>
                              <w:rFonts w:hint="eastAsia"/>
                              <w:lang w:val="en-US" w:eastAsia="zh-CN"/>
                            </w:rPr>
                            <w:t>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11"/>
                      <w:rPr>
                        <w:rFonts w:hint="default" w:eastAsiaTheme="minorEastAsia"/>
                        <w:lang w:val="en-US" w:eastAsia="zh-CN"/>
                      </w:rPr>
                    </w:pPr>
                    <w:r>
                      <w:rPr>
                        <w:rFonts w:hint="eastAsia"/>
                        <w:lang w:val="en-US" w:eastAsia="zh-CN"/>
                      </w:rPr>
                      <w:t>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Theme="minorEastAsia"/>
                              <w:lang w:val="en-US" w:eastAsia="zh-CN"/>
                            </w:rPr>
                          </w:pPr>
                          <w:r>
                            <w:rPr>
                              <w:rFonts w:hint="eastAsia"/>
                              <w:lang w:val="en-US" w:eastAsia="zh-CN"/>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eastAsiaTheme="minorEastAsia"/>
                        <w:lang w:val="en-US" w:eastAsia="zh-CN"/>
                      </w:rPr>
                    </w:pPr>
                    <w:r>
                      <w:rPr>
                        <w:rFonts w:hint="eastAsia"/>
                        <w:lang w:val="en-US" w:eastAsia="zh-CN"/>
                      </w:rPr>
                      <w:t>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邵阳市北塔区统计局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邵阳市北塔区统计局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邵阳市北塔区统计局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4006" w:hanging="4006" w:hangingChars="190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邵阳市北塔区统计局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5107AC"/>
    <w:rsid w:val="015D63FC"/>
    <w:rsid w:val="01722330"/>
    <w:rsid w:val="019138A1"/>
    <w:rsid w:val="0194120E"/>
    <w:rsid w:val="01941529"/>
    <w:rsid w:val="01B54127"/>
    <w:rsid w:val="01D34B7C"/>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CD3298"/>
    <w:rsid w:val="04852EF6"/>
    <w:rsid w:val="0486237A"/>
    <w:rsid w:val="049329AF"/>
    <w:rsid w:val="049F51EA"/>
    <w:rsid w:val="04A44EF6"/>
    <w:rsid w:val="04CB4231"/>
    <w:rsid w:val="04D46306"/>
    <w:rsid w:val="04EF3743"/>
    <w:rsid w:val="04F33A06"/>
    <w:rsid w:val="05181880"/>
    <w:rsid w:val="05310411"/>
    <w:rsid w:val="05A16753"/>
    <w:rsid w:val="05CC7470"/>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7A7807"/>
    <w:rsid w:val="08D51B22"/>
    <w:rsid w:val="08E41D65"/>
    <w:rsid w:val="09AF2373"/>
    <w:rsid w:val="0A41622F"/>
    <w:rsid w:val="0A4C309B"/>
    <w:rsid w:val="0A7964DD"/>
    <w:rsid w:val="0AB32F67"/>
    <w:rsid w:val="0AC2018B"/>
    <w:rsid w:val="0AD86622"/>
    <w:rsid w:val="0AFA5870"/>
    <w:rsid w:val="0B440899"/>
    <w:rsid w:val="0B554854"/>
    <w:rsid w:val="0B7D3DAB"/>
    <w:rsid w:val="0B8C3FEE"/>
    <w:rsid w:val="0B8F4572"/>
    <w:rsid w:val="0BC419DA"/>
    <w:rsid w:val="0C8373CF"/>
    <w:rsid w:val="0CB51A76"/>
    <w:rsid w:val="0D614217"/>
    <w:rsid w:val="0DA91778"/>
    <w:rsid w:val="0DB53CD0"/>
    <w:rsid w:val="0DF57489"/>
    <w:rsid w:val="0DF62969"/>
    <w:rsid w:val="0E493070"/>
    <w:rsid w:val="0E5E4367"/>
    <w:rsid w:val="0E625C06"/>
    <w:rsid w:val="0E871098"/>
    <w:rsid w:val="0EAE1417"/>
    <w:rsid w:val="0EBA669B"/>
    <w:rsid w:val="0EC475D2"/>
    <w:rsid w:val="0F3E4E43"/>
    <w:rsid w:val="0F503CB0"/>
    <w:rsid w:val="0FAF0E26"/>
    <w:rsid w:val="0FD038C7"/>
    <w:rsid w:val="0FDD4B1F"/>
    <w:rsid w:val="0FE8038D"/>
    <w:rsid w:val="10262C63"/>
    <w:rsid w:val="103435D2"/>
    <w:rsid w:val="105709C9"/>
    <w:rsid w:val="10B77D5F"/>
    <w:rsid w:val="10BA0895"/>
    <w:rsid w:val="10C84C25"/>
    <w:rsid w:val="10D64689"/>
    <w:rsid w:val="11075191"/>
    <w:rsid w:val="11145517"/>
    <w:rsid w:val="111D5D5A"/>
    <w:rsid w:val="111E1B8C"/>
    <w:rsid w:val="1162031D"/>
    <w:rsid w:val="11A036CE"/>
    <w:rsid w:val="11A03D27"/>
    <w:rsid w:val="123A47A4"/>
    <w:rsid w:val="125F76F2"/>
    <w:rsid w:val="12962DFA"/>
    <w:rsid w:val="12C7072D"/>
    <w:rsid w:val="12D3575A"/>
    <w:rsid w:val="12FB1166"/>
    <w:rsid w:val="12FE566B"/>
    <w:rsid w:val="134F2A5F"/>
    <w:rsid w:val="13616C00"/>
    <w:rsid w:val="13A30C34"/>
    <w:rsid w:val="13AD711E"/>
    <w:rsid w:val="13E21B19"/>
    <w:rsid w:val="144831DD"/>
    <w:rsid w:val="14494352"/>
    <w:rsid w:val="14520243"/>
    <w:rsid w:val="148F06E5"/>
    <w:rsid w:val="14A867BA"/>
    <w:rsid w:val="14C83B63"/>
    <w:rsid w:val="14E56EB1"/>
    <w:rsid w:val="151A3A77"/>
    <w:rsid w:val="156644E7"/>
    <w:rsid w:val="157601E9"/>
    <w:rsid w:val="158D5230"/>
    <w:rsid w:val="159927CF"/>
    <w:rsid w:val="15D95C1C"/>
    <w:rsid w:val="15DF178B"/>
    <w:rsid w:val="162D4C24"/>
    <w:rsid w:val="16445B83"/>
    <w:rsid w:val="165A5414"/>
    <w:rsid w:val="167D1103"/>
    <w:rsid w:val="16A3500D"/>
    <w:rsid w:val="16C17241"/>
    <w:rsid w:val="16FB6BF7"/>
    <w:rsid w:val="170F4451"/>
    <w:rsid w:val="174001E4"/>
    <w:rsid w:val="176B182A"/>
    <w:rsid w:val="17740758"/>
    <w:rsid w:val="179A45B6"/>
    <w:rsid w:val="17A75370"/>
    <w:rsid w:val="17B7378B"/>
    <w:rsid w:val="17BA172D"/>
    <w:rsid w:val="17DF2A99"/>
    <w:rsid w:val="17F17FFA"/>
    <w:rsid w:val="181F0F4A"/>
    <w:rsid w:val="18334F9A"/>
    <w:rsid w:val="183C062F"/>
    <w:rsid w:val="185C1EE0"/>
    <w:rsid w:val="185C6E00"/>
    <w:rsid w:val="185E6EB6"/>
    <w:rsid w:val="18AE6DE7"/>
    <w:rsid w:val="18CC15ED"/>
    <w:rsid w:val="18E84F59"/>
    <w:rsid w:val="190C4F45"/>
    <w:rsid w:val="1969191D"/>
    <w:rsid w:val="196B4518"/>
    <w:rsid w:val="198A392A"/>
    <w:rsid w:val="1997653E"/>
    <w:rsid w:val="19A20B4F"/>
    <w:rsid w:val="19B72B7E"/>
    <w:rsid w:val="19C5236C"/>
    <w:rsid w:val="1A00180A"/>
    <w:rsid w:val="1A7B6D19"/>
    <w:rsid w:val="1AB1581F"/>
    <w:rsid w:val="1AC0098C"/>
    <w:rsid w:val="1AFD2812"/>
    <w:rsid w:val="1B0758FD"/>
    <w:rsid w:val="1B204EAB"/>
    <w:rsid w:val="1B423001"/>
    <w:rsid w:val="1B813443"/>
    <w:rsid w:val="1C60574F"/>
    <w:rsid w:val="1C754516"/>
    <w:rsid w:val="1C96585A"/>
    <w:rsid w:val="1CAA0778"/>
    <w:rsid w:val="1CC64099"/>
    <w:rsid w:val="1CE9788F"/>
    <w:rsid w:val="1D496DC2"/>
    <w:rsid w:val="1E073968"/>
    <w:rsid w:val="1E2E729A"/>
    <w:rsid w:val="1E2F170E"/>
    <w:rsid w:val="1E591960"/>
    <w:rsid w:val="1E5D6DE0"/>
    <w:rsid w:val="1E5E4D57"/>
    <w:rsid w:val="1E69544E"/>
    <w:rsid w:val="1EC30786"/>
    <w:rsid w:val="1ED16490"/>
    <w:rsid w:val="1EF77EF6"/>
    <w:rsid w:val="1EFF4D1E"/>
    <w:rsid w:val="1F0305DF"/>
    <w:rsid w:val="1F4D78E4"/>
    <w:rsid w:val="1F503DF8"/>
    <w:rsid w:val="1F5E41C7"/>
    <w:rsid w:val="1F645556"/>
    <w:rsid w:val="1FA228EE"/>
    <w:rsid w:val="2034767B"/>
    <w:rsid w:val="20710D0B"/>
    <w:rsid w:val="20F72930"/>
    <w:rsid w:val="21352A19"/>
    <w:rsid w:val="21985D98"/>
    <w:rsid w:val="21A26717"/>
    <w:rsid w:val="21C32917"/>
    <w:rsid w:val="21FF14CD"/>
    <w:rsid w:val="223E5BEA"/>
    <w:rsid w:val="22433200"/>
    <w:rsid w:val="2267625F"/>
    <w:rsid w:val="228A52D3"/>
    <w:rsid w:val="22A85759"/>
    <w:rsid w:val="22B934C3"/>
    <w:rsid w:val="22E845A7"/>
    <w:rsid w:val="22F10B70"/>
    <w:rsid w:val="22F9777E"/>
    <w:rsid w:val="23027D5E"/>
    <w:rsid w:val="2303007B"/>
    <w:rsid w:val="234B77EF"/>
    <w:rsid w:val="239758BD"/>
    <w:rsid w:val="23AF6E65"/>
    <w:rsid w:val="23E50309"/>
    <w:rsid w:val="24197AF2"/>
    <w:rsid w:val="24233E34"/>
    <w:rsid w:val="24302501"/>
    <w:rsid w:val="243A0633"/>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BB60EE7"/>
    <w:rsid w:val="2BC538CE"/>
    <w:rsid w:val="2BC64379"/>
    <w:rsid w:val="2BD903BF"/>
    <w:rsid w:val="2BF0285A"/>
    <w:rsid w:val="2C025EDA"/>
    <w:rsid w:val="2C153E60"/>
    <w:rsid w:val="2C2B7E03"/>
    <w:rsid w:val="2C817A09"/>
    <w:rsid w:val="2C877DC8"/>
    <w:rsid w:val="2CD8457F"/>
    <w:rsid w:val="2D293ED8"/>
    <w:rsid w:val="2D4B16D2"/>
    <w:rsid w:val="2E5414CD"/>
    <w:rsid w:val="2E9F3EB4"/>
    <w:rsid w:val="2EA436A6"/>
    <w:rsid w:val="2EB3170E"/>
    <w:rsid w:val="2F0D5D93"/>
    <w:rsid w:val="2F406891"/>
    <w:rsid w:val="2FD91648"/>
    <w:rsid w:val="2FE21531"/>
    <w:rsid w:val="2FE91CEC"/>
    <w:rsid w:val="304271ED"/>
    <w:rsid w:val="30634296"/>
    <w:rsid w:val="306E0B42"/>
    <w:rsid w:val="307B199E"/>
    <w:rsid w:val="30A36FF1"/>
    <w:rsid w:val="30BC4A8F"/>
    <w:rsid w:val="30C23098"/>
    <w:rsid w:val="30EB45DA"/>
    <w:rsid w:val="30FF1132"/>
    <w:rsid w:val="30FF63EF"/>
    <w:rsid w:val="310D4304"/>
    <w:rsid w:val="312525F7"/>
    <w:rsid w:val="314D2F38"/>
    <w:rsid w:val="317E24A7"/>
    <w:rsid w:val="318A2ADB"/>
    <w:rsid w:val="318A2BFA"/>
    <w:rsid w:val="31994BBB"/>
    <w:rsid w:val="31AF08B2"/>
    <w:rsid w:val="31CC4FC0"/>
    <w:rsid w:val="31F7433A"/>
    <w:rsid w:val="3253409F"/>
    <w:rsid w:val="325E6415"/>
    <w:rsid w:val="32803FFD"/>
    <w:rsid w:val="328A4FE6"/>
    <w:rsid w:val="32953ED5"/>
    <w:rsid w:val="32C75788"/>
    <w:rsid w:val="33193D6E"/>
    <w:rsid w:val="3321758E"/>
    <w:rsid w:val="333B14BE"/>
    <w:rsid w:val="33916868"/>
    <w:rsid w:val="33CB74FA"/>
    <w:rsid w:val="342C7F98"/>
    <w:rsid w:val="344D7F0F"/>
    <w:rsid w:val="345E3ECA"/>
    <w:rsid w:val="346F60D7"/>
    <w:rsid w:val="34764FF1"/>
    <w:rsid w:val="34894BBA"/>
    <w:rsid w:val="34A02734"/>
    <w:rsid w:val="34B044FD"/>
    <w:rsid w:val="34F34F5A"/>
    <w:rsid w:val="34F82570"/>
    <w:rsid w:val="352300D8"/>
    <w:rsid w:val="3546372A"/>
    <w:rsid w:val="355E0625"/>
    <w:rsid w:val="35B71AE4"/>
    <w:rsid w:val="35BE2E72"/>
    <w:rsid w:val="35D8677A"/>
    <w:rsid w:val="360B0496"/>
    <w:rsid w:val="36211653"/>
    <w:rsid w:val="36551809"/>
    <w:rsid w:val="36780E50"/>
    <w:rsid w:val="36BF4B72"/>
    <w:rsid w:val="36C62378"/>
    <w:rsid w:val="36E91C82"/>
    <w:rsid w:val="36F92F47"/>
    <w:rsid w:val="376A752C"/>
    <w:rsid w:val="38031EDD"/>
    <w:rsid w:val="38033923"/>
    <w:rsid w:val="38051BB9"/>
    <w:rsid w:val="38080D1C"/>
    <w:rsid w:val="3819279E"/>
    <w:rsid w:val="38366EFB"/>
    <w:rsid w:val="383E029A"/>
    <w:rsid w:val="384B29B7"/>
    <w:rsid w:val="38BC1BDC"/>
    <w:rsid w:val="38E87BBB"/>
    <w:rsid w:val="390239BE"/>
    <w:rsid w:val="390E32F6"/>
    <w:rsid w:val="3914549F"/>
    <w:rsid w:val="392D1322"/>
    <w:rsid w:val="393618B9"/>
    <w:rsid w:val="39AB434B"/>
    <w:rsid w:val="39B4157B"/>
    <w:rsid w:val="39BD44BE"/>
    <w:rsid w:val="39E41149"/>
    <w:rsid w:val="39EB26A4"/>
    <w:rsid w:val="39FC6ECE"/>
    <w:rsid w:val="3A3F654C"/>
    <w:rsid w:val="3A5A25A6"/>
    <w:rsid w:val="3A726921"/>
    <w:rsid w:val="3AD575DA"/>
    <w:rsid w:val="3AEE41FA"/>
    <w:rsid w:val="3B7010B2"/>
    <w:rsid w:val="3BAF0C04"/>
    <w:rsid w:val="3BE51201"/>
    <w:rsid w:val="3C030EA1"/>
    <w:rsid w:val="3C073192"/>
    <w:rsid w:val="3C0B3260"/>
    <w:rsid w:val="3C26744A"/>
    <w:rsid w:val="3C2C3893"/>
    <w:rsid w:val="3C430575"/>
    <w:rsid w:val="3C4349FB"/>
    <w:rsid w:val="3C5B6705"/>
    <w:rsid w:val="3C7F629F"/>
    <w:rsid w:val="3CB472A8"/>
    <w:rsid w:val="3CE44D6B"/>
    <w:rsid w:val="3D0D1C09"/>
    <w:rsid w:val="3D101FEB"/>
    <w:rsid w:val="3D1B75AF"/>
    <w:rsid w:val="3D251A29"/>
    <w:rsid w:val="3D513F26"/>
    <w:rsid w:val="3DE96EFA"/>
    <w:rsid w:val="3E1C107E"/>
    <w:rsid w:val="3EB9054F"/>
    <w:rsid w:val="3EC86B10"/>
    <w:rsid w:val="3ED41E38"/>
    <w:rsid w:val="3EEECE1A"/>
    <w:rsid w:val="3F7E6D20"/>
    <w:rsid w:val="3F9904AC"/>
    <w:rsid w:val="3FF35426"/>
    <w:rsid w:val="401C181E"/>
    <w:rsid w:val="40560AE5"/>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5877724"/>
    <w:rsid w:val="45AC4E6E"/>
    <w:rsid w:val="45B20519"/>
    <w:rsid w:val="45F90867"/>
    <w:rsid w:val="460C7193"/>
    <w:rsid w:val="4642189D"/>
    <w:rsid w:val="46805F22"/>
    <w:rsid w:val="4683047E"/>
    <w:rsid w:val="46E16EBD"/>
    <w:rsid w:val="47541888"/>
    <w:rsid w:val="479A2668"/>
    <w:rsid w:val="47AA2B40"/>
    <w:rsid w:val="47AC326C"/>
    <w:rsid w:val="47C415B1"/>
    <w:rsid w:val="48DF33D4"/>
    <w:rsid w:val="492F31C0"/>
    <w:rsid w:val="49301E81"/>
    <w:rsid w:val="494557C4"/>
    <w:rsid w:val="49966F85"/>
    <w:rsid w:val="49C8593B"/>
    <w:rsid w:val="4A110D60"/>
    <w:rsid w:val="4A7D10F6"/>
    <w:rsid w:val="4AAC42E7"/>
    <w:rsid w:val="4AD221CC"/>
    <w:rsid w:val="4AD64F49"/>
    <w:rsid w:val="4B015D61"/>
    <w:rsid w:val="4B9934BC"/>
    <w:rsid w:val="4BA234C7"/>
    <w:rsid w:val="4BE62CCB"/>
    <w:rsid w:val="4BEF12BE"/>
    <w:rsid w:val="4C34368B"/>
    <w:rsid w:val="4CB701C3"/>
    <w:rsid w:val="4CBE72DA"/>
    <w:rsid w:val="4CF542D3"/>
    <w:rsid w:val="4D021D86"/>
    <w:rsid w:val="4D066599"/>
    <w:rsid w:val="4D330192"/>
    <w:rsid w:val="4D9218E1"/>
    <w:rsid w:val="4DC64B62"/>
    <w:rsid w:val="4DC95567"/>
    <w:rsid w:val="4DD42A2F"/>
    <w:rsid w:val="4E2078E8"/>
    <w:rsid w:val="4E3C6D60"/>
    <w:rsid w:val="4E4C6AC5"/>
    <w:rsid w:val="4E5E7C38"/>
    <w:rsid w:val="4E685B94"/>
    <w:rsid w:val="4E8005CA"/>
    <w:rsid w:val="4F226D6F"/>
    <w:rsid w:val="4F432D3B"/>
    <w:rsid w:val="4F6E725F"/>
    <w:rsid w:val="4FC43C9F"/>
    <w:rsid w:val="4FD176D0"/>
    <w:rsid w:val="4FE51205"/>
    <w:rsid w:val="4FF43314"/>
    <w:rsid w:val="501D321D"/>
    <w:rsid w:val="5026374E"/>
    <w:rsid w:val="505910FD"/>
    <w:rsid w:val="505D1E8E"/>
    <w:rsid w:val="507E55A3"/>
    <w:rsid w:val="50863AEE"/>
    <w:rsid w:val="50877CF3"/>
    <w:rsid w:val="508D5E0B"/>
    <w:rsid w:val="509B1CB1"/>
    <w:rsid w:val="50B37D27"/>
    <w:rsid w:val="50BE1397"/>
    <w:rsid w:val="50C40DD7"/>
    <w:rsid w:val="50EA2AF2"/>
    <w:rsid w:val="514566E6"/>
    <w:rsid w:val="518A2886"/>
    <w:rsid w:val="51EE6435"/>
    <w:rsid w:val="524303CC"/>
    <w:rsid w:val="5273781C"/>
    <w:rsid w:val="528D62B1"/>
    <w:rsid w:val="52A511EA"/>
    <w:rsid w:val="52F925D0"/>
    <w:rsid w:val="532E399E"/>
    <w:rsid w:val="53364538"/>
    <w:rsid w:val="53782DBB"/>
    <w:rsid w:val="53AE40CE"/>
    <w:rsid w:val="540006A2"/>
    <w:rsid w:val="54024923"/>
    <w:rsid w:val="5474356A"/>
    <w:rsid w:val="54C54DE0"/>
    <w:rsid w:val="54F503EE"/>
    <w:rsid w:val="550B7056"/>
    <w:rsid w:val="55364B38"/>
    <w:rsid w:val="555667CB"/>
    <w:rsid w:val="555D52FB"/>
    <w:rsid w:val="557A3732"/>
    <w:rsid w:val="559534D4"/>
    <w:rsid w:val="55A84374"/>
    <w:rsid w:val="55AB1785"/>
    <w:rsid w:val="55E04545"/>
    <w:rsid w:val="55EA5046"/>
    <w:rsid w:val="561D19DF"/>
    <w:rsid w:val="56200FBF"/>
    <w:rsid w:val="562821FE"/>
    <w:rsid w:val="568832FC"/>
    <w:rsid w:val="56A44031"/>
    <w:rsid w:val="56A85AB0"/>
    <w:rsid w:val="56B714EC"/>
    <w:rsid w:val="56DC53F6"/>
    <w:rsid w:val="56FC2A7A"/>
    <w:rsid w:val="57047689"/>
    <w:rsid w:val="572333E8"/>
    <w:rsid w:val="57533BD6"/>
    <w:rsid w:val="57713D91"/>
    <w:rsid w:val="579E28D1"/>
    <w:rsid w:val="57AC6B77"/>
    <w:rsid w:val="57F77651"/>
    <w:rsid w:val="583E7E63"/>
    <w:rsid w:val="584056FE"/>
    <w:rsid w:val="584766AC"/>
    <w:rsid w:val="58887411"/>
    <w:rsid w:val="58F632BA"/>
    <w:rsid w:val="594B0611"/>
    <w:rsid w:val="59653481"/>
    <w:rsid w:val="59A10231"/>
    <w:rsid w:val="59C44A38"/>
    <w:rsid w:val="59D16D68"/>
    <w:rsid w:val="59FA694D"/>
    <w:rsid w:val="5A12625C"/>
    <w:rsid w:val="5A7203F6"/>
    <w:rsid w:val="5A8C6946"/>
    <w:rsid w:val="5AEB5C08"/>
    <w:rsid w:val="5AFB5A70"/>
    <w:rsid w:val="5B043B8C"/>
    <w:rsid w:val="5B700A53"/>
    <w:rsid w:val="5B914A01"/>
    <w:rsid w:val="5B9F1014"/>
    <w:rsid w:val="5BF27270"/>
    <w:rsid w:val="5C0E0752"/>
    <w:rsid w:val="5C0F4C20"/>
    <w:rsid w:val="5C2C30E7"/>
    <w:rsid w:val="5C383A38"/>
    <w:rsid w:val="5C685A52"/>
    <w:rsid w:val="5CC02802"/>
    <w:rsid w:val="5D0D490D"/>
    <w:rsid w:val="5D0E613A"/>
    <w:rsid w:val="5D4635C9"/>
    <w:rsid w:val="5D535CE6"/>
    <w:rsid w:val="5D791FAA"/>
    <w:rsid w:val="5DAE574E"/>
    <w:rsid w:val="5DEA2501"/>
    <w:rsid w:val="5E331DA0"/>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827C2A"/>
    <w:rsid w:val="60CA4515"/>
    <w:rsid w:val="61077E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30272DB"/>
    <w:rsid w:val="634702E2"/>
    <w:rsid w:val="63617B43"/>
    <w:rsid w:val="63857C95"/>
    <w:rsid w:val="63C664F8"/>
    <w:rsid w:val="641E63C8"/>
    <w:rsid w:val="649102B0"/>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691A21"/>
    <w:rsid w:val="6795184E"/>
    <w:rsid w:val="679F2254"/>
    <w:rsid w:val="67CA42A6"/>
    <w:rsid w:val="67D320AA"/>
    <w:rsid w:val="68150176"/>
    <w:rsid w:val="683913C9"/>
    <w:rsid w:val="683A27FC"/>
    <w:rsid w:val="68B27D65"/>
    <w:rsid w:val="69C2588F"/>
    <w:rsid w:val="69DF38CB"/>
    <w:rsid w:val="69FC6B39"/>
    <w:rsid w:val="6A190855"/>
    <w:rsid w:val="6A1D029D"/>
    <w:rsid w:val="6A2309CD"/>
    <w:rsid w:val="6A582B8E"/>
    <w:rsid w:val="6A615EE7"/>
    <w:rsid w:val="6A701C86"/>
    <w:rsid w:val="6AA933EA"/>
    <w:rsid w:val="6AFF6C91"/>
    <w:rsid w:val="6B5748D8"/>
    <w:rsid w:val="6B881251"/>
    <w:rsid w:val="6B916DF5"/>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E393953"/>
    <w:rsid w:val="6E4B580F"/>
    <w:rsid w:val="6E644211"/>
    <w:rsid w:val="6E7B0A0C"/>
    <w:rsid w:val="6EA21699"/>
    <w:rsid w:val="6EEF24A9"/>
    <w:rsid w:val="6F027AF7"/>
    <w:rsid w:val="6F072074"/>
    <w:rsid w:val="6F26325B"/>
    <w:rsid w:val="6F6F69B0"/>
    <w:rsid w:val="6F8F06D9"/>
    <w:rsid w:val="6F9C351D"/>
    <w:rsid w:val="6F9E2305"/>
    <w:rsid w:val="6FAA0C45"/>
    <w:rsid w:val="6FCC337B"/>
    <w:rsid w:val="6FE729EA"/>
    <w:rsid w:val="6FEF189F"/>
    <w:rsid w:val="6FF173C5"/>
    <w:rsid w:val="6FFFE0C3"/>
    <w:rsid w:val="700B6747"/>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AE6761"/>
    <w:rsid w:val="72D54ABB"/>
    <w:rsid w:val="72E421B6"/>
    <w:rsid w:val="72FF3958"/>
    <w:rsid w:val="73193F46"/>
    <w:rsid w:val="731D4975"/>
    <w:rsid w:val="734903DF"/>
    <w:rsid w:val="73614861"/>
    <w:rsid w:val="73BE7F06"/>
    <w:rsid w:val="73CD3228"/>
    <w:rsid w:val="73E3796C"/>
    <w:rsid w:val="74134DFB"/>
    <w:rsid w:val="7419513C"/>
    <w:rsid w:val="742D3D9C"/>
    <w:rsid w:val="74387CB8"/>
    <w:rsid w:val="745B25CA"/>
    <w:rsid w:val="74A06616"/>
    <w:rsid w:val="74AE1D28"/>
    <w:rsid w:val="74C55995"/>
    <w:rsid w:val="74FD49B7"/>
    <w:rsid w:val="7586788F"/>
    <w:rsid w:val="75C86411"/>
    <w:rsid w:val="76237386"/>
    <w:rsid w:val="7625601A"/>
    <w:rsid w:val="762B7F17"/>
    <w:rsid w:val="76317141"/>
    <w:rsid w:val="765B1A3C"/>
    <w:rsid w:val="769D4680"/>
    <w:rsid w:val="76DB2A57"/>
    <w:rsid w:val="76DF32AA"/>
    <w:rsid w:val="771147F0"/>
    <w:rsid w:val="778D36DC"/>
    <w:rsid w:val="78235C80"/>
    <w:rsid w:val="783B1B25"/>
    <w:rsid w:val="784328C1"/>
    <w:rsid w:val="78DA1D7B"/>
    <w:rsid w:val="78F13662"/>
    <w:rsid w:val="793E7C5B"/>
    <w:rsid w:val="7955517B"/>
    <w:rsid w:val="79560DFC"/>
    <w:rsid w:val="79570BE0"/>
    <w:rsid w:val="79674B9C"/>
    <w:rsid w:val="798B6ADC"/>
    <w:rsid w:val="79A25BD4"/>
    <w:rsid w:val="79AC1FDF"/>
    <w:rsid w:val="79BA4CCB"/>
    <w:rsid w:val="79BC1425"/>
    <w:rsid w:val="7A1C75A3"/>
    <w:rsid w:val="7A394769"/>
    <w:rsid w:val="7A6A4943"/>
    <w:rsid w:val="7AE71AF0"/>
    <w:rsid w:val="7B413F7E"/>
    <w:rsid w:val="7B885D10"/>
    <w:rsid w:val="7BE74CFC"/>
    <w:rsid w:val="7BEE6B88"/>
    <w:rsid w:val="7BF7570B"/>
    <w:rsid w:val="7C2E345F"/>
    <w:rsid w:val="7C5424A5"/>
    <w:rsid w:val="7C5A2796"/>
    <w:rsid w:val="7C605268"/>
    <w:rsid w:val="7C6A0C2B"/>
    <w:rsid w:val="7CE04A49"/>
    <w:rsid w:val="7CF46746"/>
    <w:rsid w:val="7DB86548"/>
    <w:rsid w:val="7E5D00E7"/>
    <w:rsid w:val="7E9F7825"/>
    <w:rsid w:val="7EFC2636"/>
    <w:rsid w:val="7F376DBE"/>
    <w:rsid w:val="7F7162F6"/>
    <w:rsid w:val="7F933C56"/>
    <w:rsid w:val="7F9A7019"/>
    <w:rsid w:val="7FB81CAD"/>
    <w:rsid w:val="7FC85D75"/>
    <w:rsid w:val="7FD5583B"/>
    <w:rsid w:val="7FDE196C"/>
    <w:rsid w:val="7FE138D8"/>
    <w:rsid w:val="7FE31449"/>
    <w:rsid w:val="7FE405C7"/>
    <w:rsid w:val="7FEA2C5C"/>
    <w:rsid w:val="7FF52F01"/>
    <w:rsid w:val="9AD9EF33"/>
    <w:rsid w:val="BBAFF272"/>
    <w:rsid w:val="BD6DBFFE"/>
    <w:rsid w:val="C6FCF7E9"/>
    <w:rsid w:val="CE4F0B68"/>
    <w:rsid w:val="FEFEA8A7"/>
    <w:rsid w:val="FFF9544D"/>
    <w:rsid w:val="FFFFB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6">
    <w:name w:val="annotation text"/>
    <w:basedOn w:val="1"/>
    <w:autoRedefine/>
    <w:qFormat/>
    <w:uiPriority w:val="0"/>
    <w:pPr>
      <w:jc w:val="left"/>
    </w:pPr>
  </w:style>
  <w:style w:type="paragraph" w:styleId="7">
    <w:name w:val="Body Text Indent"/>
    <w:basedOn w:val="1"/>
    <w:autoRedefine/>
    <w:unhideWhenUsed/>
    <w:qFormat/>
    <w:uiPriority w:val="99"/>
    <w:pPr>
      <w:spacing w:after="120"/>
      <w:ind w:left="420" w:leftChars="200"/>
    </w:pPr>
  </w:style>
  <w:style w:type="paragraph" w:styleId="8">
    <w:name w:val="Body Text Indent 2"/>
    <w:basedOn w:val="1"/>
    <w:next w:val="9"/>
    <w:autoRedefine/>
    <w:unhideWhenUsed/>
    <w:qFormat/>
    <w:uiPriority w:val="99"/>
    <w:pPr>
      <w:spacing w:after="120" w:line="480" w:lineRule="auto"/>
      <w:ind w:left="420" w:leftChars="200"/>
    </w:pPr>
  </w:style>
  <w:style w:type="paragraph" w:customStyle="1" w:styleId="9">
    <w:name w:val="p0"/>
    <w:next w:val="10"/>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0"/>
  </w:style>
  <w:style w:type="paragraph" w:styleId="13">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autoRedefine/>
    <w:unhideWhenUsed/>
    <w:qFormat/>
    <w:uiPriority w:val="99"/>
    <w:pPr>
      <w:spacing w:after="0" w:line="660" w:lineRule="exact"/>
      <w:ind w:left="0" w:leftChars="0" w:firstLine="420" w:firstLineChars="200"/>
    </w:pPr>
    <w:rPr>
      <w:rFonts w:ascii="仿宋_GB2312" w:eastAsia="仿宋_GB2312"/>
      <w:snapToGrid w:val="0"/>
      <w:sz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Text1I2"/>
    <w:basedOn w:val="21"/>
    <w:autoRedefine/>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21">
    <w:name w:val="BodyTextIndent"/>
    <w:basedOn w:val="1"/>
    <w:autoRedefine/>
    <w:qFormat/>
    <w:uiPriority w:val="0"/>
    <w:pPr>
      <w:spacing w:after="120"/>
      <w:ind w:left="420" w:leftChars="200"/>
      <w:jc w:val="both"/>
      <w:textAlignment w:val="baseline"/>
    </w:p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paragraph" w:styleId="25">
    <w:name w:val="List Paragraph"/>
    <w:basedOn w:val="1"/>
    <w:autoRedefine/>
    <w:qFormat/>
    <w:uiPriority w:val="34"/>
    <w:pPr>
      <w:ind w:firstLine="420" w:firstLineChars="200"/>
    </w:pPr>
  </w:style>
  <w:style w:type="paragraph" w:customStyle="1" w:styleId="26">
    <w:name w:val="正文1"/>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12464</Words>
  <Characters>13549</Characters>
  <Lines>0</Lines>
  <Paragraphs>0</Paragraphs>
  <TotalTime>1</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2023-10-12T16:39:00Z</dcterms:created>
  <dc:creator>银鹏会计事务所</dc:creator>
  <cp:lastModifiedBy>财正</cp:lastModifiedBy>
  <dcterms:modified xsi:type="dcterms:W3CDTF">2023-12-16T02:29:22Z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DD83DEF80CE298B129852F6511B47680_43</vt:lpwstr>
  </property>
</Properties>
</file>