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 xml:space="preserve">  </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ind w:left="0" w:leftChars="0" w:firstLine="0" w:firstLineChars="0"/>
        <w:rPr>
          <w:rFonts w:hint="default" w:ascii="Times New Roman" w:hAnsi="Times New Roman" w:eastAsia="黑体" w:cs="Times New Roman"/>
          <w:sz w:val="33"/>
          <w:szCs w:val="33"/>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after="313" w:afterLines="100" w:line="360" w:lineRule="auto"/>
        <w:ind w:firstLine="0" w:firstLineChars="0"/>
        <w:jc w:val="center"/>
        <w:textAlignment w:val="auto"/>
        <w:outlineLvl w:val="0"/>
        <w:rPr>
          <w:rFonts w:hint="default" w:ascii="Times New Roman" w:hAnsi="Times New Roman" w:eastAsia="方正小标宋_GBK" w:cs="Times New Roman"/>
          <w:b w:val="0"/>
          <w:bCs w:val="0"/>
          <w:sz w:val="40"/>
          <w:szCs w:val="40"/>
          <w:lang w:val="en-US" w:eastAsia="zh-CN"/>
        </w:rPr>
      </w:pPr>
      <w:bookmarkStart w:id="0" w:name="_Toc13503"/>
      <w:bookmarkStart w:id="1" w:name="_Toc27022"/>
      <w:bookmarkStart w:id="2" w:name="_Toc32613"/>
      <w:bookmarkStart w:id="3" w:name="_Toc20640"/>
      <w:r>
        <w:rPr>
          <w:rFonts w:hint="default" w:ascii="Times New Roman" w:hAnsi="Times New Roman" w:eastAsia="方正小标宋_GBK" w:cs="Times New Roman"/>
          <w:b w:val="0"/>
          <w:bCs w:val="0"/>
          <w:sz w:val="40"/>
          <w:szCs w:val="40"/>
          <w:lang w:val="en-US" w:eastAsia="zh-CN"/>
        </w:rPr>
        <w:t>邵阳</w:t>
      </w:r>
      <w:r>
        <w:rPr>
          <w:rFonts w:hint="default" w:ascii="Times New Roman" w:hAnsi="Times New Roman" w:eastAsia="方正小标宋_GBK" w:cs="Times New Roman"/>
          <w:b w:val="0"/>
          <w:bCs w:val="0"/>
          <w:sz w:val="40"/>
          <w:szCs w:val="40"/>
        </w:rPr>
        <w:t>市</w:t>
      </w:r>
      <w:r>
        <w:rPr>
          <w:rFonts w:hint="default" w:ascii="Times New Roman" w:hAnsi="Times New Roman" w:eastAsia="方正小标宋_GBK" w:cs="Times New Roman"/>
          <w:b w:val="0"/>
          <w:bCs w:val="0"/>
          <w:sz w:val="40"/>
          <w:szCs w:val="40"/>
          <w:lang w:val="en-US" w:eastAsia="zh-CN"/>
        </w:rPr>
        <w:t>北塔</w:t>
      </w:r>
      <w:r>
        <w:rPr>
          <w:rFonts w:hint="default" w:ascii="Times New Roman" w:hAnsi="Times New Roman" w:eastAsia="方正小标宋_GBK" w:cs="Times New Roman"/>
          <w:b w:val="0"/>
          <w:bCs w:val="0"/>
          <w:sz w:val="40"/>
          <w:szCs w:val="40"/>
        </w:rPr>
        <w:t>区</w:t>
      </w:r>
      <w:r>
        <w:rPr>
          <w:rFonts w:hint="default" w:ascii="Times New Roman" w:hAnsi="Times New Roman" w:eastAsia="方正小标宋_GBK" w:cs="Times New Roman"/>
          <w:b w:val="0"/>
          <w:bCs w:val="0"/>
          <w:sz w:val="40"/>
          <w:szCs w:val="40"/>
          <w:lang w:val="en-US" w:eastAsia="zh-CN"/>
        </w:rPr>
        <w:t>商务局</w:t>
      </w:r>
      <w:bookmarkEnd w:id="0"/>
    </w:p>
    <w:p>
      <w:pPr>
        <w:keepNext w:val="0"/>
        <w:keepLines w:val="0"/>
        <w:pageBreakBefore w:val="0"/>
        <w:widowControl w:val="0"/>
        <w:kinsoku/>
        <w:wordWrap/>
        <w:overflowPunct/>
        <w:topLinePunct w:val="0"/>
        <w:autoSpaceDE/>
        <w:autoSpaceDN/>
        <w:bidi w:val="0"/>
        <w:adjustRightInd/>
        <w:snapToGrid/>
        <w:spacing w:after="313" w:afterLines="100" w:line="360" w:lineRule="auto"/>
        <w:ind w:firstLine="0" w:firstLineChars="0"/>
        <w:jc w:val="center"/>
        <w:textAlignment w:val="auto"/>
        <w:outlineLvl w:val="0"/>
        <w:rPr>
          <w:rFonts w:hint="default" w:ascii="Times New Roman" w:hAnsi="Times New Roman" w:eastAsia="方正小标宋_GBK" w:cs="Times New Roman"/>
          <w:sz w:val="40"/>
          <w:szCs w:val="40"/>
        </w:rPr>
      </w:pPr>
      <w:bookmarkStart w:id="4" w:name="_Toc3460"/>
      <w:r>
        <w:rPr>
          <w:rFonts w:hint="default" w:ascii="Times New Roman" w:hAnsi="Times New Roman" w:eastAsia="方正小标宋_GBK" w:cs="Times New Roman"/>
          <w:b w:val="0"/>
          <w:bCs w:val="0"/>
          <w:sz w:val="40"/>
          <w:szCs w:val="40"/>
        </w:rPr>
        <w:t>202</w:t>
      </w:r>
      <w:r>
        <w:rPr>
          <w:rFonts w:hint="default" w:ascii="Times New Roman" w:hAnsi="Times New Roman" w:eastAsia="方正小标宋_GBK" w:cs="Times New Roman"/>
          <w:b w:val="0"/>
          <w:bCs w:val="0"/>
          <w:sz w:val="40"/>
          <w:szCs w:val="40"/>
          <w:lang w:val="en-US" w:eastAsia="zh-CN"/>
        </w:rPr>
        <w:t>2</w:t>
      </w:r>
      <w:r>
        <w:rPr>
          <w:rFonts w:hint="default" w:ascii="Times New Roman" w:hAnsi="Times New Roman" w:eastAsia="方正小标宋_GBK" w:cs="Times New Roman"/>
          <w:b w:val="0"/>
          <w:bCs w:val="0"/>
          <w:sz w:val="40"/>
          <w:szCs w:val="40"/>
        </w:rPr>
        <w:t>年度部门整体支出</w:t>
      </w:r>
      <w:bookmarkEnd w:id="1"/>
      <w:bookmarkEnd w:id="2"/>
      <w:bookmarkEnd w:id="3"/>
      <w:r>
        <w:rPr>
          <w:rFonts w:hint="default" w:ascii="Times New Roman" w:hAnsi="Times New Roman" w:eastAsia="方正小标宋_GBK" w:cs="Times New Roman"/>
          <w:b w:val="0"/>
          <w:bCs w:val="0"/>
          <w:sz w:val="40"/>
          <w:szCs w:val="40"/>
        </w:rPr>
        <w:t>绩效评价报告</w:t>
      </w:r>
      <w:bookmarkEnd w:id="4"/>
    </w:p>
    <w:p>
      <w:pPr>
        <w:jc w:val="center"/>
        <w:rPr>
          <w:rFonts w:hint="default" w:ascii="Times New Roman" w:hAnsi="Times New Roman" w:eastAsia="黑体" w:cs="Times New Roman"/>
          <w:sz w:val="33"/>
          <w:szCs w:val="33"/>
        </w:rPr>
      </w:pPr>
    </w:p>
    <w:p>
      <w:pPr>
        <w:jc w:val="center"/>
        <w:rPr>
          <w:rFonts w:hint="default" w:ascii="Times New Roman" w:hAnsi="Times New Roman" w:eastAsia="黑体" w:cs="Times New Roman"/>
          <w:sz w:val="33"/>
          <w:szCs w:val="33"/>
        </w:rPr>
      </w:pPr>
    </w:p>
    <w:p>
      <w:pPr>
        <w:jc w:val="center"/>
        <w:rPr>
          <w:rFonts w:hint="default" w:ascii="Times New Roman" w:hAnsi="Times New Roman" w:eastAsia="黑体" w:cs="Times New Roman"/>
          <w:sz w:val="33"/>
          <w:szCs w:val="33"/>
        </w:rPr>
      </w:pPr>
    </w:p>
    <w:p>
      <w:pPr>
        <w:jc w:val="center"/>
        <w:rPr>
          <w:rFonts w:hint="default" w:ascii="Times New Roman" w:hAnsi="Times New Roman" w:eastAsia="黑体" w:cs="Times New Roman"/>
          <w:sz w:val="33"/>
          <w:szCs w:val="33"/>
        </w:rPr>
      </w:pPr>
    </w:p>
    <w:p>
      <w:pPr>
        <w:jc w:val="center"/>
        <w:rPr>
          <w:rFonts w:hint="default" w:ascii="Times New Roman" w:hAnsi="Times New Roman" w:eastAsia="黑体" w:cs="Times New Roman"/>
          <w:sz w:val="33"/>
          <w:szCs w:val="33"/>
        </w:rPr>
      </w:pPr>
    </w:p>
    <w:p>
      <w:pPr>
        <w:jc w:val="center"/>
        <w:rPr>
          <w:rFonts w:hint="default" w:ascii="Times New Roman" w:hAnsi="Times New Roman" w:eastAsia="黑体" w:cs="Times New Roman"/>
          <w:sz w:val="33"/>
          <w:szCs w:val="33"/>
        </w:rPr>
      </w:pPr>
    </w:p>
    <w:p>
      <w:pPr>
        <w:jc w:val="center"/>
        <w:rPr>
          <w:rFonts w:hint="default" w:ascii="Times New Roman" w:hAnsi="Times New Roman" w:eastAsia="黑体" w:cs="Times New Roman"/>
          <w:sz w:val="33"/>
          <w:szCs w:val="33"/>
        </w:rPr>
      </w:pPr>
    </w:p>
    <w:p>
      <w:pPr>
        <w:ind w:left="0" w:leftChars="0" w:firstLine="0" w:firstLineChars="0"/>
        <w:jc w:val="both"/>
        <w:rPr>
          <w:rFonts w:hint="default" w:ascii="Times New Roman" w:hAnsi="Times New Roman" w:eastAsia="黑体" w:cs="Times New Roman"/>
          <w:sz w:val="33"/>
          <w:szCs w:val="33"/>
        </w:rPr>
      </w:pPr>
    </w:p>
    <w:p>
      <w:pPr>
        <w:spacing w:line="360" w:lineRule="auto"/>
        <w:ind w:firstLine="0" w:firstLineChars="0"/>
        <w:jc w:val="center"/>
        <w:outlineLvl w:val="9"/>
        <w:rPr>
          <w:rFonts w:hint="eastAsia" w:ascii="仿宋" w:hAnsi="仿宋" w:eastAsia="仿宋" w:cs="仿宋"/>
          <w:b/>
          <w:bCs/>
          <w:spacing w:val="0"/>
          <w:sz w:val="32"/>
          <w:szCs w:val="32"/>
        </w:rPr>
      </w:pPr>
      <w:bookmarkStart w:id="5" w:name="_Toc9352"/>
      <w:bookmarkStart w:id="6" w:name="_Toc3215"/>
      <w:bookmarkStart w:id="7" w:name="_Toc14609"/>
    </w:p>
    <w:p>
      <w:pPr>
        <w:spacing w:line="360" w:lineRule="auto"/>
        <w:ind w:firstLine="0" w:firstLineChars="0"/>
        <w:jc w:val="center"/>
        <w:outlineLvl w:val="0"/>
        <w:rPr>
          <w:rFonts w:hint="eastAsia" w:ascii="仿宋" w:hAnsi="仿宋" w:eastAsia="仿宋" w:cs="仿宋"/>
          <w:b/>
          <w:bCs/>
          <w:spacing w:val="0"/>
          <w:sz w:val="32"/>
          <w:szCs w:val="32"/>
        </w:rPr>
      </w:pPr>
      <w:bookmarkStart w:id="8" w:name="_Toc30734"/>
      <w:r>
        <w:rPr>
          <w:rFonts w:hint="eastAsia" w:ascii="仿宋" w:hAnsi="仿宋" w:eastAsia="仿宋" w:cs="仿宋"/>
          <w:b/>
          <w:bCs/>
          <w:spacing w:val="0"/>
          <w:sz w:val="32"/>
          <w:szCs w:val="32"/>
        </w:rPr>
        <w:t>湖南财正会计师事务所</w:t>
      </w:r>
      <w:r>
        <w:rPr>
          <w:rFonts w:hint="eastAsia" w:ascii="仿宋" w:hAnsi="仿宋" w:cs="仿宋"/>
          <w:b/>
          <w:bCs/>
          <w:spacing w:val="0"/>
          <w:sz w:val="32"/>
          <w:szCs w:val="32"/>
          <w:lang w:eastAsia="zh-CN"/>
        </w:rPr>
        <w:t>（</w:t>
      </w:r>
      <w:r>
        <w:rPr>
          <w:rFonts w:hint="eastAsia" w:ascii="仿宋" w:hAnsi="仿宋" w:eastAsia="仿宋" w:cs="仿宋"/>
          <w:b/>
          <w:bCs/>
          <w:spacing w:val="0"/>
          <w:sz w:val="32"/>
          <w:szCs w:val="32"/>
        </w:rPr>
        <w:t>普通合伙</w:t>
      </w:r>
      <w:r>
        <w:rPr>
          <w:rFonts w:hint="eastAsia" w:ascii="仿宋" w:hAnsi="仿宋" w:cs="仿宋"/>
          <w:b/>
          <w:bCs/>
          <w:spacing w:val="0"/>
          <w:sz w:val="32"/>
          <w:szCs w:val="32"/>
          <w:lang w:eastAsia="zh-CN"/>
        </w:rPr>
        <w:t>）</w:t>
      </w:r>
      <w:bookmarkEnd w:id="5"/>
      <w:bookmarkEnd w:id="6"/>
      <w:bookmarkEnd w:id="7"/>
      <w:bookmarkEnd w:id="8"/>
    </w:p>
    <w:p>
      <w:pPr>
        <w:spacing w:line="360" w:lineRule="auto"/>
        <w:ind w:firstLine="0" w:firstLineChars="0"/>
        <w:jc w:val="center"/>
        <w:outlineLvl w:val="9"/>
        <w:rPr>
          <w:rFonts w:hint="eastAsia" w:ascii="仿宋" w:hAnsi="仿宋" w:eastAsia="仿宋" w:cs="仿宋"/>
          <w:b/>
          <w:bCs/>
          <w:spacing w:val="0"/>
          <w:sz w:val="32"/>
          <w:szCs w:val="32"/>
        </w:rPr>
      </w:pPr>
      <w:r>
        <w:rPr>
          <w:rFonts w:hint="eastAsia" w:ascii="仿宋" w:hAnsi="仿宋" w:eastAsia="仿宋" w:cs="仿宋"/>
          <w:b/>
          <w:bCs/>
          <w:spacing w:val="0"/>
          <w:sz w:val="32"/>
          <w:szCs w:val="32"/>
        </w:rPr>
        <w:t>二</w:t>
      </w:r>
      <w:r>
        <w:rPr>
          <w:rFonts w:hint="eastAsia" w:ascii="仿宋" w:hAnsi="仿宋" w:cs="仿宋"/>
          <w:b/>
          <w:bCs/>
          <w:spacing w:val="0"/>
          <w:sz w:val="32"/>
          <w:szCs w:val="32"/>
          <w:lang w:val="en-US" w:eastAsia="zh-CN"/>
        </w:rPr>
        <w:t>〇</w:t>
      </w:r>
      <w:r>
        <w:rPr>
          <w:rFonts w:hint="eastAsia" w:ascii="仿宋" w:hAnsi="仿宋" w:eastAsia="仿宋" w:cs="仿宋"/>
          <w:b/>
          <w:bCs/>
          <w:spacing w:val="0"/>
          <w:sz w:val="32"/>
          <w:szCs w:val="32"/>
        </w:rPr>
        <w:t>二</w:t>
      </w:r>
      <w:r>
        <w:rPr>
          <w:rFonts w:hint="eastAsia" w:ascii="仿宋" w:hAnsi="仿宋" w:eastAsia="仿宋" w:cs="仿宋"/>
          <w:b/>
          <w:bCs/>
          <w:spacing w:val="0"/>
          <w:sz w:val="32"/>
          <w:szCs w:val="32"/>
          <w:lang w:val="en-US" w:eastAsia="zh-CN"/>
        </w:rPr>
        <w:t>三</w:t>
      </w:r>
      <w:r>
        <w:rPr>
          <w:rFonts w:hint="eastAsia" w:ascii="仿宋" w:hAnsi="仿宋" w:eastAsia="仿宋" w:cs="仿宋"/>
          <w:b/>
          <w:bCs/>
          <w:spacing w:val="0"/>
          <w:sz w:val="32"/>
          <w:szCs w:val="32"/>
        </w:rPr>
        <w:t>年</w:t>
      </w:r>
      <w:r>
        <w:rPr>
          <w:rFonts w:hint="eastAsia" w:ascii="仿宋" w:hAnsi="仿宋" w:eastAsia="仿宋" w:cs="仿宋"/>
          <w:b/>
          <w:bCs/>
          <w:spacing w:val="0"/>
          <w:sz w:val="32"/>
          <w:szCs w:val="32"/>
          <w:highlight w:val="none"/>
          <w:lang w:val="en-US" w:eastAsia="zh-CN"/>
        </w:rPr>
        <w:t>十</w:t>
      </w:r>
      <w:r>
        <w:rPr>
          <w:rFonts w:hint="eastAsia" w:ascii="仿宋" w:hAnsi="仿宋" w:eastAsia="仿宋" w:cs="仿宋"/>
          <w:b/>
          <w:bCs/>
          <w:spacing w:val="0"/>
          <w:sz w:val="32"/>
          <w:szCs w:val="32"/>
          <w:highlight w:val="none"/>
        </w:rPr>
        <w:t>月</w:t>
      </w:r>
    </w:p>
    <w:p>
      <w:pPr>
        <w:jc w:val="left"/>
        <w:rPr>
          <w:rFonts w:hint="default" w:ascii="Times New Roman" w:hAnsi="Times New Roman" w:eastAsia="黑体" w:cs="Times New Roman"/>
          <w:b/>
          <w:bCs/>
          <w:spacing w:val="33"/>
          <w:sz w:val="33"/>
          <w:szCs w:val="33"/>
        </w:rPr>
      </w:pPr>
      <w:r>
        <w:rPr>
          <w:rFonts w:hint="default" w:ascii="Times New Roman" w:hAnsi="Times New Roman" w:eastAsia="黑体" w:cs="Times New Roman"/>
          <w:b/>
          <w:bCs/>
          <w:spacing w:val="33"/>
          <w:sz w:val="33"/>
          <w:szCs w:val="33"/>
        </w:rPr>
        <w:br w:type="page"/>
      </w:r>
    </w:p>
    <w:p>
      <w:pPr>
        <w:ind w:firstLine="0" w:firstLineChars="0"/>
        <w:jc w:val="center"/>
        <w:rPr>
          <w:rFonts w:hint="default" w:ascii="Times New Roman" w:hAnsi="Times New Roman" w:eastAsia="黑体" w:cs="Times New Roman"/>
          <w:b/>
          <w:bCs/>
          <w:color w:val="auto"/>
          <w:spacing w:val="33"/>
          <w:sz w:val="33"/>
          <w:szCs w:val="33"/>
        </w:rPr>
      </w:pPr>
      <w:r>
        <w:rPr>
          <w:rFonts w:hint="default" w:ascii="Times New Roman" w:hAnsi="Times New Roman" w:eastAsia="方正小标宋_GBK" w:cs="Times New Roman"/>
          <w:b w:val="0"/>
          <w:bCs w:val="0"/>
          <w:color w:val="auto"/>
          <w:sz w:val="44"/>
          <w:szCs w:val="44"/>
        </w:rPr>
        <w:t>目</w:t>
      </w:r>
      <w:r>
        <w:rPr>
          <w:rFonts w:hint="default" w:ascii="Times New Roman" w:hAnsi="Times New Roman" w:eastAsia="方正小标宋_GBK" w:cs="Times New Roman"/>
          <w:b w:val="0"/>
          <w:bCs w:val="0"/>
          <w:color w:val="auto"/>
          <w:sz w:val="44"/>
          <w:szCs w:val="44"/>
          <w:lang w:val="en-US" w:eastAsia="zh-CN"/>
        </w:rPr>
        <w:t xml:space="preserve"> </w:t>
      </w:r>
      <w:r>
        <w:rPr>
          <w:rFonts w:hint="default" w:ascii="Times New Roman" w:hAnsi="Times New Roman" w:eastAsia="方正小标宋_GBK" w:cs="Times New Roman"/>
          <w:b w:val="0"/>
          <w:bCs w:val="0"/>
          <w:color w:val="auto"/>
          <w:sz w:val="44"/>
          <w:szCs w:val="44"/>
        </w:rPr>
        <w:t>录</w:t>
      </w:r>
    </w:p>
    <w:sdt>
      <w:sdtPr>
        <w:rPr>
          <w:rFonts w:ascii="宋体" w:hAnsi="宋体" w:eastAsia="宋体" w:cstheme="minorBidi"/>
          <w:kern w:val="2"/>
          <w:sz w:val="21"/>
          <w:szCs w:val="24"/>
          <w:lang w:val="en-US" w:eastAsia="zh-CN" w:bidi="ar-SA"/>
        </w:rPr>
        <w:id w:val="147451289"/>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20"/>
            <w:tabs>
              <w:tab w:val="right" w:leader="dot" w:pos="8392"/>
            </w:tabs>
          </w:pPr>
          <w:r>
            <w:fldChar w:fldCharType="begin"/>
          </w:r>
          <w:r>
            <w:instrText xml:space="preserve">TOC \o "1-3" \h \u </w:instrText>
          </w:r>
          <w:r>
            <w:fldChar w:fldCharType="separate"/>
          </w:r>
        </w:p>
        <w:p>
          <w:pPr>
            <w:pStyle w:val="20"/>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_Toc22656 </w:instrText>
          </w:r>
          <w:r>
            <w:rPr>
              <w:rFonts w:hint="default" w:eastAsia="仿宋"/>
              <w:sz w:val="30"/>
              <w:szCs w:val="30"/>
            </w:rPr>
            <w:fldChar w:fldCharType="separate"/>
          </w:r>
          <w:r>
            <w:rPr>
              <w:rFonts w:hint="default" w:ascii="Times New Roman" w:hAnsi="Times New Roman" w:eastAsia="仿宋" w:cs="Times New Roman"/>
              <w:sz w:val="30"/>
              <w:szCs w:val="30"/>
              <w:lang w:val="en-US" w:eastAsia="zh-CN"/>
            </w:rPr>
            <w:t>一、单位基本情况</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_Toc22656 \h </w:instrText>
          </w:r>
          <w:r>
            <w:rPr>
              <w:rFonts w:hint="default" w:eastAsia="仿宋"/>
              <w:sz w:val="30"/>
              <w:szCs w:val="30"/>
            </w:rPr>
            <w:fldChar w:fldCharType="separate"/>
          </w:r>
          <w:r>
            <w:rPr>
              <w:rFonts w:hint="default" w:eastAsia="仿宋"/>
              <w:sz w:val="30"/>
              <w:szCs w:val="30"/>
            </w:rPr>
            <w:t>2</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_Toc31213 </w:instrText>
          </w:r>
          <w:r>
            <w:rPr>
              <w:rFonts w:hint="default" w:eastAsia="仿宋"/>
              <w:sz w:val="30"/>
              <w:szCs w:val="30"/>
            </w:rPr>
            <w:fldChar w:fldCharType="separate"/>
          </w:r>
          <w:r>
            <w:rPr>
              <w:rFonts w:hint="default" w:ascii="Times New Roman" w:hAnsi="Times New Roman" w:eastAsia="仿宋" w:cs="Times New Roman"/>
              <w:sz w:val="30"/>
              <w:szCs w:val="30"/>
              <w:lang w:val="en-US" w:eastAsia="zh-CN"/>
            </w:rPr>
            <w:t>（一）部门概况</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_Toc31213 \h </w:instrText>
          </w:r>
          <w:r>
            <w:rPr>
              <w:rFonts w:hint="default" w:eastAsia="仿宋"/>
              <w:sz w:val="30"/>
              <w:szCs w:val="30"/>
            </w:rPr>
            <w:fldChar w:fldCharType="separate"/>
          </w:r>
          <w:r>
            <w:rPr>
              <w:rFonts w:hint="default" w:eastAsia="仿宋"/>
              <w:sz w:val="30"/>
              <w:szCs w:val="30"/>
            </w:rPr>
            <w:t>2</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_Toc24843 </w:instrText>
          </w:r>
          <w:r>
            <w:rPr>
              <w:rFonts w:hint="default" w:eastAsia="仿宋"/>
              <w:sz w:val="30"/>
              <w:szCs w:val="30"/>
            </w:rPr>
            <w:fldChar w:fldCharType="separate"/>
          </w:r>
          <w:r>
            <w:rPr>
              <w:rFonts w:hint="default" w:ascii="Times New Roman" w:hAnsi="Times New Roman" w:eastAsia="仿宋" w:cs="Times New Roman"/>
              <w:sz w:val="30"/>
              <w:szCs w:val="30"/>
              <w:lang w:val="en-US" w:eastAsia="zh-CN"/>
            </w:rPr>
            <w:t>（二）主要职责</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_Toc24843 \h </w:instrText>
          </w:r>
          <w:r>
            <w:rPr>
              <w:rFonts w:hint="default" w:eastAsia="仿宋"/>
              <w:sz w:val="30"/>
              <w:szCs w:val="30"/>
            </w:rPr>
            <w:fldChar w:fldCharType="separate"/>
          </w:r>
          <w:r>
            <w:rPr>
              <w:rFonts w:hint="default" w:eastAsia="仿宋"/>
              <w:sz w:val="30"/>
              <w:szCs w:val="30"/>
            </w:rPr>
            <w:t>2</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_Toc2922 </w:instrText>
          </w:r>
          <w:r>
            <w:rPr>
              <w:rFonts w:hint="default" w:eastAsia="仿宋"/>
              <w:sz w:val="30"/>
              <w:szCs w:val="30"/>
            </w:rPr>
            <w:fldChar w:fldCharType="separate"/>
          </w:r>
          <w:r>
            <w:rPr>
              <w:rFonts w:hint="default" w:ascii="Times New Roman" w:hAnsi="Times New Roman" w:eastAsia="仿宋" w:cs="Times New Roman"/>
              <w:sz w:val="30"/>
              <w:szCs w:val="30"/>
              <w:lang w:val="en-US" w:eastAsia="zh-CN"/>
            </w:rPr>
            <w:t>（三）人员情况</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_Toc2922 \h </w:instrText>
          </w:r>
          <w:r>
            <w:rPr>
              <w:rFonts w:hint="default" w:eastAsia="仿宋"/>
              <w:sz w:val="30"/>
              <w:szCs w:val="30"/>
            </w:rPr>
            <w:fldChar w:fldCharType="separate"/>
          </w:r>
          <w:r>
            <w:rPr>
              <w:rFonts w:hint="default" w:eastAsia="仿宋"/>
              <w:sz w:val="30"/>
              <w:szCs w:val="30"/>
            </w:rPr>
            <w:t>4</w:t>
          </w:r>
          <w:r>
            <w:rPr>
              <w:rFonts w:hint="default" w:eastAsia="仿宋"/>
              <w:sz w:val="30"/>
              <w:szCs w:val="30"/>
            </w:rPr>
            <w:fldChar w:fldCharType="end"/>
          </w:r>
          <w:r>
            <w:rPr>
              <w:rFonts w:hint="default" w:eastAsia="仿宋"/>
              <w:sz w:val="30"/>
              <w:szCs w:val="30"/>
            </w:rPr>
            <w:fldChar w:fldCharType="end"/>
          </w:r>
        </w:p>
        <w:p>
          <w:pPr>
            <w:pStyle w:val="20"/>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_Toc26452 </w:instrText>
          </w:r>
          <w:r>
            <w:rPr>
              <w:rFonts w:hint="default" w:eastAsia="仿宋"/>
              <w:sz w:val="30"/>
              <w:szCs w:val="30"/>
            </w:rPr>
            <w:fldChar w:fldCharType="separate"/>
          </w:r>
          <w:r>
            <w:rPr>
              <w:rFonts w:hint="default" w:ascii="Times New Roman" w:hAnsi="Times New Roman" w:eastAsia="仿宋" w:cs="Times New Roman"/>
              <w:sz w:val="30"/>
              <w:szCs w:val="30"/>
              <w:lang w:val="en-US" w:eastAsia="zh-CN"/>
            </w:rPr>
            <w:t>二、部门整体收支情况</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_Toc26452 \h </w:instrText>
          </w:r>
          <w:r>
            <w:rPr>
              <w:rFonts w:hint="default" w:eastAsia="仿宋"/>
              <w:sz w:val="30"/>
              <w:szCs w:val="30"/>
            </w:rPr>
            <w:fldChar w:fldCharType="separate"/>
          </w:r>
          <w:r>
            <w:rPr>
              <w:rFonts w:hint="default" w:eastAsia="仿宋"/>
              <w:sz w:val="30"/>
              <w:szCs w:val="30"/>
            </w:rPr>
            <w:t>4</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_Toc5108 </w:instrText>
          </w:r>
          <w:r>
            <w:rPr>
              <w:rFonts w:hint="default" w:eastAsia="仿宋"/>
              <w:sz w:val="30"/>
              <w:szCs w:val="30"/>
            </w:rPr>
            <w:fldChar w:fldCharType="separate"/>
          </w:r>
          <w:r>
            <w:rPr>
              <w:rFonts w:hint="default" w:ascii="Times New Roman" w:hAnsi="Times New Roman" w:eastAsia="仿宋" w:cs="Times New Roman"/>
              <w:sz w:val="30"/>
              <w:szCs w:val="30"/>
              <w:lang w:val="en-US" w:eastAsia="zh-CN"/>
            </w:rPr>
            <w:t>（一）资金收入情况</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_Toc5108 \h </w:instrText>
          </w:r>
          <w:r>
            <w:rPr>
              <w:rFonts w:hint="default" w:eastAsia="仿宋"/>
              <w:sz w:val="30"/>
              <w:szCs w:val="30"/>
            </w:rPr>
            <w:fldChar w:fldCharType="separate"/>
          </w:r>
          <w:r>
            <w:rPr>
              <w:rFonts w:hint="default" w:eastAsia="仿宋"/>
              <w:sz w:val="30"/>
              <w:szCs w:val="30"/>
            </w:rPr>
            <w:t>4</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_Toc6310 </w:instrText>
          </w:r>
          <w:r>
            <w:rPr>
              <w:rFonts w:hint="default" w:eastAsia="仿宋"/>
              <w:sz w:val="30"/>
              <w:szCs w:val="30"/>
            </w:rPr>
            <w:fldChar w:fldCharType="separate"/>
          </w:r>
          <w:r>
            <w:rPr>
              <w:rFonts w:hint="default" w:ascii="Times New Roman" w:hAnsi="Times New Roman" w:eastAsia="仿宋" w:cs="Times New Roman"/>
              <w:bCs/>
              <w:sz w:val="30"/>
              <w:szCs w:val="30"/>
              <w:lang w:val="en-US" w:eastAsia="zh-CN"/>
            </w:rPr>
            <w:t>（二）资金使用情况</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_Toc6310 \h </w:instrText>
          </w:r>
          <w:r>
            <w:rPr>
              <w:rFonts w:hint="default" w:eastAsia="仿宋"/>
              <w:sz w:val="30"/>
              <w:szCs w:val="30"/>
            </w:rPr>
            <w:fldChar w:fldCharType="separate"/>
          </w:r>
          <w:r>
            <w:rPr>
              <w:rFonts w:hint="default" w:eastAsia="仿宋"/>
              <w:sz w:val="30"/>
              <w:szCs w:val="30"/>
            </w:rPr>
            <w:t>5</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_Toc18431 </w:instrText>
          </w:r>
          <w:r>
            <w:rPr>
              <w:rFonts w:hint="default" w:eastAsia="仿宋"/>
              <w:sz w:val="30"/>
              <w:szCs w:val="30"/>
            </w:rPr>
            <w:fldChar w:fldCharType="separate"/>
          </w:r>
          <w:r>
            <w:rPr>
              <w:rFonts w:hint="default" w:eastAsia="仿宋"/>
              <w:sz w:val="30"/>
              <w:szCs w:val="30"/>
              <w:lang w:val="en-US" w:eastAsia="zh-CN"/>
            </w:rPr>
            <w:t>（三）资金管理情况</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_Toc18431 \h </w:instrText>
          </w:r>
          <w:r>
            <w:rPr>
              <w:rFonts w:hint="default" w:eastAsia="仿宋"/>
              <w:sz w:val="30"/>
              <w:szCs w:val="30"/>
            </w:rPr>
            <w:fldChar w:fldCharType="separate"/>
          </w:r>
          <w:r>
            <w:rPr>
              <w:rFonts w:hint="default" w:eastAsia="仿宋"/>
              <w:sz w:val="30"/>
              <w:szCs w:val="30"/>
            </w:rPr>
            <w:t>6</w:t>
          </w:r>
          <w:r>
            <w:rPr>
              <w:rFonts w:hint="default" w:eastAsia="仿宋"/>
              <w:sz w:val="30"/>
              <w:szCs w:val="30"/>
            </w:rPr>
            <w:fldChar w:fldCharType="end"/>
          </w:r>
          <w:r>
            <w:rPr>
              <w:rFonts w:hint="default" w:eastAsia="仿宋"/>
              <w:sz w:val="30"/>
              <w:szCs w:val="30"/>
            </w:rPr>
            <w:fldChar w:fldCharType="end"/>
          </w:r>
        </w:p>
        <w:p>
          <w:pPr>
            <w:pStyle w:val="20"/>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_Toc15585 </w:instrText>
          </w:r>
          <w:r>
            <w:rPr>
              <w:rFonts w:hint="default" w:eastAsia="仿宋"/>
              <w:sz w:val="30"/>
              <w:szCs w:val="30"/>
            </w:rPr>
            <w:fldChar w:fldCharType="separate"/>
          </w:r>
          <w:r>
            <w:rPr>
              <w:rFonts w:hint="default" w:ascii="Times New Roman" w:hAnsi="Times New Roman" w:eastAsia="仿宋" w:cs="Times New Roman"/>
              <w:bCs/>
              <w:kern w:val="2"/>
              <w:sz w:val="30"/>
              <w:szCs w:val="30"/>
              <w:lang w:val="en-US" w:eastAsia="zh-CN" w:bidi="ar-SA"/>
            </w:rPr>
            <w:t>三、</w:t>
          </w:r>
          <w:r>
            <w:rPr>
              <w:rFonts w:hint="default" w:ascii="Times New Roman" w:hAnsi="Times New Roman" w:eastAsia="仿宋" w:cs="Times New Roman"/>
              <w:bCs w:val="0"/>
              <w:kern w:val="44"/>
              <w:sz w:val="30"/>
              <w:szCs w:val="30"/>
              <w:lang w:val="en-US" w:eastAsia="zh-CN" w:bidi="ar-SA"/>
            </w:rPr>
            <w:t>制度</w:t>
          </w:r>
          <w:r>
            <w:rPr>
              <w:rFonts w:hint="default" w:ascii="Times New Roman" w:hAnsi="Times New Roman" w:eastAsia="仿宋" w:cs="Times New Roman"/>
              <w:bCs/>
              <w:kern w:val="2"/>
              <w:sz w:val="30"/>
              <w:szCs w:val="30"/>
              <w:lang w:val="en-US" w:eastAsia="zh-CN" w:bidi="ar-SA"/>
            </w:rPr>
            <w:t>建设情况</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_Toc15585 \h </w:instrText>
          </w:r>
          <w:r>
            <w:rPr>
              <w:rFonts w:hint="default" w:eastAsia="仿宋"/>
              <w:sz w:val="30"/>
              <w:szCs w:val="30"/>
            </w:rPr>
            <w:fldChar w:fldCharType="separate"/>
          </w:r>
          <w:r>
            <w:rPr>
              <w:rFonts w:hint="default" w:eastAsia="仿宋"/>
              <w:sz w:val="30"/>
              <w:szCs w:val="30"/>
            </w:rPr>
            <w:t>7</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_Toc27260 </w:instrText>
          </w:r>
          <w:r>
            <w:rPr>
              <w:rFonts w:hint="default" w:eastAsia="仿宋"/>
              <w:sz w:val="30"/>
              <w:szCs w:val="30"/>
            </w:rPr>
            <w:fldChar w:fldCharType="separate"/>
          </w:r>
          <w:r>
            <w:rPr>
              <w:rFonts w:hint="default" w:eastAsia="仿宋"/>
              <w:sz w:val="30"/>
              <w:szCs w:val="30"/>
              <w:lang w:val="en-US" w:eastAsia="zh-CN"/>
            </w:rPr>
            <w:t>（一）内控制度建设情况</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_Toc27260 \h </w:instrText>
          </w:r>
          <w:r>
            <w:rPr>
              <w:rFonts w:hint="default" w:eastAsia="仿宋"/>
              <w:sz w:val="30"/>
              <w:szCs w:val="30"/>
            </w:rPr>
            <w:fldChar w:fldCharType="separate"/>
          </w:r>
          <w:r>
            <w:rPr>
              <w:rFonts w:hint="default" w:eastAsia="仿宋"/>
              <w:sz w:val="30"/>
              <w:szCs w:val="30"/>
            </w:rPr>
            <w:t>7</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_Toc25681 </w:instrText>
          </w:r>
          <w:r>
            <w:rPr>
              <w:rFonts w:hint="default" w:eastAsia="仿宋"/>
              <w:sz w:val="30"/>
              <w:szCs w:val="30"/>
            </w:rPr>
            <w:fldChar w:fldCharType="separate"/>
          </w:r>
          <w:r>
            <w:rPr>
              <w:rFonts w:hint="default" w:ascii="Times New Roman" w:hAnsi="Times New Roman" w:eastAsia="仿宋" w:cs="Times New Roman"/>
              <w:bCs/>
              <w:sz w:val="30"/>
              <w:szCs w:val="30"/>
              <w:lang w:val="en-US" w:eastAsia="zh-CN"/>
            </w:rPr>
            <w:t>（二）财务管理制度及机关日常制度建设情况</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_Toc25681 \h </w:instrText>
          </w:r>
          <w:r>
            <w:rPr>
              <w:rFonts w:hint="default" w:eastAsia="仿宋"/>
              <w:sz w:val="30"/>
              <w:szCs w:val="30"/>
            </w:rPr>
            <w:fldChar w:fldCharType="separate"/>
          </w:r>
          <w:r>
            <w:rPr>
              <w:rFonts w:hint="default" w:eastAsia="仿宋"/>
              <w:sz w:val="30"/>
              <w:szCs w:val="30"/>
            </w:rPr>
            <w:t>7</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_Toc14479 </w:instrText>
          </w:r>
          <w:r>
            <w:rPr>
              <w:rFonts w:hint="default" w:eastAsia="仿宋"/>
              <w:sz w:val="30"/>
              <w:szCs w:val="30"/>
            </w:rPr>
            <w:fldChar w:fldCharType="separate"/>
          </w:r>
          <w:r>
            <w:rPr>
              <w:rFonts w:hint="default" w:ascii="Times New Roman" w:hAnsi="Times New Roman" w:eastAsia="仿宋" w:cs="Times New Roman"/>
              <w:bCs/>
              <w:sz w:val="30"/>
              <w:szCs w:val="30"/>
              <w:lang w:val="en-US" w:eastAsia="zh-CN"/>
            </w:rPr>
            <w:t>（三）资产</w:t>
          </w:r>
          <w:r>
            <w:rPr>
              <w:rFonts w:hint="default" w:ascii="Times New Roman" w:hAnsi="Times New Roman" w:eastAsia="仿宋" w:cs="Times New Roman"/>
              <w:bCs w:val="0"/>
              <w:sz w:val="30"/>
              <w:szCs w:val="30"/>
              <w:lang w:val="en-US" w:eastAsia="zh-CN"/>
            </w:rPr>
            <w:t>管理</w:t>
          </w:r>
          <w:r>
            <w:rPr>
              <w:rFonts w:hint="default" w:ascii="Times New Roman" w:hAnsi="Times New Roman" w:eastAsia="仿宋" w:cs="Times New Roman"/>
              <w:bCs/>
              <w:sz w:val="30"/>
              <w:szCs w:val="30"/>
              <w:lang w:val="en-US" w:eastAsia="zh-CN"/>
            </w:rPr>
            <w:t>制度建设及使用情况</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_Toc14479 \h </w:instrText>
          </w:r>
          <w:r>
            <w:rPr>
              <w:rFonts w:hint="default" w:eastAsia="仿宋"/>
              <w:sz w:val="30"/>
              <w:szCs w:val="30"/>
            </w:rPr>
            <w:fldChar w:fldCharType="separate"/>
          </w:r>
          <w:r>
            <w:rPr>
              <w:rFonts w:hint="default" w:eastAsia="仿宋"/>
              <w:sz w:val="30"/>
              <w:szCs w:val="30"/>
            </w:rPr>
            <w:t>7</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_Toc22931 </w:instrText>
          </w:r>
          <w:r>
            <w:rPr>
              <w:rFonts w:hint="default" w:eastAsia="仿宋"/>
              <w:sz w:val="30"/>
              <w:szCs w:val="30"/>
            </w:rPr>
            <w:fldChar w:fldCharType="separate"/>
          </w:r>
          <w:r>
            <w:rPr>
              <w:rFonts w:hint="default" w:ascii="Times New Roman" w:hAnsi="Times New Roman" w:eastAsia="仿宋" w:cs="Times New Roman"/>
              <w:bCs/>
              <w:sz w:val="30"/>
              <w:szCs w:val="30"/>
              <w:lang w:val="en-US" w:eastAsia="zh-CN"/>
            </w:rPr>
            <w:t>（四）政府</w:t>
          </w:r>
          <w:r>
            <w:rPr>
              <w:rFonts w:hint="default" w:ascii="Times New Roman" w:hAnsi="Times New Roman" w:eastAsia="仿宋" w:cs="Times New Roman"/>
              <w:bCs w:val="0"/>
              <w:sz w:val="30"/>
              <w:szCs w:val="30"/>
              <w:lang w:val="en-US" w:eastAsia="zh-CN"/>
            </w:rPr>
            <w:t>采购</w:t>
          </w:r>
          <w:r>
            <w:rPr>
              <w:rFonts w:hint="default" w:ascii="Times New Roman" w:hAnsi="Times New Roman" w:eastAsia="仿宋" w:cs="Times New Roman"/>
              <w:bCs/>
              <w:sz w:val="30"/>
              <w:szCs w:val="30"/>
              <w:lang w:val="en-US" w:eastAsia="zh-CN"/>
            </w:rPr>
            <w:t>制度建设情况</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_Toc22931 \h </w:instrText>
          </w:r>
          <w:r>
            <w:rPr>
              <w:rFonts w:hint="default" w:eastAsia="仿宋"/>
              <w:sz w:val="30"/>
              <w:szCs w:val="30"/>
            </w:rPr>
            <w:fldChar w:fldCharType="separate"/>
          </w:r>
          <w:r>
            <w:rPr>
              <w:rFonts w:hint="default" w:eastAsia="仿宋"/>
              <w:sz w:val="30"/>
              <w:szCs w:val="30"/>
            </w:rPr>
            <w:t>8</w:t>
          </w:r>
          <w:r>
            <w:rPr>
              <w:rFonts w:hint="default" w:eastAsia="仿宋"/>
              <w:sz w:val="30"/>
              <w:szCs w:val="30"/>
            </w:rPr>
            <w:fldChar w:fldCharType="end"/>
          </w:r>
          <w:r>
            <w:rPr>
              <w:rFonts w:hint="default" w:eastAsia="仿宋"/>
              <w:sz w:val="30"/>
              <w:szCs w:val="30"/>
            </w:rPr>
            <w:fldChar w:fldCharType="end"/>
          </w:r>
        </w:p>
        <w:p>
          <w:pPr>
            <w:pStyle w:val="20"/>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_Toc13442 </w:instrText>
          </w:r>
          <w:r>
            <w:rPr>
              <w:rFonts w:hint="default" w:eastAsia="仿宋"/>
              <w:sz w:val="30"/>
              <w:szCs w:val="30"/>
            </w:rPr>
            <w:fldChar w:fldCharType="separate"/>
          </w:r>
          <w:r>
            <w:rPr>
              <w:rFonts w:hint="default" w:ascii="Times New Roman" w:hAnsi="Times New Roman" w:eastAsia="仿宋" w:cs="Times New Roman"/>
              <w:bCs/>
              <w:kern w:val="2"/>
              <w:sz w:val="30"/>
              <w:szCs w:val="30"/>
              <w:lang w:val="en-US" w:eastAsia="zh-CN" w:bidi="ar-SA"/>
            </w:rPr>
            <w:t>四、第三方重点绩效评价工作情况</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_Toc13442 \h </w:instrText>
          </w:r>
          <w:r>
            <w:rPr>
              <w:rFonts w:hint="default" w:eastAsia="仿宋"/>
              <w:sz w:val="30"/>
              <w:szCs w:val="30"/>
            </w:rPr>
            <w:fldChar w:fldCharType="separate"/>
          </w:r>
          <w:r>
            <w:rPr>
              <w:rFonts w:hint="default" w:eastAsia="仿宋"/>
              <w:sz w:val="30"/>
              <w:szCs w:val="30"/>
            </w:rPr>
            <w:t>8</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_Toc25649 </w:instrText>
          </w:r>
          <w:r>
            <w:rPr>
              <w:rFonts w:hint="default" w:eastAsia="仿宋"/>
              <w:sz w:val="30"/>
              <w:szCs w:val="30"/>
            </w:rPr>
            <w:fldChar w:fldCharType="separate"/>
          </w:r>
          <w:r>
            <w:rPr>
              <w:rFonts w:hint="default" w:ascii="Times New Roman" w:hAnsi="Times New Roman" w:eastAsia="仿宋" w:cs="Times New Roman"/>
              <w:bCs/>
              <w:sz w:val="30"/>
              <w:szCs w:val="30"/>
              <w:lang w:val="en-US" w:eastAsia="zh-CN"/>
            </w:rPr>
            <w:t>（一）重点绩效评价目的</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_Toc25649 \h </w:instrText>
          </w:r>
          <w:r>
            <w:rPr>
              <w:rFonts w:hint="default" w:eastAsia="仿宋"/>
              <w:sz w:val="30"/>
              <w:szCs w:val="30"/>
            </w:rPr>
            <w:fldChar w:fldCharType="separate"/>
          </w:r>
          <w:r>
            <w:rPr>
              <w:rFonts w:hint="default" w:eastAsia="仿宋"/>
              <w:sz w:val="30"/>
              <w:szCs w:val="30"/>
            </w:rPr>
            <w:t>8</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_Toc25695 </w:instrText>
          </w:r>
          <w:r>
            <w:rPr>
              <w:rFonts w:hint="default" w:eastAsia="仿宋"/>
              <w:sz w:val="30"/>
              <w:szCs w:val="30"/>
            </w:rPr>
            <w:fldChar w:fldCharType="separate"/>
          </w:r>
          <w:r>
            <w:rPr>
              <w:rFonts w:hint="default" w:ascii="Times New Roman" w:hAnsi="Times New Roman" w:eastAsia="仿宋" w:cs="Times New Roman"/>
              <w:bCs/>
              <w:sz w:val="30"/>
              <w:szCs w:val="30"/>
              <w:lang w:val="en-US" w:eastAsia="zh-CN"/>
            </w:rPr>
            <w:t>（二）重点</w:t>
          </w:r>
          <w:r>
            <w:rPr>
              <w:rFonts w:hint="default" w:ascii="Times New Roman" w:hAnsi="Times New Roman" w:eastAsia="仿宋" w:cs="Times New Roman"/>
              <w:bCs w:val="0"/>
              <w:sz w:val="30"/>
              <w:szCs w:val="30"/>
              <w:lang w:val="en-US" w:eastAsia="zh-CN"/>
            </w:rPr>
            <w:t>绩效</w:t>
          </w:r>
          <w:r>
            <w:rPr>
              <w:rFonts w:hint="default" w:ascii="Times New Roman" w:hAnsi="Times New Roman" w:eastAsia="仿宋" w:cs="Times New Roman"/>
              <w:bCs/>
              <w:sz w:val="30"/>
              <w:szCs w:val="30"/>
              <w:lang w:val="en-US" w:eastAsia="zh-CN"/>
            </w:rPr>
            <w:t>评价工作过程</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_Toc25695 \h </w:instrText>
          </w:r>
          <w:r>
            <w:rPr>
              <w:rFonts w:hint="default" w:eastAsia="仿宋"/>
              <w:sz w:val="30"/>
              <w:szCs w:val="30"/>
            </w:rPr>
            <w:fldChar w:fldCharType="separate"/>
          </w:r>
          <w:r>
            <w:rPr>
              <w:rFonts w:hint="default" w:eastAsia="仿宋"/>
              <w:sz w:val="30"/>
              <w:szCs w:val="30"/>
            </w:rPr>
            <w:t>8</w:t>
          </w:r>
          <w:r>
            <w:rPr>
              <w:rFonts w:hint="default" w:eastAsia="仿宋"/>
              <w:sz w:val="30"/>
              <w:szCs w:val="30"/>
            </w:rPr>
            <w:fldChar w:fldCharType="end"/>
          </w:r>
          <w:r>
            <w:rPr>
              <w:rFonts w:hint="default" w:eastAsia="仿宋"/>
              <w:sz w:val="30"/>
              <w:szCs w:val="30"/>
            </w:rPr>
            <w:fldChar w:fldCharType="end"/>
          </w:r>
        </w:p>
        <w:p>
          <w:pPr>
            <w:pStyle w:val="20"/>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_Toc13449 </w:instrText>
          </w:r>
          <w:r>
            <w:rPr>
              <w:rFonts w:hint="default" w:eastAsia="仿宋"/>
              <w:sz w:val="30"/>
              <w:szCs w:val="30"/>
            </w:rPr>
            <w:fldChar w:fldCharType="separate"/>
          </w:r>
          <w:r>
            <w:rPr>
              <w:rFonts w:hint="default" w:ascii="Times New Roman" w:hAnsi="Times New Roman" w:eastAsia="仿宋" w:cs="Times New Roman"/>
              <w:bCs/>
              <w:kern w:val="2"/>
              <w:sz w:val="30"/>
              <w:szCs w:val="30"/>
              <w:lang w:val="en-US" w:eastAsia="zh-CN" w:bidi="ar-SA"/>
            </w:rPr>
            <w:t>五、部门整体</w:t>
          </w:r>
          <w:r>
            <w:rPr>
              <w:rFonts w:hint="default" w:ascii="Times New Roman" w:hAnsi="Times New Roman" w:eastAsia="仿宋" w:cs="Times New Roman"/>
              <w:bCs w:val="0"/>
              <w:kern w:val="44"/>
              <w:sz w:val="30"/>
              <w:szCs w:val="30"/>
              <w:lang w:val="en-US" w:eastAsia="zh-CN" w:bidi="ar-SA"/>
            </w:rPr>
            <w:t>支出</w:t>
          </w:r>
          <w:r>
            <w:rPr>
              <w:rFonts w:hint="default" w:ascii="Times New Roman" w:hAnsi="Times New Roman" w:eastAsia="仿宋" w:cs="Times New Roman"/>
              <w:bCs/>
              <w:kern w:val="2"/>
              <w:sz w:val="30"/>
              <w:szCs w:val="30"/>
              <w:lang w:val="en-US" w:eastAsia="zh-CN" w:bidi="ar-SA"/>
            </w:rPr>
            <w:t>绩效情况</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_Toc13449 \h </w:instrText>
          </w:r>
          <w:r>
            <w:rPr>
              <w:rFonts w:hint="default" w:eastAsia="仿宋"/>
              <w:sz w:val="30"/>
              <w:szCs w:val="30"/>
            </w:rPr>
            <w:fldChar w:fldCharType="separate"/>
          </w:r>
          <w:r>
            <w:rPr>
              <w:rFonts w:hint="default" w:eastAsia="仿宋"/>
              <w:sz w:val="30"/>
              <w:szCs w:val="30"/>
            </w:rPr>
            <w:t>9</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_Toc22140 </w:instrText>
          </w:r>
          <w:r>
            <w:rPr>
              <w:rFonts w:hint="default" w:eastAsia="仿宋"/>
              <w:sz w:val="30"/>
              <w:szCs w:val="30"/>
            </w:rPr>
            <w:fldChar w:fldCharType="separate"/>
          </w:r>
          <w:r>
            <w:rPr>
              <w:rFonts w:hint="default" w:ascii="Times New Roman" w:hAnsi="Times New Roman" w:eastAsia="仿宋" w:cs="Times New Roman"/>
              <w:bCs/>
              <w:sz w:val="30"/>
              <w:szCs w:val="30"/>
              <w:lang w:val="en-US" w:eastAsia="zh-CN"/>
            </w:rPr>
            <w:t>（一）项目</w:t>
          </w:r>
          <w:r>
            <w:rPr>
              <w:rFonts w:hint="default" w:ascii="Times New Roman" w:hAnsi="Times New Roman" w:eastAsia="仿宋" w:cs="Times New Roman"/>
              <w:bCs w:val="0"/>
              <w:sz w:val="30"/>
              <w:szCs w:val="30"/>
              <w:lang w:val="en-US" w:eastAsia="zh-CN"/>
            </w:rPr>
            <w:t>实际</w:t>
          </w:r>
          <w:r>
            <w:rPr>
              <w:rFonts w:hint="default" w:ascii="Times New Roman" w:hAnsi="Times New Roman" w:eastAsia="仿宋" w:cs="Times New Roman"/>
              <w:bCs/>
              <w:sz w:val="30"/>
              <w:szCs w:val="30"/>
              <w:lang w:val="en-US" w:eastAsia="zh-CN"/>
            </w:rPr>
            <w:t>产出情况</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_Toc22140 \h </w:instrText>
          </w:r>
          <w:r>
            <w:rPr>
              <w:rFonts w:hint="default" w:eastAsia="仿宋"/>
              <w:sz w:val="30"/>
              <w:szCs w:val="30"/>
            </w:rPr>
            <w:fldChar w:fldCharType="separate"/>
          </w:r>
          <w:r>
            <w:rPr>
              <w:rFonts w:hint="default" w:eastAsia="仿宋"/>
              <w:sz w:val="30"/>
              <w:szCs w:val="30"/>
            </w:rPr>
            <w:t>9</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_Toc28582 </w:instrText>
          </w:r>
          <w:r>
            <w:rPr>
              <w:rFonts w:hint="default" w:eastAsia="仿宋"/>
              <w:sz w:val="30"/>
              <w:szCs w:val="30"/>
            </w:rPr>
            <w:fldChar w:fldCharType="separate"/>
          </w:r>
          <w:r>
            <w:rPr>
              <w:rFonts w:hint="default" w:ascii="Times New Roman" w:hAnsi="Times New Roman" w:eastAsia="仿宋" w:cs="Times New Roman"/>
              <w:bCs/>
              <w:sz w:val="30"/>
              <w:szCs w:val="30"/>
              <w:lang w:val="en-US" w:eastAsia="zh-CN"/>
            </w:rPr>
            <w:t>（二）部门整体</w:t>
          </w:r>
          <w:r>
            <w:rPr>
              <w:rFonts w:hint="default" w:ascii="Times New Roman" w:hAnsi="Times New Roman" w:eastAsia="仿宋" w:cs="Times New Roman"/>
              <w:bCs w:val="0"/>
              <w:sz w:val="30"/>
              <w:szCs w:val="30"/>
              <w:lang w:val="en-US" w:eastAsia="zh-CN"/>
            </w:rPr>
            <w:t>效益</w:t>
          </w:r>
          <w:r>
            <w:rPr>
              <w:rFonts w:hint="default" w:ascii="Times New Roman" w:hAnsi="Times New Roman" w:eastAsia="仿宋" w:cs="Times New Roman"/>
              <w:bCs/>
              <w:sz w:val="30"/>
              <w:szCs w:val="30"/>
              <w:lang w:val="en-US" w:eastAsia="zh-CN"/>
            </w:rPr>
            <w:t>情况</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_Toc28582 \h </w:instrText>
          </w:r>
          <w:r>
            <w:rPr>
              <w:rFonts w:hint="default" w:eastAsia="仿宋"/>
              <w:sz w:val="30"/>
              <w:szCs w:val="30"/>
            </w:rPr>
            <w:fldChar w:fldCharType="separate"/>
          </w:r>
          <w:r>
            <w:rPr>
              <w:rFonts w:hint="default" w:eastAsia="仿宋"/>
              <w:sz w:val="30"/>
              <w:szCs w:val="30"/>
            </w:rPr>
            <w:t>9</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_Toc1148 </w:instrText>
          </w:r>
          <w:r>
            <w:rPr>
              <w:rFonts w:hint="default" w:eastAsia="仿宋"/>
              <w:sz w:val="30"/>
              <w:szCs w:val="30"/>
            </w:rPr>
            <w:fldChar w:fldCharType="separate"/>
          </w:r>
          <w:r>
            <w:rPr>
              <w:rFonts w:hint="default" w:ascii="Times New Roman" w:hAnsi="Times New Roman" w:eastAsia="仿宋" w:cs="Times New Roman"/>
              <w:bCs/>
              <w:sz w:val="30"/>
              <w:szCs w:val="30"/>
              <w:lang w:val="en-US" w:eastAsia="zh-CN"/>
            </w:rPr>
            <w:t>（三）部门</w:t>
          </w:r>
          <w:r>
            <w:rPr>
              <w:rFonts w:hint="default" w:ascii="Times New Roman" w:hAnsi="Times New Roman" w:eastAsia="仿宋" w:cs="Times New Roman"/>
              <w:bCs w:val="0"/>
              <w:sz w:val="30"/>
              <w:szCs w:val="30"/>
              <w:lang w:val="en-US" w:eastAsia="zh-CN"/>
            </w:rPr>
            <w:t>整体</w:t>
          </w:r>
          <w:r>
            <w:rPr>
              <w:rFonts w:hint="default" w:ascii="Times New Roman" w:hAnsi="Times New Roman" w:eastAsia="仿宋" w:cs="Times New Roman"/>
              <w:bCs/>
              <w:sz w:val="30"/>
              <w:szCs w:val="30"/>
              <w:lang w:val="en-US" w:eastAsia="zh-CN"/>
            </w:rPr>
            <w:t>满意度</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_Toc1148 \h </w:instrText>
          </w:r>
          <w:r>
            <w:rPr>
              <w:rFonts w:hint="default" w:eastAsia="仿宋"/>
              <w:sz w:val="30"/>
              <w:szCs w:val="30"/>
            </w:rPr>
            <w:fldChar w:fldCharType="separate"/>
          </w:r>
          <w:r>
            <w:rPr>
              <w:rFonts w:hint="default" w:eastAsia="仿宋"/>
              <w:sz w:val="30"/>
              <w:szCs w:val="30"/>
            </w:rPr>
            <w:t>11</w:t>
          </w:r>
          <w:r>
            <w:rPr>
              <w:rFonts w:hint="default" w:eastAsia="仿宋"/>
              <w:sz w:val="30"/>
              <w:szCs w:val="30"/>
            </w:rPr>
            <w:fldChar w:fldCharType="end"/>
          </w:r>
          <w:r>
            <w:rPr>
              <w:rFonts w:hint="default" w:eastAsia="仿宋"/>
              <w:sz w:val="30"/>
              <w:szCs w:val="30"/>
            </w:rPr>
            <w:fldChar w:fldCharType="end"/>
          </w:r>
        </w:p>
        <w:p>
          <w:pPr>
            <w:pStyle w:val="20"/>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_Toc25416 </w:instrText>
          </w:r>
          <w:r>
            <w:rPr>
              <w:rFonts w:hint="default" w:eastAsia="仿宋"/>
              <w:sz w:val="30"/>
              <w:szCs w:val="30"/>
            </w:rPr>
            <w:fldChar w:fldCharType="separate"/>
          </w:r>
          <w:r>
            <w:rPr>
              <w:rFonts w:hint="default" w:ascii="Times New Roman" w:hAnsi="Times New Roman" w:eastAsia="仿宋" w:cs="Times New Roman"/>
              <w:bCs/>
              <w:kern w:val="2"/>
              <w:sz w:val="30"/>
              <w:szCs w:val="30"/>
              <w:lang w:val="en-US" w:eastAsia="zh-CN" w:bidi="ar-SA"/>
            </w:rPr>
            <w:t>六、综合评价情况及评价结论</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_Toc25416 \h </w:instrText>
          </w:r>
          <w:r>
            <w:rPr>
              <w:rFonts w:hint="default" w:eastAsia="仿宋"/>
              <w:sz w:val="30"/>
              <w:szCs w:val="30"/>
            </w:rPr>
            <w:fldChar w:fldCharType="separate"/>
          </w:r>
          <w:r>
            <w:rPr>
              <w:rFonts w:hint="default" w:eastAsia="仿宋"/>
              <w:sz w:val="30"/>
              <w:szCs w:val="30"/>
            </w:rPr>
            <w:t>11</w:t>
          </w:r>
          <w:r>
            <w:rPr>
              <w:rFonts w:hint="default" w:eastAsia="仿宋"/>
              <w:sz w:val="30"/>
              <w:szCs w:val="30"/>
            </w:rPr>
            <w:fldChar w:fldCharType="end"/>
          </w:r>
          <w:r>
            <w:rPr>
              <w:rFonts w:hint="default" w:eastAsia="仿宋"/>
              <w:sz w:val="30"/>
              <w:szCs w:val="30"/>
            </w:rPr>
            <w:fldChar w:fldCharType="end"/>
          </w:r>
        </w:p>
        <w:p>
          <w:pPr>
            <w:pStyle w:val="20"/>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_Toc28857 </w:instrText>
          </w:r>
          <w:r>
            <w:rPr>
              <w:rFonts w:hint="default" w:eastAsia="仿宋"/>
              <w:sz w:val="30"/>
              <w:szCs w:val="30"/>
            </w:rPr>
            <w:fldChar w:fldCharType="separate"/>
          </w:r>
          <w:r>
            <w:rPr>
              <w:rFonts w:hint="default" w:ascii="Times New Roman" w:hAnsi="Times New Roman" w:eastAsia="仿宋" w:cs="Times New Roman"/>
              <w:bCs/>
              <w:kern w:val="2"/>
              <w:sz w:val="30"/>
              <w:szCs w:val="30"/>
              <w:lang w:val="en-US" w:eastAsia="zh-CN" w:bidi="ar-SA"/>
            </w:rPr>
            <w:t>七、存在的主要问题</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_Toc28857 \h </w:instrText>
          </w:r>
          <w:r>
            <w:rPr>
              <w:rFonts w:hint="default" w:eastAsia="仿宋"/>
              <w:sz w:val="30"/>
              <w:szCs w:val="30"/>
            </w:rPr>
            <w:fldChar w:fldCharType="separate"/>
          </w:r>
          <w:r>
            <w:rPr>
              <w:rFonts w:hint="default" w:eastAsia="仿宋"/>
              <w:sz w:val="30"/>
              <w:szCs w:val="30"/>
            </w:rPr>
            <w:t>11</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_Toc173 </w:instrText>
          </w:r>
          <w:r>
            <w:rPr>
              <w:rFonts w:hint="default" w:eastAsia="仿宋"/>
              <w:sz w:val="30"/>
              <w:szCs w:val="30"/>
            </w:rPr>
            <w:fldChar w:fldCharType="separate"/>
          </w:r>
          <w:r>
            <w:rPr>
              <w:rFonts w:hint="default" w:ascii="Times New Roman" w:hAnsi="Times New Roman" w:eastAsia="仿宋" w:cs="Times New Roman"/>
              <w:sz w:val="30"/>
              <w:szCs w:val="30"/>
              <w:lang w:val="en-US" w:eastAsia="zh-CN"/>
            </w:rPr>
            <w:t>（</w:t>
          </w:r>
          <w:r>
            <w:rPr>
              <w:rFonts w:hint="eastAsia" w:eastAsia="仿宋" w:cs="Times New Roman"/>
              <w:sz w:val="30"/>
              <w:szCs w:val="30"/>
              <w:lang w:val="en-US" w:eastAsia="zh-CN"/>
            </w:rPr>
            <w:t>一</w:t>
          </w:r>
          <w:r>
            <w:rPr>
              <w:rFonts w:hint="default" w:ascii="Times New Roman" w:hAnsi="Times New Roman" w:eastAsia="仿宋" w:cs="Times New Roman"/>
              <w:sz w:val="30"/>
              <w:szCs w:val="30"/>
              <w:lang w:val="en-US" w:eastAsia="zh-CN"/>
            </w:rPr>
            <w:t>）政府采购方面</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_Toc173 \h </w:instrText>
          </w:r>
          <w:r>
            <w:rPr>
              <w:rFonts w:hint="default" w:eastAsia="仿宋"/>
              <w:sz w:val="30"/>
              <w:szCs w:val="30"/>
            </w:rPr>
            <w:fldChar w:fldCharType="separate"/>
          </w:r>
          <w:r>
            <w:rPr>
              <w:rFonts w:hint="default" w:eastAsia="仿宋"/>
              <w:sz w:val="30"/>
              <w:szCs w:val="30"/>
            </w:rPr>
            <w:t>11</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_Toc13281 </w:instrText>
          </w:r>
          <w:r>
            <w:rPr>
              <w:rFonts w:hint="default" w:eastAsia="仿宋"/>
              <w:sz w:val="30"/>
              <w:szCs w:val="30"/>
            </w:rPr>
            <w:fldChar w:fldCharType="separate"/>
          </w:r>
          <w:r>
            <w:rPr>
              <w:rFonts w:hint="default" w:ascii="Times New Roman" w:hAnsi="Times New Roman" w:eastAsia="仿宋" w:cs="Times New Roman"/>
              <w:bCs/>
              <w:sz w:val="30"/>
              <w:szCs w:val="30"/>
              <w:lang w:val="en-US" w:eastAsia="zh-CN"/>
            </w:rPr>
            <w:t>（</w:t>
          </w:r>
          <w:r>
            <w:rPr>
              <w:rFonts w:hint="eastAsia" w:eastAsia="仿宋" w:cs="Times New Roman"/>
              <w:bCs/>
              <w:sz w:val="30"/>
              <w:szCs w:val="30"/>
              <w:lang w:val="en-US" w:eastAsia="zh-CN"/>
            </w:rPr>
            <w:t>二</w:t>
          </w:r>
          <w:r>
            <w:rPr>
              <w:rFonts w:hint="default" w:ascii="Times New Roman" w:hAnsi="Times New Roman" w:eastAsia="仿宋" w:cs="Times New Roman"/>
              <w:bCs/>
              <w:sz w:val="30"/>
              <w:szCs w:val="30"/>
              <w:lang w:val="en-US" w:eastAsia="zh-CN"/>
            </w:rPr>
            <w:t>）财务管理方面</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_Toc13281 \h </w:instrText>
          </w:r>
          <w:r>
            <w:rPr>
              <w:rFonts w:hint="default" w:eastAsia="仿宋"/>
              <w:sz w:val="30"/>
              <w:szCs w:val="30"/>
            </w:rPr>
            <w:fldChar w:fldCharType="separate"/>
          </w:r>
          <w:r>
            <w:rPr>
              <w:rFonts w:hint="default" w:eastAsia="仿宋"/>
              <w:sz w:val="30"/>
              <w:szCs w:val="30"/>
            </w:rPr>
            <w:t>12</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_Toc10883 </w:instrText>
          </w:r>
          <w:r>
            <w:rPr>
              <w:rFonts w:hint="default" w:eastAsia="仿宋"/>
              <w:sz w:val="30"/>
              <w:szCs w:val="30"/>
            </w:rPr>
            <w:fldChar w:fldCharType="separate"/>
          </w:r>
          <w:r>
            <w:rPr>
              <w:rFonts w:hint="default" w:ascii="Times New Roman" w:hAnsi="Times New Roman" w:eastAsia="仿宋" w:cs="Times New Roman"/>
              <w:sz w:val="30"/>
              <w:szCs w:val="30"/>
              <w:lang w:val="en-US" w:eastAsia="zh-CN"/>
            </w:rPr>
            <w:t>（</w:t>
          </w:r>
          <w:r>
            <w:rPr>
              <w:rFonts w:hint="eastAsia" w:eastAsia="仿宋" w:cs="Times New Roman"/>
              <w:sz w:val="30"/>
              <w:szCs w:val="30"/>
              <w:lang w:val="en-US" w:eastAsia="zh-CN"/>
            </w:rPr>
            <w:t>三</w:t>
          </w:r>
          <w:r>
            <w:rPr>
              <w:rFonts w:hint="default" w:ascii="Times New Roman" w:hAnsi="Times New Roman" w:eastAsia="仿宋" w:cs="Times New Roman"/>
              <w:sz w:val="30"/>
              <w:szCs w:val="30"/>
              <w:lang w:val="en-US" w:eastAsia="zh-CN"/>
            </w:rPr>
            <w:t>）资产管理方面</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_Toc10883 \h </w:instrText>
          </w:r>
          <w:r>
            <w:rPr>
              <w:rFonts w:hint="default" w:eastAsia="仿宋"/>
              <w:sz w:val="30"/>
              <w:szCs w:val="30"/>
            </w:rPr>
            <w:fldChar w:fldCharType="separate"/>
          </w:r>
          <w:r>
            <w:rPr>
              <w:rFonts w:hint="default" w:eastAsia="仿宋"/>
              <w:sz w:val="30"/>
              <w:szCs w:val="30"/>
            </w:rPr>
            <w:t>12</w:t>
          </w:r>
          <w:r>
            <w:rPr>
              <w:rFonts w:hint="default" w:eastAsia="仿宋"/>
              <w:sz w:val="30"/>
              <w:szCs w:val="30"/>
            </w:rPr>
            <w:fldChar w:fldCharType="end"/>
          </w:r>
          <w:r>
            <w:rPr>
              <w:rFonts w:hint="default" w:eastAsia="仿宋"/>
              <w:sz w:val="30"/>
              <w:szCs w:val="30"/>
            </w:rPr>
            <w:fldChar w:fldCharType="end"/>
          </w:r>
        </w:p>
        <w:p>
          <w:pPr>
            <w:pStyle w:val="20"/>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_Toc7280 </w:instrText>
          </w:r>
          <w:r>
            <w:rPr>
              <w:rFonts w:hint="default" w:eastAsia="仿宋"/>
              <w:sz w:val="30"/>
              <w:szCs w:val="30"/>
            </w:rPr>
            <w:fldChar w:fldCharType="separate"/>
          </w:r>
          <w:r>
            <w:rPr>
              <w:rFonts w:hint="default" w:ascii="Times New Roman" w:hAnsi="Times New Roman" w:eastAsia="仿宋" w:cs="Times New Roman"/>
              <w:bCs/>
              <w:kern w:val="2"/>
              <w:sz w:val="30"/>
              <w:szCs w:val="30"/>
              <w:lang w:val="en-US" w:eastAsia="zh-CN" w:bidi="ar-SA"/>
            </w:rPr>
            <w:t>八、相关</w:t>
          </w:r>
          <w:r>
            <w:rPr>
              <w:rFonts w:hint="default" w:ascii="Times New Roman" w:hAnsi="Times New Roman" w:eastAsia="仿宋" w:cs="Times New Roman"/>
              <w:bCs w:val="0"/>
              <w:kern w:val="44"/>
              <w:sz w:val="30"/>
              <w:szCs w:val="30"/>
              <w:lang w:val="en-US" w:eastAsia="zh-CN" w:bidi="ar-SA"/>
            </w:rPr>
            <w:t>建议</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_Toc7280 \h </w:instrText>
          </w:r>
          <w:r>
            <w:rPr>
              <w:rFonts w:hint="default" w:eastAsia="仿宋"/>
              <w:sz w:val="30"/>
              <w:szCs w:val="30"/>
            </w:rPr>
            <w:fldChar w:fldCharType="separate"/>
          </w:r>
          <w:r>
            <w:rPr>
              <w:rFonts w:hint="default" w:eastAsia="仿宋"/>
              <w:sz w:val="30"/>
              <w:szCs w:val="30"/>
            </w:rPr>
            <w:t>12</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_Toc31051 </w:instrText>
          </w:r>
          <w:r>
            <w:rPr>
              <w:rFonts w:hint="default" w:eastAsia="仿宋"/>
              <w:sz w:val="30"/>
              <w:szCs w:val="30"/>
            </w:rPr>
            <w:fldChar w:fldCharType="separate"/>
          </w:r>
          <w:r>
            <w:rPr>
              <w:rFonts w:hint="default" w:ascii="Times New Roman" w:hAnsi="Times New Roman" w:eastAsia="仿宋" w:cs="Times New Roman"/>
              <w:bCs/>
              <w:sz w:val="30"/>
              <w:szCs w:val="30"/>
              <w:lang w:val="en-US" w:eastAsia="zh-CN"/>
            </w:rPr>
            <w:t>（</w:t>
          </w:r>
          <w:r>
            <w:rPr>
              <w:rFonts w:hint="eastAsia" w:eastAsia="仿宋" w:cs="Times New Roman"/>
              <w:bCs/>
              <w:sz w:val="30"/>
              <w:szCs w:val="30"/>
              <w:lang w:val="en-US" w:eastAsia="zh-CN"/>
            </w:rPr>
            <w:t>一</w:t>
          </w:r>
          <w:r>
            <w:rPr>
              <w:rFonts w:hint="default" w:ascii="Times New Roman" w:hAnsi="Times New Roman" w:eastAsia="仿宋" w:cs="Times New Roman"/>
              <w:bCs/>
              <w:sz w:val="30"/>
              <w:szCs w:val="30"/>
              <w:lang w:val="en-US" w:eastAsia="zh-CN"/>
            </w:rPr>
            <w:t>）加强政府采购管理</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_Toc31051 \h </w:instrText>
          </w:r>
          <w:r>
            <w:rPr>
              <w:rFonts w:hint="default" w:eastAsia="仿宋"/>
              <w:sz w:val="30"/>
              <w:szCs w:val="30"/>
            </w:rPr>
            <w:fldChar w:fldCharType="separate"/>
          </w:r>
          <w:r>
            <w:rPr>
              <w:rFonts w:hint="default" w:eastAsia="仿宋"/>
              <w:sz w:val="30"/>
              <w:szCs w:val="30"/>
            </w:rPr>
            <w:t>12</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_Toc11828 </w:instrText>
          </w:r>
          <w:r>
            <w:rPr>
              <w:rFonts w:hint="default" w:eastAsia="仿宋"/>
              <w:sz w:val="30"/>
              <w:szCs w:val="30"/>
            </w:rPr>
            <w:fldChar w:fldCharType="separate"/>
          </w:r>
          <w:r>
            <w:rPr>
              <w:rFonts w:hint="default" w:ascii="Times New Roman" w:hAnsi="Times New Roman" w:eastAsia="仿宋" w:cs="Times New Roman"/>
              <w:bCs/>
              <w:sz w:val="30"/>
              <w:szCs w:val="30"/>
              <w:lang w:val="en-US" w:eastAsia="zh-CN"/>
            </w:rPr>
            <w:t>（</w:t>
          </w:r>
          <w:r>
            <w:rPr>
              <w:rFonts w:hint="eastAsia" w:eastAsia="仿宋" w:cs="Times New Roman"/>
              <w:bCs/>
              <w:sz w:val="30"/>
              <w:szCs w:val="30"/>
              <w:lang w:val="en-US" w:eastAsia="zh-CN"/>
            </w:rPr>
            <w:t>二</w:t>
          </w:r>
          <w:r>
            <w:rPr>
              <w:rFonts w:hint="default" w:ascii="Times New Roman" w:hAnsi="Times New Roman" w:eastAsia="仿宋" w:cs="Times New Roman"/>
              <w:bCs/>
              <w:sz w:val="30"/>
              <w:szCs w:val="30"/>
              <w:lang w:val="en-US" w:eastAsia="zh-CN"/>
            </w:rPr>
            <w:t>）加强资金</w:t>
          </w:r>
          <w:r>
            <w:rPr>
              <w:rFonts w:hint="default" w:ascii="Times New Roman" w:hAnsi="Times New Roman" w:eastAsia="仿宋" w:cs="Times New Roman"/>
              <w:bCs w:val="0"/>
              <w:sz w:val="30"/>
              <w:szCs w:val="30"/>
              <w:lang w:val="en-US" w:eastAsia="zh-CN"/>
            </w:rPr>
            <w:t>支付</w:t>
          </w:r>
          <w:r>
            <w:rPr>
              <w:rFonts w:hint="default" w:ascii="Times New Roman" w:hAnsi="Times New Roman" w:eastAsia="仿宋" w:cs="Times New Roman"/>
              <w:bCs/>
              <w:sz w:val="30"/>
              <w:szCs w:val="30"/>
              <w:lang w:val="en-US" w:eastAsia="zh-CN"/>
            </w:rPr>
            <w:t>管理</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_Toc11828 \h </w:instrText>
          </w:r>
          <w:r>
            <w:rPr>
              <w:rFonts w:hint="default" w:eastAsia="仿宋"/>
              <w:sz w:val="30"/>
              <w:szCs w:val="30"/>
            </w:rPr>
            <w:fldChar w:fldCharType="separate"/>
          </w:r>
          <w:r>
            <w:rPr>
              <w:rFonts w:hint="default" w:eastAsia="仿宋"/>
              <w:sz w:val="30"/>
              <w:szCs w:val="30"/>
            </w:rPr>
            <w:t>12</w:t>
          </w:r>
          <w:r>
            <w:rPr>
              <w:rFonts w:hint="default" w:eastAsia="仿宋"/>
              <w:sz w:val="30"/>
              <w:szCs w:val="30"/>
            </w:rPr>
            <w:fldChar w:fldCharType="end"/>
          </w:r>
          <w:r>
            <w:rPr>
              <w:rFonts w:hint="default" w:eastAsia="仿宋"/>
              <w:sz w:val="30"/>
              <w:szCs w:val="30"/>
            </w:rPr>
            <w:fldChar w:fldCharType="end"/>
          </w:r>
        </w:p>
        <w:p>
          <w:pPr>
            <w:pStyle w:val="21"/>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_Toc4267 </w:instrText>
          </w:r>
          <w:r>
            <w:rPr>
              <w:rFonts w:hint="default" w:eastAsia="仿宋"/>
              <w:sz w:val="30"/>
              <w:szCs w:val="30"/>
            </w:rPr>
            <w:fldChar w:fldCharType="separate"/>
          </w:r>
          <w:r>
            <w:rPr>
              <w:rFonts w:hint="default" w:ascii="Times New Roman" w:hAnsi="Times New Roman" w:eastAsia="仿宋" w:cs="Times New Roman"/>
              <w:bCs/>
              <w:sz w:val="30"/>
              <w:szCs w:val="30"/>
              <w:lang w:val="en-US" w:eastAsia="zh-CN"/>
            </w:rPr>
            <w:t>（</w:t>
          </w:r>
          <w:r>
            <w:rPr>
              <w:rFonts w:hint="eastAsia" w:eastAsia="仿宋" w:cs="Times New Roman"/>
              <w:bCs/>
              <w:sz w:val="30"/>
              <w:szCs w:val="30"/>
              <w:lang w:val="en-US" w:eastAsia="zh-CN"/>
            </w:rPr>
            <w:t>三</w:t>
          </w:r>
          <w:r>
            <w:rPr>
              <w:rFonts w:hint="default" w:ascii="Times New Roman" w:hAnsi="Times New Roman" w:eastAsia="仿宋" w:cs="Times New Roman"/>
              <w:bCs/>
              <w:sz w:val="30"/>
              <w:szCs w:val="30"/>
              <w:lang w:val="en-US" w:eastAsia="zh-CN"/>
            </w:rPr>
            <w:t>）规范资产</w:t>
          </w:r>
          <w:r>
            <w:rPr>
              <w:rFonts w:hint="default" w:ascii="Times New Roman" w:hAnsi="Times New Roman" w:eastAsia="仿宋" w:cs="Times New Roman"/>
              <w:bCs w:val="0"/>
              <w:sz w:val="30"/>
              <w:szCs w:val="30"/>
              <w:lang w:val="en-US" w:eastAsia="zh-CN"/>
            </w:rPr>
            <w:t>管理</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_Toc4267 \h </w:instrText>
          </w:r>
          <w:r>
            <w:rPr>
              <w:rFonts w:hint="default" w:eastAsia="仿宋"/>
              <w:sz w:val="30"/>
              <w:szCs w:val="30"/>
            </w:rPr>
            <w:fldChar w:fldCharType="separate"/>
          </w:r>
          <w:r>
            <w:rPr>
              <w:rFonts w:hint="default" w:eastAsia="仿宋"/>
              <w:sz w:val="30"/>
              <w:szCs w:val="30"/>
            </w:rPr>
            <w:t>12</w:t>
          </w:r>
          <w:r>
            <w:rPr>
              <w:rFonts w:hint="default" w:eastAsia="仿宋"/>
              <w:sz w:val="30"/>
              <w:szCs w:val="30"/>
            </w:rPr>
            <w:fldChar w:fldCharType="end"/>
          </w:r>
          <w:r>
            <w:rPr>
              <w:rFonts w:hint="default" w:eastAsia="仿宋"/>
              <w:sz w:val="30"/>
              <w:szCs w:val="30"/>
            </w:rPr>
            <w:fldChar w:fldCharType="end"/>
          </w:r>
        </w:p>
        <w:p>
          <w:pPr>
            <w:pStyle w:val="20"/>
            <w:tabs>
              <w:tab w:val="right" w:leader="dot" w:pos="8392"/>
            </w:tabs>
            <w:rPr>
              <w:rFonts w:hint="default" w:eastAsia="仿宋"/>
              <w:sz w:val="30"/>
              <w:szCs w:val="30"/>
            </w:rPr>
          </w:pPr>
          <w:r>
            <w:rPr>
              <w:rFonts w:hint="default" w:eastAsia="仿宋"/>
              <w:sz w:val="30"/>
              <w:szCs w:val="30"/>
            </w:rPr>
            <w:fldChar w:fldCharType="begin"/>
          </w:r>
          <w:r>
            <w:rPr>
              <w:rFonts w:hint="default" w:eastAsia="仿宋"/>
              <w:sz w:val="30"/>
              <w:szCs w:val="30"/>
            </w:rPr>
            <w:instrText xml:space="preserve"> HYPERLINK \l _Toc9696 </w:instrText>
          </w:r>
          <w:r>
            <w:rPr>
              <w:rFonts w:hint="default" w:eastAsia="仿宋"/>
              <w:sz w:val="30"/>
              <w:szCs w:val="30"/>
            </w:rPr>
            <w:fldChar w:fldCharType="separate"/>
          </w:r>
          <w:r>
            <w:rPr>
              <w:rFonts w:hint="default" w:ascii="Times New Roman" w:hAnsi="Times New Roman" w:eastAsia="仿宋" w:cs="Times New Roman"/>
              <w:bCs/>
              <w:kern w:val="2"/>
              <w:sz w:val="30"/>
              <w:szCs w:val="30"/>
              <w:lang w:val="en-US" w:eastAsia="zh-CN" w:bidi="ar-SA"/>
            </w:rPr>
            <w:t>九、报告使用情况说明</w:t>
          </w:r>
          <w:r>
            <w:rPr>
              <w:rFonts w:hint="default" w:eastAsia="仿宋"/>
              <w:sz w:val="30"/>
              <w:szCs w:val="30"/>
            </w:rPr>
            <w:tab/>
          </w:r>
          <w:r>
            <w:rPr>
              <w:rFonts w:hint="default" w:eastAsia="仿宋"/>
              <w:sz w:val="30"/>
              <w:szCs w:val="30"/>
            </w:rPr>
            <w:fldChar w:fldCharType="begin"/>
          </w:r>
          <w:r>
            <w:rPr>
              <w:rFonts w:hint="default" w:eastAsia="仿宋"/>
              <w:sz w:val="30"/>
              <w:szCs w:val="30"/>
            </w:rPr>
            <w:instrText xml:space="preserve"> PAGEREF _Toc9696 \h </w:instrText>
          </w:r>
          <w:r>
            <w:rPr>
              <w:rFonts w:hint="default" w:eastAsia="仿宋"/>
              <w:sz w:val="30"/>
              <w:szCs w:val="30"/>
            </w:rPr>
            <w:fldChar w:fldCharType="separate"/>
          </w:r>
          <w:r>
            <w:rPr>
              <w:rFonts w:hint="default" w:eastAsia="仿宋"/>
              <w:sz w:val="30"/>
              <w:szCs w:val="30"/>
            </w:rPr>
            <w:t>13</w:t>
          </w:r>
          <w:r>
            <w:rPr>
              <w:rFonts w:hint="default" w:eastAsia="仿宋"/>
              <w:sz w:val="30"/>
              <w:szCs w:val="30"/>
            </w:rPr>
            <w:fldChar w:fldCharType="end"/>
          </w:r>
          <w:r>
            <w:rPr>
              <w:rFonts w:hint="default" w:eastAsia="仿宋"/>
              <w:sz w:val="30"/>
              <w:szCs w:val="30"/>
            </w:rPr>
            <w:fldChar w:fldCharType="end"/>
          </w:r>
        </w:p>
        <w:p>
          <w:r>
            <w:fldChar w:fldCharType="end"/>
          </w:r>
        </w:p>
      </w:sdtContent>
    </w:sdt>
    <w:p>
      <w:pPr>
        <w:jc w:val="center"/>
        <w:rPr>
          <w:rFonts w:hint="default" w:ascii="Times New Roman" w:hAnsi="Times New Roman" w:eastAsia="黑体" w:cs="Times New Roman"/>
          <w:b/>
          <w:bCs/>
          <w:spacing w:val="33"/>
          <w:sz w:val="33"/>
          <w:szCs w:val="33"/>
        </w:rPr>
      </w:pPr>
    </w:p>
    <w:p>
      <w:pPr>
        <w:jc w:val="center"/>
        <w:rPr>
          <w:rFonts w:hint="default" w:ascii="Times New Roman" w:hAnsi="Times New Roman" w:eastAsia="黑体" w:cs="Times New Roman"/>
          <w:b/>
          <w:bCs/>
          <w:spacing w:val="33"/>
          <w:sz w:val="33"/>
          <w:szCs w:val="33"/>
        </w:rPr>
      </w:pPr>
    </w:p>
    <w:p>
      <w:pPr>
        <w:jc w:val="center"/>
        <w:rPr>
          <w:rFonts w:hint="default" w:ascii="Times New Roman" w:hAnsi="Times New Roman" w:eastAsia="黑体" w:cs="Times New Roman"/>
          <w:b/>
          <w:bCs/>
          <w:spacing w:val="33"/>
          <w:sz w:val="33"/>
          <w:szCs w:val="33"/>
        </w:rPr>
        <w:sectPr>
          <w:pgSz w:w="11906" w:h="16838"/>
          <w:pgMar w:top="1440" w:right="1757" w:bottom="1440" w:left="1757" w:header="851" w:footer="992" w:gutter="0"/>
          <w:pgBorders>
            <w:top w:val="none" w:sz="0" w:space="0"/>
            <w:left w:val="none" w:sz="0" w:space="0"/>
            <w:bottom w:val="none" w:sz="0" w:space="0"/>
            <w:right w:val="none" w:sz="0" w:space="0"/>
          </w:pgBorders>
          <w:cols w:space="425" w:num="1"/>
          <w:docGrid w:type="lines" w:linePitch="312" w:charSpace="0"/>
        </w:sectPr>
      </w:pPr>
    </w:p>
    <w:p>
      <w:pPr>
        <w:jc w:val="both"/>
        <w:rPr>
          <w:rFonts w:hint="default" w:ascii="Times New Roman" w:hAnsi="Times New Roman" w:eastAsia="仿宋" w:cs="Times New Roman"/>
          <w:b/>
          <w:bCs/>
          <w:sz w:val="33"/>
          <w:lang w:val="en-US" w:eastAsia="zh-CN"/>
        </w:rPr>
      </w:pPr>
      <w:r>
        <w:rPr>
          <w:rFonts w:hint="default"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-573405</wp:posOffset>
                </wp:positionH>
                <wp:positionV relativeFrom="paragraph">
                  <wp:posOffset>-8890</wp:posOffset>
                </wp:positionV>
                <wp:extent cx="6372860" cy="951865"/>
                <wp:effectExtent l="0" t="0" r="0" b="0"/>
                <wp:wrapNone/>
                <wp:docPr id="5" name="文本框 5"/>
                <wp:cNvGraphicFramePr/>
                <a:graphic xmlns:a="http://schemas.openxmlformats.org/drawingml/2006/main">
                  <a:graphicData uri="http://schemas.microsoft.com/office/word/2010/wordprocessingShape">
                    <wps:wsp>
                      <wps:cNvSpPr txBox="1"/>
                      <wps:spPr>
                        <a:xfrm>
                          <a:off x="0" y="0"/>
                          <a:ext cx="6372860" cy="951865"/>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077766893"/>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077766893"/>
                                <w:lang w:val="en-US" w:eastAsia="zh-CN"/>
                              </w:rPr>
                              <w:t>)</w:t>
                            </w:r>
                          </w:p>
                        </w:txbxContent>
                      </wps:txbx>
                      <wps:bodyPr upright="1"/>
                    </wps:wsp>
                  </a:graphicData>
                </a:graphic>
              </wp:anchor>
            </w:drawing>
          </mc:Choice>
          <mc:Fallback>
            <w:pict>
              <v:shape id="_x0000_s1026" o:spid="_x0000_s1026" o:spt="202" type="#_x0000_t202" style="position:absolute;left:0pt;margin-left:-45.15pt;margin-top:-0.7pt;height:74.95pt;width:501.8pt;z-index:251662336;mso-width-relative:page;mso-height-relative:page;" filled="f" stroked="f" coordsize="21600,21600" o:gfxdata="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5uN02toAAAAKAQAADwAAAAAAAAABACAAAAAiAAAAZHJzL2Rvd25yZXYueG1sUEsBAhQAFAAA&#10;AAgAh07iQNlWnaO0AQAAVwMAAA4AAAAAAAAAAQAgAAAAKQEAAGRycy9lMm9Eb2MueG1sUEsFBgAA&#10;AAAGAAYAWQEAAE8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077766893"/>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077766893"/>
                          <w:lang w:val="en-US" w:eastAsia="zh-CN"/>
                        </w:rPr>
                        <w:t>)</w:t>
                      </w:r>
                    </w:p>
                  </w:txbxContent>
                </v:textbox>
              </v:shape>
            </w:pict>
          </mc:Fallback>
        </mc:AlternateContent>
      </w:r>
    </w:p>
    <w:p>
      <w:pPr>
        <w:jc w:val="both"/>
        <w:rPr>
          <w:rFonts w:hint="default" w:ascii="Times New Roman" w:hAnsi="Times New Roman" w:eastAsia="仿宋" w:cs="Times New Roman"/>
          <w:b/>
          <w:bCs/>
          <w:sz w:val="33"/>
          <w:lang w:val="en-US" w:eastAsia="zh-CN"/>
        </w:rPr>
      </w:pPr>
    </w:p>
    <w:p>
      <w:pPr>
        <w:jc w:val="both"/>
        <w:rPr>
          <w:rFonts w:hint="default" w:ascii="Times New Roman" w:hAnsi="Times New Roman" w:eastAsia="仿宋" w:cs="Times New Roman"/>
          <w:b/>
          <w:bCs/>
          <w:sz w:val="33"/>
          <w:lang w:val="en-US" w:eastAsia="zh-CN"/>
        </w:rPr>
      </w:pPr>
      <w:r>
        <w:rPr>
          <w:rFonts w:hint="default" w:ascii="Times New Roman" w:hAnsi="Times New Roman" w:cs="Times New Roman"/>
          <w:sz w:val="72"/>
        </w:rPr>
        <mc:AlternateContent>
          <mc:Choice Requires="wpg">
            <w:drawing>
              <wp:anchor distT="0" distB="0" distL="114300" distR="114300" simplePos="0" relativeHeight="251661312" behindDoc="0" locked="0" layoutInCell="1" allowOverlap="1">
                <wp:simplePos x="0" y="0"/>
                <wp:positionH relativeFrom="column">
                  <wp:posOffset>-375285</wp:posOffset>
                </wp:positionH>
                <wp:positionV relativeFrom="paragraph">
                  <wp:posOffset>33655</wp:posOffset>
                </wp:positionV>
                <wp:extent cx="5943600" cy="457200"/>
                <wp:effectExtent l="12700" t="0" r="25400" b="13335"/>
                <wp:wrapNone/>
                <wp:docPr id="2" name="组合 2"/>
                <wp:cNvGraphicFramePr/>
                <a:graphic xmlns:a="http://schemas.openxmlformats.org/drawingml/2006/main">
                  <a:graphicData uri="http://schemas.microsoft.com/office/word/2010/wordprocessingGroup">
                    <wpg:wgp>
                      <wpg:cNvGrpSpPr/>
                      <wpg:grpSpPr>
                        <a:xfrm>
                          <a:off x="0" y="0"/>
                          <a:ext cx="5943600" cy="457200"/>
                          <a:chOff x="1632" y="3046"/>
                          <a:chExt cx="9360" cy="720"/>
                        </a:xfrm>
                      </wpg:grpSpPr>
                      <wps:wsp>
                        <wps:cNvPr id="6" name="文本框 6"/>
                        <wps:cNvSpPr txBox="1"/>
                        <wps:spPr>
                          <a:xfrm>
                            <a:off x="1704" y="3046"/>
                            <a:ext cx="9253" cy="662"/>
                          </a:xfrm>
                          <a:prstGeom prst="rect">
                            <a:avLst/>
                          </a:prstGeom>
                          <a:noFill/>
                          <a:ln w="6350">
                            <a:noFill/>
                          </a:ln>
                        </wps:spPr>
                        <wps:txbx>
                          <w:txbxContent>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916566613"/>
                                </w:rPr>
                                <w:t>Hunan Caizheng Accounting Firm (General Partnership</w:t>
                              </w:r>
                              <w:r>
                                <w:rPr>
                                  <w:rFonts w:hint="default" w:ascii="Arial" w:hAnsi="Arial" w:cs="Arial"/>
                                  <w:b w:val="0"/>
                                  <w:bCs w:val="0"/>
                                  <w:color w:val="FF0000"/>
                                  <w:spacing w:val="-15"/>
                                  <w:w w:val="98"/>
                                  <w:kern w:val="0"/>
                                  <w:sz w:val="36"/>
                                  <w:szCs w:val="36"/>
                                  <w:fitText w:val="8800" w:id="1916566613"/>
                                </w:rPr>
                                <w:t>)</w:t>
                              </w:r>
                            </w:p>
                            <w:p>
                              <w:pPr>
                                <w:jc w:val="center"/>
                                <w:rPr>
                                  <w:rFonts w:hint="default"/>
                                  <w:color w:val="366091"/>
                                  <w:w w:val="150"/>
                                  <w:sz w:val="40"/>
                                  <w:szCs w:val="40"/>
                                  <w:lang w:val="en-US"/>
                                  <w14:textOutline w14:w="9525">
                                    <w14:solidFill>
                                      <w14:srgbClr w14:val="FF0000"/>
                                    </w14:solidFill>
                                    <w14:round/>
                                  </w14:textOutline>
                                </w:rPr>
                              </w:pPr>
                            </w:p>
                          </w:txbxContent>
                        </wps:txbx>
                        <wps:bodyPr upright="1"/>
                      </wps:wsp>
                      <wps:wsp>
                        <wps:cNvPr id="7" name="矩形 7"/>
                        <wps:cNvSpPr/>
                        <wps:spPr>
                          <a:xfrm>
                            <a:off x="1632" y="3709"/>
                            <a:ext cx="9360" cy="57"/>
                          </a:xfrm>
                          <a:prstGeom prst="rect">
                            <a:avLst/>
                          </a:prstGeom>
                          <a:solidFill>
                            <a:srgbClr val="FF0000"/>
                          </a:solidFill>
                          <a:ln w="25400" cap="flat" cmpd="sng">
                            <a:solidFill>
                              <a:srgbClr val="FF0000"/>
                            </a:solidFill>
                            <a:prstDash val="solid"/>
                            <a:round/>
                            <a:headEnd type="none" w="med" len="med"/>
                            <a:tailEnd type="none" w="med" len="med"/>
                          </a:ln>
                        </wps:spPr>
                        <wps:bodyPr anchor="ctr" anchorCtr="0" upright="1"/>
                      </wps:wsp>
                    </wpg:wgp>
                  </a:graphicData>
                </a:graphic>
              </wp:anchor>
            </w:drawing>
          </mc:Choice>
          <mc:Fallback>
            <w:pict>
              <v:group id="_x0000_s1026" o:spid="_x0000_s1026" o:spt="203" style="position:absolute;left:0pt;margin-left:-29.55pt;margin-top:2.65pt;height:36pt;width:468pt;z-index:251661312;mso-width-relative:page;mso-height-relative:page;" coordorigin="1632,3046" coordsize="9360,720" o:gfxdata="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I1H&#10;1Q3ZAAAACAEAAA8AAAAAAAAAAQAgAAAAIgAAAGRycy9kb3ducmV2LnhtbFBLAQIUABQAAAAIAIdO&#10;4kAmrZewzQIAAOEGAAAOAAAAAAAAAAEAIAAAACgBAABkcnMvZTJvRG9jLnhtbFBLBQYAAAAABgAG&#10;AFkBAABnBgAAAAA=&#10;">
                <o:lock v:ext="edit" aspectratio="f"/>
                <v:shape id="_x0000_s1026" o:spid="_x0000_s1026" o:spt="202" type="#_x0000_t202" style="position:absolute;left:1704;top:3046;height:662;width:9253;"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916566613"/>
                          </w:rPr>
                          <w:t>Hunan Caizheng Accounting Firm (General Partnership</w:t>
                        </w:r>
                        <w:r>
                          <w:rPr>
                            <w:rFonts w:hint="default" w:ascii="Arial" w:hAnsi="Arial" w:cs="Arial"/>
                            <w:b w:val="0"/>
                            <w:bCs w:val="0"/>
                            <w:color w:val="FF0000"/>
                            <w:spacing w:val="-15"/>
                            <w:w w:val="98"/>
                            <w:kern w:val="0"/>
                            <w:sz w:val="36"/>
                            <w:szCs w:val="36"/>
                            <w:fitText w:val="8800" w:id="1916566613"/>
                          </w:rPr>
                          <w:t>)</w:t>
                        </w:r>
                      </w:p>
                      <w:p>
                        <w:pPr>
                          <w:jc w:val="center"/>
                          <w:rPr>
                            <w:rFonts w:hint="default"/>
                            <w:color w:val="366091"/>
                            <w:w w:val="150"/>
                            <w:sz w:val="40"/>
                            <w:szCs w:val="40"/>
                            <w:lang w:val="en-US"/>
                            <w14:textOutline w14:w="9525">
                              <w14:solidFill>
                                <w14:srgbClr w14:val="FF0000"/>
                              </w14:solidFill>
                              <w14:round/>
                            </w14:textOutline>
                          </w:rPr>
                        </w:pPr>
                      </w:p>
                    </w:txbxContent>
                  </v:textbox>
                </v:shape>
                <v:rect id="_x0000_s1026" o:spid="_x0000_s1026" o:spt="1" style="position:absolute;left:1632;top:3709;height:57;width:9360;v-text-anchor:middle;" fillcolor="#FF0000" filled="t" stroked="t" coordsize="21600,21600" o:gfxdata="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XNVq5AAAA2gAA&#10;AA8AAAAAAAAAAQAgAAAAIgAAAGRycy9kb3ducmV2LnhtbFBLAQIUABQAAAAIAIdO4kAzLwWeOwAA&#10;ADkAAAAQAAAAAAAAAAEAIAAAAAgBAABkcnMvc2hhcGV4bWwueG1sUEsFBgAAAAAGAAYAWwEAALID&#10;AAAAAA==&#10;">
                  <v:fill on="t" focussize="0,0"/>
                  <v:stroke weight="2pt" color="#FF0000" joinstyle="round"/>
                  <v:imagedata o:title=""/>
                  <o:lock v:ext="edit" aspectratio="f"/>
                </v:rect>
              </v:group>
            </w:pict>
          </mc:Fallback>
        </mc:AlternateConten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 w:cs="Times New Roman"/>
          <w:b/>
          <w:bCs/>
          <w:sz w:val="33"/>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 w:cs="Times New Roman"/>
          <w:sz w:val="33"/>
          <w:lang w:val="en-US" w:eastAsia="zh-CN"/>
        </w:rPr>
      </w:pPr>
      <w:r>
        <w:rPr>
          <w:rFonts w:hint="default" w:ascii="Times New Roman" w:hAnsi="Times New Roman" w:eastAsia="仿宋" w:cs="Times New Roman"/>
          <w:b/>
          <w:bCs/>
          <w:sz w:val="33"/>
        </w:rPr>
        <mc:AlternateContent>
          <mc:Choice Requires="wps">
            <w:drawing>
              <wp:anchor distT="0" distB="0" distL="114935" distR="114935" simplePos="0" relativeHeight="251660288" behindDoc="0" locked="0" layoutInCell="1" allowOverlap="1">
                <wp:simplePos x="0" y="0"/>
                <wp:positionH relativeFrom="column">
                  <wp:posOffset>-305435</wp:posOffset>
                </wp:positionH>
                <wp:positionV relativeFrom="page">
                  <wp:posOffset>2144395</wp:posOffset>
                </wp:positionV>
                <wp:extent cx="5923915" cy="635"/>
                <wp:effectExtent l="0" t="0" r="0" b="0"/>
                <wp:wrapSquare wrapText="bothSides"/>
                <wp:docPr id="3" name="直接连接符 3"/>
                <wp:cNvGraphicFramePr/>
                <a:graphic xmlns:a="http://schemas.openxmlformats.org/drawingml/2006/main">
                  <a:graphicData uri="http://schemas.microsoft.com/office/word/2010/wordprocessingShape">
                    <wps:wsp>
                      <wps:cNvCnPr/>
                      <wps:spPr>
                        <a:xfrm>
                          <a:off x="779145" y="2103120"/>
                          <a:ext cx="5923915" cy="635"/>
                        </a:xfrm>
                        <a:prstGeom prst="line">
                          <a:avLst/>
                        </a:prstGeom>
                        <a:ln w="28575" cmpd="sng">
                          <a:no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05pt;margin-top:168.85pt;height:0.05pt;width:466.45pt;mso-position-vertical-relative:page;mso-wrap-distance-bottom:0pt;mso-wrap-distance-left:9.05pt;mso-wrap-distance-right:9.05pt;mso-wrap-distance-top:0pt;z-index:251660288;mso-width-relative:page;mso-height-relative:page;" filled="f" stroked="f" coordsize="21600,21600" o:gfxdata="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cWPx2QAA&#10;AAsBAAAPAAAAAAAAAAEAIAAAACIAAABkcnMvZG93bnJldi54bWxQSwECFAAUAAAACACHTuJAd39K&#10;MeQBAACWAwAADgAAAAAAAAABACAAAAAoAQAAZHJzL2Uyb0RvYy54bWxQSwUGAAAAAAYABgBZAQAA&#10;fgUAAAAA&#10;">
                <v:fill on="f" focussize="0,0"/>
                <v:stroke on="f" weight="2.25pt" miterlimit="8" joinstyle="miter"/>
                <v:imagedata o:title=""/>
                <o:lock v:ext="edit" aspectratio="f"/>
                <w10:wrap type="square"/>
              </v:line>
            </w:pict>
          </mc:Fallback>
        </mc:AlternateContent>
      </w:r>
      <w:r>
        <w:rPr>
          <w:rFonts w:hint="default" w:ascii="Times New Roman" w:hAnsi="Times New Roman" w:eastAsia="仿宋" w:cs="Times New Roman"/>
          <w:b/>
          <w:bCs/>
          <w:sz w:val="33"/>
          <w:lang w:val="en-US" w:eastAsia="zh-CN"/>
        </w:rPr>
        <w:t>湘财正咨字</w:t>
      </w:r>
      <w:r>
        <w:rPr>
          <w:rFonts w:hint="default" w:ascii="Times New Roman" w:hAnsi="Times New Roman" w:eastAsia="仿宋" w:cs="Times New Roman"/>
          <w:b w:val="0"/>
          <w:bCs w:val="0"/>
          <w:sz w:val="33"/>
          <w:lang w:val="en-US" w:eastAsia="zh-CN"/>
        </w:rPr>
        <w:t>[2023]</w:t>
      </w:r>
      <w:r>
        <w:rPr>
          <w:rFonts w:hint="default" w:ascii="Times New Roman" w:hAnsi="Times New Roman" w:eastAsia="仿宋" w:cs="Times New Roman"/>
          <w:b/>
          <w:bCs/>
          <w:sz w:val="33"/>
          <w:lang w:val="en-US" w:eastAsia="zh-CN"/>
        </w:rPr>
        <w:t>第</w:t>
      </w:r>
      <w:r>
        <w:rPr>
          <w:rFonts w:hint="eastAsia" w:cs="Times New Roman"/>
          <w:b w:val="0"/>
          <w:bCs w:val="0"/>
          <w:color w:val="auto"/>
          <w:sz w:val="33"/>
          <w:lang w:val="en-US" w:eastAsia="zh-CN"/>
        </w:rPr>
        <w:t>089</w:t>
      </w:r>
      <w:r>
        <w:rPr>
          <w:rFonts w:hint="default" w:ascii="Times New Roman" w:hAnsi="Times New Roman" w:eastAsia="仿宋" w:cs="Times New Roman"/>
          <w:b/>
          <w:bCs/>
          <w:sz w:val="33"/>
          <w:lang w:val="en-US" w:eastAsia="zh-CN"/>
        </w:rPr>
        <w:t>号</w:t>
      </w:r>
    </w:p>
    <w:p>
      <w:pPr>
        <w:jc w:val="center"/>
        <w:rPr>
          <w:rFonts w:hint="default" w:ascii="Times New Roman" w:hAnsi="Times New Roman" w:eastAsia="仿宋" w:cs="Times New Roman"/>
          <w:sz w:val="33"/>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邵阳市北塔区商务局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default" w:ascii="Times New Roman" w:hAnsi="Times New Roman" w:eastAsia="宋体" w:cs="Times New Roman"/>
          <w:b w:val="0"/>
          <w:bCs w:val="0"/>
          <w:sz w:val="44"/>
          <w:szCs w:val="44"/>
          <w:lang w:val="en-US" w:eastAsia="zh-CN"/>
        </w:rPr>
      </w:pPr>
      <w:bookmarkStart w:id="9" w:name="_Toc28885"/>
      <w:r>
        <w:rPr>
          <w:rFonts w:hint="default" w:ascii="Times New Roman" w:hAnsi="Times New Roman" w:eastAsia="方正小标宋简体" w:cs="Times New Roman"/>
          <w:b w:val="0"/>
          <w:bCs w:val="0"/>
          <w:sz w:val="44"/>
          <w:szCs w:val="44"/>
          <w:lang w:val="en-US" w:eastAsia="zh-CN"/>
        </w:rPr>
        <w:t>2022年度部门整体支出绩效评价报告</w:t>
      </w:r>
      <w:bookmarkEnd w:id="9"/>
    </w:p>
    <w:p>
      <w:pPr>
        <w:jc w:val="center"/>
        <w:rPr>
          <w:rFonts w:hint="default" w:ascii="Times New Roman" w:hAnsi="Times New Roman" w:eastAsia="宋体" w:cs="Times New Roman"/>
          <w:b/>
          <w:bCs/>
          <w:sz w:val="40"/>
          <w:szCs w:val="40"/>
          <w:lang w:val="en-US" w:eastAsia="zh-CN"/>
        </w:rPr>
      </w:pPr>
    </w:p>
    <w:p>
      <w:pPr>
        <w:ind w:firstLine="640" w:firstLineChars="200"/>
        <w:jc w:val="both"/>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2"/>
          <w:szCs w:val="32"/>
          <w:lang w:val="en-US" w:eastAsia="zh-CN"/>
        </w:rPr>
        <w:t>为加强预算绩效管理，强化预算支出的责任意识和效率意识，提高财政资金使用效益，根据《中共中央国务院关于全面实施预算绩效管理的意见》（中发〔2018〕34号）、《中共湖南省委办公厅湖南省人民政府办公厅关于全面实施预算绩效管理的实施意见》（湘办发〔2019〕10号）、</w:t>
      </w:r>
      <w:r>
        <w:rPr>
          <w:rFonts w:hint="default" w:ascii="Times New Roman" w:hAnsi="Times New Roman" w:eastAsia="仿宋_GB2312" w:cs="Times New Roman"/>
          <w:sz w:val="32"/>
          <w:szCs w:val="32"/>
          <w:lang w:val="en-US" w:eastAsia="zh-CN"/>
        </w:rPr>
        <w:t>《湖南省财政厅关于印发&lt;湖南省预算支出绩效评价管理办法&gt;的通知》（湘财绩〔2020〕7号）</w:t>
      </w:r>
      <w:r>
        <w:rPr>
          <w:rFonts w:hint="default" w:ascii="Times New Roman" w:hAnsi="Times New Roman" w:eastAsia="仿宋" w:cs="Times New Roman"/>
          <w:b w:val="0"/>
          <w:bCs w:val="0"/>
          <w:sz w:val="32"/>
          <w:szCs w:val="32"/>
          <w:lang w:val="en-US" w:eastAsia="zh-CN"/>
        </w:rPr>
        <w:t>等精神及相关工作要求，邵阳市北塔区财政局委托，湖南财正会计师事务所</w:t>
      </w:r>
      <w:r>
        <w:rPr>
          <w:rFonts w:hint="eastAsia"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以下简称</w:t>
      </w:r>
      <w:r>
        <w:rPr>
          <w:rFonts w:hint="eastAsia" w:ascii="仿宋" w:hAnsi="仿宋" w:eastAsia="仿宋" w:cs="仿宋"/>
          <w:b w:val="0"/>
          <w:bCs w:val="0"/>
          <w:sz w:val="32"/>
          <w:szCs w:val="32"/>
          <w:lang w:val="en-US" w:eastAsia="zh-CN"/>
        </w:rPr>
        <w:t>“我所”</w:t>
      </w:r>
      <w:r>
        <w:rPr>
          <w:rFonts w:hint="eastAsia"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对邵阳市北塔区商务局2022年度部门整体支出开展了绩效评价。现将有关情况报告如下：</w:t>
      </w:r>
    </w:p>
    <w:p>
      <w:pPr>
        <w:pStyle w:val="3"/>
        <w:numPr>
          <w:ilvl w:val="0"/>
          <w:numId w:val="0"/>
        </w:numPr>
        <w:spacing w:before="0" w:after="0" w:line="600" w:lineRule="exact"/>
        <w:ind w:firstLine="643" w:firstLineChars="200"/>
        <w:jc w:val="both"/>
        <w:outlineLvl w:val="9"/>
        <w:rPr>
          <w:rFonts w:hint="default" w:ascii="Times New Roman" w:hAnsi="Times New Roman" w:eastAsia="黑体" w:cs="Times New Roman"/>
          <w:sz w:val="32"/>
          <w:lang w:val="en-US" w:eastAsia="zh-CN"/>
        </w:rPr>
        <w:sectPr>
          <w:headerReference r:id="rId5" w:type="default"/>
          <w:footerReference r:id="rId6" w:type="default"/>
          <w:pgSz w:w="11906" w:h="16838"/>
          <w:pgMar w:top="1440" w:right="1803" w:bottom="1440" w:left="1803"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bookmarkStart w:id="10" w:name="_Toc32604"/>
      <w:bookmarkStart w:id="11" w:name="_Toc2791"/>
    </w:p>
    <w:p>
      <w:pPr>
        <w:pStyle w:val="3"/>
        <w:numPr>
          <w:ilvl w:val="0"/>
          <w:numId w:val="0"/>
        </w:numPr>
        <w:spacing w:before="0" w:after="0" w:line="600" w:lineRule="exact"/>
        <w:ind w:firstLine="643" w:firstLineChars="200"/>
        <w:jc w:val="both"/>
        <w:outlineLvl w:val="0"/>
        <w:rPr>
          <w:rFonts w:hint="default" w:ascii="Times New Roman" w:hAnsi="Times New Roman" w:eastAsia="黑体" w:cs="Times New Roman"/>
          <w:sz w:val="32"/>
          <w:lang w:val="en-US" w:eastAsia="zh-CN"/>
        </w:rPr>
      </w:pPr>
      <w:bookmarkStart w:id="12" w:name="_Toc22656"/>
      <w:r>
        <w:rPr>
          <w:rFonts w:hint="default" w:ascii="Times New Roman" w:hAnsi="Times New Roman" w:eastAsia="黑体" w:cs="Times New Roman"/>
          <w:sz w:val="32"/>
          <w:lang w:val="en-US" w:eastAsia="zh-CN"/>
        </w:rPr>
        <w:t>一、单位基本情况</w:t>
      </w:r>
      <w:bookmarkEnd w:id="10"/>
      <w:bookmarkEnd w:id="11"/>
      <w:bookmarkEnd w:id="12"/>
    </w:p>
    <w:p>
      <w:pPr>
        <w:pStyle w:val="4"/>
        <w:numPr>
          <w:ilvl w:val="0"/>
          <w:numId w:val="0"/>
        </w:numPr>
        <w:ind w:firstLine="643" w:firstLineChars="200"/>
        <w:jc w:val="both"/>
        <w:outlineLvl w:val="1"/>
        <w:rPr>
          <w:rFonts w:hint="default" w:ascii="Times New Roman" w:hAnsi="Times New Roman" w:cs="Times New Roman"/>
          <w:lang w:val="en-US" w:eastAsia="zh-CN"/>
        </w:rPr>
      </w:pPr>
      <w:bookmarkStart w:id="13" w:name="_Toc25574"/>
      <w:bookmarkStart w:id="14" w:name="_Toc31213"/>
      <w:bookmarkStart w:id="15" w:name="_Toc22464"/>
      <w:r>
        <w:rPr>
          <w:rFonts w:hint="default" w:ascii="Times New Roman" w:hAnsi="Times New Roman" w:cs="Times New Roman"/>
          <w:lang w:val="en-US" w:eastAsia="zh-CN"/>
        </w:rPr>
        <w:t>（一）部门概况</w:t>
      </w:r>
      <w:bookmarkEnd w:id="13"/>
      <w:bookmarkEnd w:id="14"/>
      <w:bookmarkEnd w:id="15"/>
    </w:p>
    <w:p>
      <w:pPr>
        <w:numPr>
          <w:ilvl w:val="-1"/>
          <w:numId w:val="0"/>
        </w:numPr>
        <w:ind w:firstLine="640" w:firstLineChars="200"/>
        <w:jc w:val="both"/>
        <w:rPr>
          <w:rFonts w:hint="default" w:ascii="Times New Roman" w:hAnsi="Times New Roman" w:cs="Times New Roman"/>
          <w:lang w:val="en-US" w:eastAsia="zh-CN"/>
        </w:rPr>
      </w:pPr>
      <w:r>
        <w:rPr>
          <w:rFonts w:hint="default" w:ascii="Times New Roman" w:hAnsi="Times New Roman" w:cs="Times New Roman"/>
          <w:lang w:val="en-US" w:eastAsia="zh-CN"/>
        </w:rPr>
        <w:t>邵阳市北塔区商务局是邵阳市北塔区人民政府直属的正科级公益一类全额拨款事业单位。现设有北塔区投资促进事务中心、北塔区市场服务中心2个所属事业单位，设有办公室、招商引资股、外经外贸股、内贸流通股、农贸市场管理股5个内设机构。</w:t>
      </w:r>
    </w:p>
    <w:p>
      <w:pPr>
        <w:pStyle w:val="4"/>
        <w:numPr>
          <w:ilvl w:val="0"/>
          <w:numId w:val="0"/>
        </w:numPr>
        <w:ind w:firstLine="643" w:firstLineChars="200"/>
        <w:jc w:val="both"/>
        <w:outlineLvl w:val="1"/>
        <w:rPr>
          <w:rFonts w:hint="default" w:ascii="Times New Roman" w:hAnsi="Times New Roman" w:cs="Times New Roman"/>
          <w:lang w:val="en-US" w:eastAsia="zh-CN"/>
        </w:rPr>
      </w:pPr>
      <w:bookmarkStart w:id="16" w:name="_Toc24843"/>
      <w:bookmarkStart w:id="17" w:name="_Toc16232"/>
      <w:bookmarkStart w:id="18" w:name="_Toc24937"/>
      <w:r>
        <w:rPr>
          <w:rFonts w:hint="default" w:ascii="Times New Roman" w:hAnsi="Times New Roman" w:cs="Times New Roman"/>
          <w:lang w:val="en-US" w:eastAsia="zh-CN"/>
        </w:rPr>
        <w:t>（二）主要职责</w:t>
      </w:r>
      <w:bookmarkEnd w:id="16"/>
      <w:bookmarkEnd w:id="17"/>
      <w:bookmarkEnd w:id="18"/>
    </w:p>
    <w:p>
      <w:pPr>
        <w:numPr>
          <w:ilvl w:val="0"/>
          <w:numId w:val="0"/>
        </w:numPr>
        <w:ind w:firstLine="640" w:firstLineChars="200"/>
        <w:jc w:val="both"/>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sz w:val="32"/>
          <w:szCs w:val="32"/>
          <w:lang w:val="en-US" w:eastAsia="zh-CN"/>
        </w:rPr>
        <w:t>贯彻执行国家国内外贸易、国际经济合作和区域经济合作的发展战略、政策，起草</w:t>
      </w:r>
      <w:r>
        <w:rPr>
          <w:rFonts w:hint="eastAsia" w:cs="Times New Roman"/>
          <w:sz w:val="32"/>
          <w:szCs w:val="32"/>
          <w:lang w:val="en-US" w:eastAsia="zh-CN"/>
        </w:rPr>
        <w:t>北塔区</w:t>
      </w:r>
      <w:r>
        <w:rPr>
          <w:rFonts w:hint="default" w:ascii="Times New Roman" w:hAnsi="Times New Roman" w:eastAsia="仿宋" w:cs="Times New Roman"/>
          <w:sz w:val="32"/>
          <w:szCs w:val="32"/>
          <w:lang w:val="en-US" w:eastAsia="zh-CN"/>
        </w:rPr>
        <w:t>国内外贸易、招商引资、承接产业转移、对外援助、对外投资和对外经济合作的政策措施和实施办法，研究经济全球化、区域经济合作、现代流通方式的发展趋势和流通体制改革并提出建议。负责推进流通产业结构调整，指导流通企业改革，促进商贸服务业和社区商业发展，提出促进商贸中小企业发展的政策建议，推动流通标准化和连锁经营、商业特许经营、物流配送、电子商务等现代流通方式的发展。拟订全区内外贸易发展规划，促进城乡市场发展，研究提出引导国内外资金投向市场体系建设的政策建议，指导大宗产品批发市场规划和城市商业网点规划、商业体系建设工作，推进农村市场体系建设，组织实施农村现代流通网络工程。推动商务领域信用建设，指导商业信用销售，建立市场诚信公共服务平台；按有关规定对特殊流通行业（不含典当、融资租赁和商业保理）进行监督管理。承担组织实施重要消费品市场调控和重要生产资料流通管理的责任，负责建立健全生活必需品市场供应应急管理机制，监测分析市场运行、商品供求状况，调查分析商品价格信息，进行预测预警和信息引导；按有关规定对成品油流通进行监督管理。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贯彻执行国家对外技术贸易、出口管制以及鼓励技术和成套设备进出口的贸易政策，推进进出口贸易标准化工作；依法监督技术引进、设备进口、国家限制出口技术的工作。牵头拟订服务贸易发展规划并开展相关工作；会同有关部门制定促进服务出口、服务外包的规划、政策并组织实施，推动服务外包平台建设。贯彻执行我国多双边（含区域、自由贸易区）经贸合作战略和政策，推进</w:t>
      </w:r>
      <w:r>
        <w:rPr>
          <w:rFonts w:hint="eastAsia" w:cs="Times New Roman"/>
          <w:sz w:val="32"/>
          <w:szCs w:val="32"/>
          <w:lang w:val="en-US" w:eastAsia="zh-CN"/>
        </w:rPr>
        <w:t>北塔区</w:t>
      </w:r>
      <w:r>
        <w:rPr>
          <w:rFonts w:hint="default" w:ascii="Times New Roman" w:hAnsi="Times New Roman" w:eastAsia="仿宋" w:cs="Times New Roman"/>
          <w:sz w:val="32"/>
          <w:szCs w:val="32"/>
          <w:lang w:val="en-US" w:eastAsia="zh-CN"/>
        </w:rPr>
        <w:t>与其他国家（地区）的经贸往来与投资贸易合作；牵头承担全区商务领域涉及世界贸易组织事务的相关工作，负责对外经济贸易协调工作。负责组织协调反倾销、反补贴、保障措施及其他与进出口公平贸易相关的工作，协助开展对外贸易调查和产业损害调查，指导协调产业安全应对工作。指导全区招商引资和承接产业转移工作，拟订并组织实施招商引资和承接产业转移政策；依法核准重大外商投资项目的合同章程及法律特别规定的重大变更事项；依法监督检查外商投资企业执行有关法律法规规章、合同章程的情况并协调解决有关问题；规范招商引资活动。拟订并组织实施全区对外经济合作政策；管理和监督对外承包工程、劳务合作和境外就业等；对</w:t>
      </w:r>
      <w:r>
        <w:rPr>
          <w:rFonts w:hint="eastAsia" w:cs="Times New Roman"/>
          <w:sz w:val="32"/>
          <w:szCs w:val="32"/>
          <w:lang w:val="en-US" w:eastAsia="zh-CN"/>
        </w:rPr>
        <w:t>北塔区</w:t>
      </w:r>
      <w:r>
        <w:rPr>
          <w:rFonts w:hint="default" w:ascii="Times New Roman" w:hAnsi="Times New Roman" w:eastAsia="仿宋" w:cs="Times New Roman"/>
          <w:sz w:val="32"/>
          <w:szCs w:val="32"/>
          <w:lang w:val="en-US" w:eastAsia="zh-CN"/>
        </w:rPr>
        <w:t>企业在境外投资开办企业和机构（金融企业除外）实施监督和管理工作。负责全区对外援助项目，和接受多边对</w:t>
      </w:r>
      <w:r>
        <w:rPr>
          <w:rFonts w:hint="eastAsia" w:cs="Times New Roman"/>
          <w:sz w:val="32"/>
          <w:szCs w:val="32"/>
          <w:lang w:val="en-US" w:eastAsia="zh-CN"/>
        </w:rPr>
        <w:t>北塔区</w:t>
      </w:r>
      <w:r>
        <w:rPr>
          <w:rFonts w:hint="default" w:ascii="Times New Roman" w:hAnsi="Times New Roman" w:eastAsia="仿宋" w:cs="Times New Roman"/>
          <w:sz w:val="32"/>
          <w:szCs w:val="32"/>
          <w:lang w:val="en-US" w:eastAsia="zh-CN"/>
        </w:rPr>
        <w:t>的无偿援助和赠款。贯彻执行国家对香港、澳门特别行政区和台湾地区的经贸规划、政策，指导</w:t>
      </w:r>
      <w:r>
        <w:rPr>
          <w:rFonts w:hint="eastAsia" w:cs="Times New Roman"/>
          <w:sz w:val="32"/>
          <w:szCs w:val="32"/>
          <w:lang w:val="en-US" w:eastAsia="zh-CN"/>
        </w:rPr>
        <w:t>北塔区</w:t>
      </w:r>
      <w:r>
        <w:rPr>
          <w:rFonts w:hint="default" w:ascii="Times New Roman" w:hAnsi="Times New Roman" w:eastAsia="仿宋" w:cs="Times New Roman"/>
          <w:sz w:val="32"/>
          <w:szCs w:val="32"/>
          <w:lang w:val="en-US" w:eastAsia="zh-CN"/>
        </w:rPr>
        <w:t>对港、澳、台地区贸易和经贸合作活动，协调港、澳、台商投资管理工作。承担会展业促进与管理有关工作。指导和联系全区各类商贸行业协会、学会等社团组织工作。承担全区商务系统统计及其信息发布工作，提供信息咨询服务，指导全区流通领域信息网络和电子商务建设。承办区委和区政府交办的其他事项。</w:t>
      </w:r>
    </w:p>
    <w:p>
      <w:pPr>
        <w:pStyle w:val="4"/>
        <w:numPr>
          <w:ilvl w:val="0"/>
          <w:numId w:val="0"/>
        </w:numPr>
        <w:ind w:firstLine="643" w:firstLineChars="200"/>
        <w:jc w:val="both"/>
        <w:outlineLvl w:val="1"/>
        <w:rPr>
          <w:rFonts w:hint="default" w:ascii="Times New Roman" w:hAnsi="Times New Roman" w:cs="Times New Roman"/>
          <w:lang w:val="en-US" w:eastAsia="zh-CN"/>
        </w:rPr>
      </w:pPr>
      <w:bookmarkStart w:id="19" w:name="_Toc429"/>
      <w:bookmarkStart w:id="20" w:name="_Toc2922"/>
      <w:bookmarkStart w:id="21" w:name="_Toc17414"/>
      <w:r>
        <w:rPr>
          <w:rFonts w:hint="default" w:ascii="Times New Roman" w:hAnsi="Times New Roman" w:cs="Times New Roman"/>
          <w:lang w:val="en-US" w:eastAsia="zh-CN"/>
        </w:rPr>
        <w:t>（三）人员情况</w:t>
      </w:r>
      <w:bookmarkEnd w:id="19"/>
      <w:bookmarkEnd w:id="20"/>
      <w:bookmarkEnd w:id="21"/>
    </w:p>
    <w:p>
      <w:pPr>
        <w:numPr>
          <w:ilvl w:val="-1"/>
          <w:numId w:val="0"/>
        </w:numPr>
        <w:ind w:firstLine="620" w:firstLineChars="200"/>
        <w:jc w:val="both"/>
        <w:rPr>
          <w:rFonts w:hint="default" w:ascii="Times New Roman" w:hAnsi="Times New Roman" w:eastAsia="楷体" w:cs="Times New Roman"/>
          <w:b/>
          <w:bCs/>
          <w:sz w:val="31"/>
          <w:szCs w:val="31"/>
          <w:lang w:val="en-US" w:eastAsia="zh-CN"/>
        </w:rPr>
      </w:pPr>
      <w:r>
        <w:rPr>
          <w:rFonts w:hint="default" w:ascii="Times New Roman" w:hAnsi="Times New Roman" w:eastAsia="仿宋" w:cs="Times New Roman"/>
          <w:b w:val="0"/>
          <w:bCs w:val="0"/>
          <w:sz w:val="31"/>
          <w:szCs w:val="31"/>
          <w:lang w:val="en-US" w:eastAsia="zh-CN"/>
        </w:rPr>
        <w:t>邵阳市北塔区商务局</w:t>
      </w:r>
      <w:r>
        <w:rPr>
          <w:rFonts w:hint="eastAsia" w:cs="Times New Roman"/>
          <w:b w:val="0"/>
          <w:bCs w:val="0"/>
          <w:sz w:val="31"/>
          <w:szCs w:val="31"/>
          <w:lang w:val="en-US" w:eastAsia="zh-CN"/>
        </w:rPr>
        <w:t>2022年</w:t>
      </w:r>
      <w:r>
        <w:rPr>
          <w:rFonts w:hint="default" w:ascii="Times New Roman" w:hAnsi="Times New Roman" w:eastAsia="仿宋" w:cs="Times New Roman"/>
          <w:b w:val="0"/>
          <w:bCs w:val="0"/>
          <w:sz w:val="31"/>
          <w:szCs w:val="31"/>
          <w:lang w:val="en-US" w:eastAsia="zh-CN"/>
        </w:rPr>
        <w:t>实有在岗干部职工16人</w:t>
      </w:r>
      <w:r>
        <w:rPr>
          <w:rFonts w:hint="default" w:ascii="Times New Roman" w:hAnsi="Times New Roman" w:eastAsia="仿宋" w:cs="Times New Roman"/>
          <w:b w:val="0"/>
          <w:bCs w:val="0"/>
          <w:color w:val="auto"/>
          <w:sz w:val="32"/>
          <w:szCs w:val="32"/>
          <w:lang w:val="en-US" w:eastAsia="zh-CN"/>
        </w:rPr>
        <w:t>（</w:t>
      </w:r>
      <w:r>
        <w:rPr>
          <w:rFonts w:hint="eastAsia" w:cs="Times New Roman"/>
          <w:b w:val="0"/>
          <w:bCs w:val="0"/>
          <w:color w:val="auto"/>
          <w:sz w:val="32"/>
          <w:szCs w:val="32"/>
          <w:lang w:val="en-US" w:eastAsia="zh-CN"/>
        </w:rPr>
        <w:t>其中</w:t>
      </w:r>
      <w:r>
        <w:rPr>
          <w:rFonts w:hint="default" w:ascii="Times New Roman" w:hAnsi="Times New Roman" w:eastAsia="仿宋" w:cs="Times New Roman"/>
          <w:b w:val="0"/>
          <w:bCs w:val="0"/>
          <w:color w:val="auto"/>
          <w:sz w:val="32"/>
          <w:szCs w:val="32"/>
          <w:lang w:val="en-US" w:eastAsia="zh-CN"/>
        </w:rPr>
        <w:t>劳务派遣7</w:t>
      </w:r>
      <w:r>
        <w:rPr>
          <w:rFonts w:hint="eastAsia" w:cs="Times New Roman"/>
          <w:b w:val="0"/>
          <w:bCs w:val="0"/>
          <w:color w:val="auto"/>
          <w:sz w:val="32"/>
          <w:szCs w:val="32"/>
          <w:lang w:val="en-US" w:eastAsia="zh-CN"/>
        </w:rPr>
        <w:t>人</w:t>
      </w:r>
      <w:r>
        <w:rPr>
          <w:rFonts w:hint="default" w:ascii="Times New Roman" w:hAnsi="Times New Roman" w:eastAsia="仿宋" w:cs="Times New Roman"/>
          <w:b w:val="0"/>
          <w:bCs w:val="0"/>
          <w:color w:val="auto"/>
          <w:sz w:val="32"/>
          <w:szCs w:val="32"/>
          <w:lang w:val="en-US" w:eastAsia="zh-CN"/>
        </w:rPr>
        <w:t>）。</w:t>
      </w:r>
    </w:p>
    <w:p>
      <w:pPr>
        <w:pStyle w:val="3"/>
        <w:numPr>
          <w:ilvl w:val="0"/>
          <w:numId w:val="0"/>
        </w:numPr>
        <w:ind w:firstLine="643" w:firstLineChars="200"/>
        <w:jc w:val="both"/>
        <w:outlineLvl w:val="0"/>
        <w:rPr>
          <w:rFonts w:hint="default" w:ascii="Times New Roman" w:hAnsi="Times New Roman" w:cs="Times New Roman"/>
          <w:lang w:val="en-US" w:eastAsia="zh-CN"/>
        </w:rPr>
      </w:pPr>
      <w:bookmarkStart w:id="22" w:name="_Toc26452"/>
      <w:bookmarkStart w:id="23" w:name="_Toc18408"/>
      <w:bookmarkStart w:id="24" w:name="_Toc20700"/>
      <w:r>
        <w:rPr>
          <w:rFonts w:hint="default" w:ascii="Times New Roman" w:hAnsi="Times New Roman" w:cs="Times New Roman"/>
          <w:lang w:val="en-US" w:eastAsia="zh-CN"/>
        </w:rPr>
        <w:t>二、部门整体收支情况</w:t>
      </w:r>
      <w:bookmarkEnd w:id="22"/>
      <w:bookmarkEnd w:id="23"/>
      <w:bookmarkEnd w:id="24"/>
    </w:p>
    <w:p>
      <w:pPr>
        <w:pStyle w:val="4"/>
        <w:numPr>
          <w:ilvl w:val="0"/>
          <w:numId w:val="0"/>
        </w:numPr>
        <w:ind w:firstLine="643" w:firstLineChars="200"/>
        <w:jc w:val="both"/>
        <w:outlineLvl w:val="1"/>
        <w:rPr>
          <w:rFonts w:hint="default" w:ascii="Times New Roman" w:hAnsi="Times New Roman" w:cs="Times New Roman"/>
          <w:lang w:val="en-US" w:eastAsia="zh-CN"/>
        </w:rPr>
      </w:pPr>
      <w:bookmarkStart w:id="25" w:name="_Toc12788"/>
      <w:bookmarkStart w:id="26" w:name="_Toc5108"/>
      <w:bookmarkStart w:id="27" w:name="_Toc27600"/>
      <w:r>
        <w:rPr>
          <w:rFonts w:hint="default" w:ascii="Times New Roman" w:hAnsi="Times New Roman" w:cs="Times New Roman"/>
          <w:lang w:val="en-US" w:eastAsia="zh-CN"/>
        </w:rPr>
        <w:t>（一）资金收入情况</w:t>
      </w:r>
      <w:bookmarkEnd w:id="25"/>
      <w:bookmarkEnd w:id="26"/>
      <w:bookmarkEnd w:id="27"/>
    </w:p>
    <w:p>
      <w:pPr>
        <w:numPr>
          <w:ilvl w:val="-1"/>
          <w:numId w:val="0"/>
        </w:numPr>
        <w:ind w:firstLine="640" w:firstLineChars="200"/>
        <w:jc w:val="both"/>
        <w:rPr>
          <w:rFonts w:hint="default" w:ascii="Times New Roman" w:hAnsi="Times New Roman" w:cs="Times New Roman"/>
          <w:lang w:val="en-US" w:eastAsia="zh-CN"/>
        </w:rPr>
      </w:pPr>
      <w:r>
        <w:rPr>
          <w:rFonts w:hint="default" w:ascii="Times New Roman" w:hAnsi="Times New Roman" w:cs="Times New Roman"/>
          <w:lang w:val="en-US" w:eastAsia="zh-CN"/>
        </w:rPr>
        <w:t>根据邵阳市北塔区商务局2022年度部门决算报表，2022年度部门收入决算数为599.34万元，其中；一般公共预算财政拨款收入596.19万元、其他收入3.15万元、年初结转和结余资金0万元。</w:t>
      </w:r>
    </w:p>
    <w:p>
      <w:pPr>
        <w:pStyle w:val="4"/>
        <w:numPr>
          <w:ilvl w:val="0"/>
          <w:numId w:val="0"/>
        </w:numPr>
        <w:ind w:firstLine="643" w:firstLineChars="200"/>
        <w:jc w:val="both"/>
        <w:outlineLvl w:val="1"/>
        <w:rPr>
          <w:rFonts w:hint="default" w:ascii="Times New Roman" w:hAnsi="Times New Roman" w:eastAsia="仿宋" w:cs="Times New Roman"/>
          <w:b w:val="0"/>
          <w:bCs w:val="0"/>
          <w:szCs w:val="31"/>
          <w:lang w:val="en-US" w:eastAsia="zh-CN"/>
        </w:rPr>
      </w:pPr>
      <w:bookmarkStart w:id="28" w:name="_Toc6310"/>
      <w:bookmarkStart w:id="29" w:name="_Toc12495"/>
      <w:bookmarkStart w:id="30" w:name="_Toc6457"/>
      <w:r>
        <w:rPr>
          <w:rFonts w:hint="default" w:ascii="Times New Roman" w:hAnsi="Times New Roman" w:eastAsia="楷体" w:cs="Times New Roman"/>
          <w:b/>
          <w:bCs/>
          <w:szCs w:val="31"/>
          <w:lang w:val="en-US" w:eastAsia="zh-CN"/>
        </w:rPr>
        <w:t>（二）资金使用情况</w:t>
      </w:r>
      <w:bookmarkEnd w:id="28"/>
      <w:bookmarkEnd w:id="29"/>
      <w:bookmarkEnd w:id="30"/>
    </w:p>
    <w:p>
      <w:pPr>
        <w:numPr>
          <w:ilvl w:val="-1"/>
          <w:numId w:val="0"/>
        </w:numPr>
        <w:ind w:firstLine="640" w:firstLineChars="200"/>
        <w:jc w:val="both"/>
        <w:rPr>
          <w:rFonts w:hint="default" w:ascii="Times New Roman" w:hAnsi="Times New Roman" w:eastAsia="仿宋" w:cs="Times New Roman"/>
          <w:b w:val="0"/>
          <w:bCs w:val="0"/>
          <w:sz w:val="32"/>
          <w:szCs w:val="24"/>
          <w:lang w:val="en-US" w:eastAsia="zh-CN"/>
        </w:rPr>
      </w:pPr>
      <w:r>
        <w:rPr>
          <w:rFonts w:hint="default" w:ascii="Times New Roman" w:hAnsi="Times New Roman" w:eastAsia="仿宋" w:cs="Times New Roman"/>
          <w:b w:val="0"/>
          <w:bCs w:val="0"/>
          <w:sz w:val="32"/>
          <w:szCs w:val="24"/>
          <w:lang w:val="en-US" w:eastAsia="zh-CN"/>
        </w:rPr>
        <w:t>根据邵阳市北塔区商务局2022年度部门决算报表，2022年度邵阳市北塔区商务局共计支出599.34万元，其中：基本支出498.85万元，项目支出100.49万元；年末结转和结余0.00万元。</w:t>
      </w:r>
    </w:p>
    <w:p>
      <w:pPr>
        <w:pStyle w:val="5"/>
        <w:numPr>
          <w:ilvl w:val="0"/>
          <w:numId w:val="0"/>
        </w:numPr>
        <w:ind w:firstLine="643" w:firstLineChars="200"/>
        <w:jc w:val="both"/>
        <w:rPr>
          <w:rFonts w:hint="default" w:ascii="Times New Roman" w:hAnsi="Times New Roman" w:cs="Times New Roman"/>
          <w:lang w:val="en-US" w:eastAsia="zh-CN"/>
        </w:rPr>
      </w:pPr>
      <w:bookmarkStart w:id="31" w:name="_Toc25348"/>
      <w:bookmarkStart w:id="32" w:name="_Toc18377"/>
      <w:r>
        <w:rPr>
          <w:rFonts w:hint="default" w:ascii="Times New Roman" w:hAnsi="Times New Roman" w:cs="Times New Roman"/>
          <w:lang w:val="en-US" w:eastAsia="zh-CN"/>
        </w:rPr>
        <w:t>1、基本经费支出情况</w:t>
      </w:r>
      <w:bookmarkEnd w:id="31"/>
      <w:bookmarkEnd w:id="32"/>
    </w:p>
    <w:p>
      <w:pPr>
        <w:numPr>
          <w:ilvl w:val="0"/>
          <w:numId w:val="0"/>
        </w:numPr>
        <w:ind w:firstLine="620" w:firstLineChars="200"/>
        <w:jc w:val="both"/>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1"/>
          <w:szCs w:val="31"/>
          <w:lang w:val="en-US" w:eastAsia="zh-CN"/>
        </w:rPr>
        <w:t>根据邵阳市北塔区商务局2022年度部门决算报表，2022年度邵阳市北塔区商务局基本支出共计498.85万元，其中人员经费支出134.98万元，公用经费支出363.86万元。具体支出明细如下：</w:t>
      </w:r>
    </w:p>
    <w:tbl>
      <w:tblPr>
        <w:tblStyle w:val="19"/>
        <w:tblW w:w="485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3"/>
        <w:gridCol w:w="4374"/>
        <w:gridCol w:w="2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blHeader/>
          <w:jc w:val="center"/>
        </w:trPr>
        <w:tc>
          <w:tcPr>
            <w:tcW w:w="974" w:type="pct"/>
            <w:vAlign w:val="top"/>
          </w:tcPr>
          <w:p>
            <w:pPr>
              <w:spacing w:before="0" w:line="240" w:lineRule="auto"/>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5"/>
                <w:sz w:val="21"/>
                <w:szCs w:val="21"/>
              </w:rPr>
              <w:t>序号</w:t>
            </w:r>
          </w:p>
        </w:tc>
        <w:tc>
          <w:tcPr>
            <w:tcW w:w="2709" w:type="pct"/>
            <w:vAlign w:val="top"/>
          </w:tcPr>
          <w:p>
            <w:pPr>
              <w:spacing w:before="0" w:line="240" w:lineRule="auto"/>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6"/>
                <w:sz w:val="21"/>
                <w:szCs w:val="21"/>
              </w:rPr>
              <w:t>支出项目</w:t>
            </w:r>
          </w:p>
        </w:tc>
        <w:tc>
          <w:tcPr>
            <w:tcW w:w="1315" w:type="pct"/>
            <w:vAlign w:val="top"/>
          </w:tcPr>
          <w:p>
            <w:pPr>
              <w:spacing w:before="0" w:line="240" w:lineRule="auto"/>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4"/>
                <w:sz w:val="21"/>
                <w:szCs w:val="21"/>
              </w:rPr>
              <w:t>金额</w:t>
            </w:r>
            <w:r>
              <w:rPr>
                <w:rFonts w:hint="eastAsia" w:cs="Times New Roman" w:eastAsiaTheme="minorEastAsia"/>
                <w:b/>
                <w:bCs/>
                <w:spacing w:val="4"/>
                <w:sz w:val="21"/>
                <w:szCs w:val="21"/>
                <w:lang w:eastAsia="zh-CN"/>
              </w:rPr>
              <w:t>（</w:t>
            </w:r>
            <w:r>
              <w:rPr>
                <w:rFonts w:hint="default" w:ascii="Times New Roman" w:hAnsi="Times New Roman" w:cs="Times New Roman" w:eastAsiaTheme="minorEastAsia"/>
                <w:b/>
                <w:bCs/>
                <w:spacing w:val="4"/>
                <w:sz w:val="21"/>
                <w:szCs w:val="21"/>
              </w:rPr>
              <w:t>万元</w:t>
            </w:r>
            <w:r>
              <w:rPr>
                <w:rFonts w:hint="eastAsia" w:cs="Times New Roman" w:eastAsiaTheme="minorEastAsia"/>
                <w:b/>
                <w:bCs/>
                <w:spacing w:val="4"/>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b/>
                <w:bCs/>
                <w:sz w:val="21"/>
                <w:szCs w:val="21"/>
                <w:lang w:val="en-US" w:eastAsia="zh-CN"/>
              </w:rPr>
              <w:t>一</w:t>
            </w:r>
          </w:p>
        </w:tc>
        <w:tc>
          <w:tcPr>
            <w:tcW w:w="2709" w:type="pct"/>
            <w:tcBorders>
              <w:tl2br w:val="nil"/>
              <w:tr2bl w:val="nil"/>
            </w:tcBorders>
            <w:vAlign w:val="top"/>
          </w:tcPr>
          <w:p>
            <w:pPr>
              <w:spacing w:before="0" w:line="240" w:lineRule="auto"/>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5"/>
                <w:sz w:val="21"/>
                <w:szCs w:val="21"/>
              </w:rPr>
              <w:t>人员经费</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b/>
                <w:bCs/>
                <w:spacing w:val="-4"/>
                <w:sz w:val="21"/>
                <w:szCs w:val="21"/>
                <w:lang w:val="en-US" w:eastAsia="zh-CN"/>
              </w:rPr>
              <w:t>134.98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bookmarkStart w:id="33" w:name="OLE_LINK1" w:colFirst="2" w:colLast="2"/>
            <w:r>
              <w:rPr>
                <w:rFonts w:hint="default" w:ascii="Times New Roman" w:hAnsi="Times New Roman" w:cs="Times New Roman" w:eastAsiaTheme="minorEastAsia"/>
                <w:sz w:val="21"/>
                <w:szCs w:val="21"/>
                <w:lang w:val="en-US" w:eastAsia="zh-CN"/>
              </w:rPr>
              <w:t>1</w:t>
            </w:r>
          </w:p>
        </w:tc>
        <w:tc>
          <w:tcPr>
            <w:tcW w:w="2709" w:type="pct"/>
            <w:tcBorders>
              <w:tl2br w:val="nil"/>
              <w:tr2bl w:val="nil"/>
            </w:tcBorders>
            <w:vAlign w:val="top"/>
          </w:tcPr>
          <w:p>
            <w:pPr>
              <w:spacing w:before="0" w:line="240" w:lineRule="auto"/>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3"/>
                <w:sz w:val="21"/>
                <w:szCs w:val="21"/>
              </w:rPr>
              <w:t>基本工资</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pacing w:val="-3"/>
                <w:sz w:val="21"/>
                <w:szCs w:val="21"/>
                <w:lang w:val="en-US" w:eastAsia="zh-CN"/>
              </w:rPr>
              <w:t>30.74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w:t>
            </w:r>
          </w:p>
        </w:tc>
        <w:tc>
          <w:tcPr>
            <w:tcW w:w="2709" w:type="pct"/>
            <w:tcBorders>
              <w:tl2br w:val="nil"/>
              <w:tr2bl w:val="nil"/>
            </w:tcBorders>
            <w:vAlign w:val="top"/>
          </w:tcPr>
          <w:p>
            <w:pPr>
              <w:spacing w:before="0" w:line="240" w:lineRule="auto"/>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
                <w:sz w:val="21"/>
                <w:szCs w:val="21"/>
              </w:rPr>
              <w:t>津贴补贴</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pacing w:val="-2"/>
                <w:sz w:val="21"/>
                <w:szCs w:val="21"/>
                <w:lang w:val="en-US" w:eastAsia="zh-CN"/>
              </w:rPr>
              <w:t>19.80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w:t>
            </w:r>
          </w:p>
        </w:tc>
        <w:tc>
          <w:tcPr>
            <w:tcW w:w="2709"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napToGrid w:val="0"/>
                <w:color w:val="000000"/>
                <w:spacing w:val="-2"/>
                <w:kern w:val="0"/>
                <w:sz w:val="21"/>
                <w:szCs w:val="21"/>
                <w:lang w:val="en-US" w:eastAsia="zh-CN"/>
              </w:rPr>
            </w:pPr>
            <w:r>
              <w:rPr>
                <w:rFonts w:hint="default" w:ascii="Times New Roman" w:hAnsi="Times New Roman" w:cs="Times New Roman" w:eastAsiaTheme="minorEastAsia"/>
                <w:spacing w:val="-2"/>
                <w:sz w:val="21"/>
                <w:szCs w:val="21"/>
                <w:lang w:val="en-US" w:eastAsia="zh-CN"/>
              </w:rPr>
              <w:t>奖金</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napToGrid w:val="0"/>
                <w:color w:val="000000"/>
                <w:spacing w:val="-2"/>
                <w:kern w:val="0"/>
                <w:sz w:val="21"/>
                <w:szCs w:val="21"/>
                <w:lang w:val="en-US" w:eastAsia="zh-CN"/>
              </w:rPr>
            </w:pPr>
            <w:r>
              <w:rPr>
                <w:rFonts w:hint="default" w:ascii="Times New Roman" w:hAnsi="Times New Roman" w:cs="Times New Roman" w:eastAsiaTheme="minorEastAsia"/>
                <w:spacing w:val="-2"/>
                <w:sz w:val="21"/>
                <w:szCs w:val="21"/>
                <w:lang w:val="en-US" w:eastAsia="zh-CN"/>
              </w:rPr>
              <w:t>32.83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4</w:t>
            </w:r>
          </w:p>
        </w:tc>
        <w:tc>
          <w:tcPr>
            <w:tcW w:w="2709" w:type="pct"/>
            <w:tcBorders>
              <w:tl2br w:val="nil"/>
              <w:tr2bl w:val="nil"/>
            </w:tcBorders>
            <w:vAlign w:val="top"/>
          </w:tcPr>
          <w:p>
            <w:pPr>
              <w:spacing w:before="0" w:line="240" w:lineRule="auto"/>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
                <w:sz w:val="21"/>
                <w:szCs w:val="21"/>
              </w:rPr>
              <w:t>伙食补助费</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pacing w:val="-2"/>
                <w:sz w:val="21"/>
                <w:szCs w:val="21"/>
                <w:lang w:val="en-US" w:eastAsia="zh-CN"/>
              </w:rPr>
              <w:t>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5</w:t>
            </w:r>
          </w:p>
        </w:tc>
        <w:tc>
          <w:tcPr>
            <w:tcW w:w="2709" w:type="pct"/>
            <w:tcBorders>
              <w:tl2br w:val="nil"/>
              <w:tr2bl w:val="nil"/>
            </w:tcBorders>
            <w:vAlign w:val="top"/>
          </w:tcPr>
          <w:p>
            <w:pPr>
              <w:spacing w:before="0" w:line="240" w:lineRule="auto"/>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机关事业单位基本养老保险缴费</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pacing w:val="-4"/>
                <w:sz w:val="21"/>
                <w:szCs w:val="21"/>
                <w:lang w:val="en-US" w:eastAsia="zh-CN"/>
              </w:rPr>
              <w:t>6.95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6</w:t>
            </w:r>
          </w:p>
        </w:tc>
        <w:tc>
          <w:tcPr>
            <w:tcW w:w="2709"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pacing w:val="1"/>
                <w:sz w:val="21"/>
                <w:szCs w:val="21"/>
              </w:rPr>
            </w:pPr>
            <w:r>
              <w:rPr>
                <w:rFonts w:hint="default" w:ascii="Times New Roman" w:hAnsi="Times New Roman" w:cs="Times New Roman" w:eastAsiaTheme="minorEastAsia"/>
                <w:spacing w:val="1"/>
                <w:sz w:val="21"/>
                <w:szCs w:val="21"/>
              </w:rPr>
              <w:t>职业年金缴费</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pacing w:val="-3"/>
                <w:sz w:val="21"/>
                <w:szCs w:val="21"/>
                <w:lang w:val="en-US" w:eastAsia="zh-CN"/>
              </w:rPr>
            </w:pPr>
            <w:r>
              <w:rPr>
                <w:rFonts w:hint="default" w:ascii="Times New Roman" w:hAnsi="Times New Roman" w:cs="Times New Roman" w:eastAsiaTheme="minorEastAsia"/>
                <w:spacing w:val="-3"/>
                <w:sz w:val="21"/>
                <w:szCs w:val="21"/>
                <w:lang w:val="en-US" w:eastAsia="zh-CN"/>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7</w:t>
            </w:r>
          </w:p>
        </w:tc>
        <w:tc>
          <w:tcPr>
            <w:tcW w:w="2709"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rPr>
            </w:pPr>
            <w:r>
              <w:rPr>
                <w:rFonts w:hint="default" w:ascii="Times New Roman" w:hAnsi="Times New Roman" w:cs="Times New Roman" w:eastAsiaTheme="minorEastAsia"/>
                <w:spacing w:val="1"/>
                <w:sz w:val="21"/>
                <w:szCs w:val="21"/>
              </w:rPr>
              <w:t>职工基本医疗保险缴费</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pacing w:val="-3"/>
                <w:sz w:val="21"/>
                <w:szCs w:val="21"/>
                <w:lang w:val="en-US" w:eastAsia="zh-CN"/>
              </w:rPr>
            </w:pPr>
            <w:r>
              <w:rPr>
                <w:rFonts w:hint="default" w:ascii="Times New Roman" w:hAnsi="Times New Roman" w:cs="Times New Roman" w:eastAsiaTheme="minorEastAsia"/>
                <w:spacing w:val="-3"/>
                <w:sz w:val="21"/>
                <w:szCs w:val="21"/>
                <w:lang w:val="en-US" w:eastAsia="zh-CN"/>
              </w:rPr>
              <w:t>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8</w:t>
            </w:r>
          </w:p>
        </w:tc>
        <w:tc>
          <w:tcPr>
            <w:tcW w:w="2709"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rPr>
            </w:pPr>
            <w:r>
              <w:rPr>
                <w:rFonts w:hint="default" w:ascii="Times New Roman" w:hAnsi="Times New Roman" w:cs="Times New Roman" w:eastAsiaTheme="minorEastAsia"/>
                <w:spacing w:val="1"/>
                <w:sz w:val="21"/>
                <w:szCs w:val="21"/>
              </w:rPr>
              <w:t>其他社会保障缴费</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pacing w:val="-3"/>
                <w:sz w:val="21"/>
                <w:szCs w:val="21"/>
                <w:lang w:val="en-US" w:eastAsia="zh-CN"/>
              </w:rPr>
            </w:pPr>
            <w:r>
              <w:rPr>
                <w:rFonts w:hint="default" w:ascii="Times New Roman" w:hAnsi="Times New Roman" w:cs="Times New Roman" w:eastAsiaTheme="minorEastAsia"/>
                <w:spacing w:val="-3"/>
                <w:sz w:val="21"/>
                <w:szCs w:val="21"/>
                <w:lang w:val="en-US" w:eastAsia="zh-CN"/>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9</w:t>
            </w:r>
          </w:p>
        </w:tc>
        <w:tc>
          <w:tcPr>
            <w:tcW w:w="2709"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rPr>
            </w:pPr>
            <w:r>
              <w:rPr>
                <w:rFonts w:hint="default" w:ascii="Times New Roman" w:hAnsi="Times New Roman" w:cs="Times New Roman" w:eastAsiaTheme="minorEastAsia"/>
                <w:spacing w:val="-2"/>
                <w:sz w:val="21"/>
                <w:szCs w:val="21"/>
              </w:rPr>
              <w:t>住房公积金</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pacing w:val="-3"/>
                <w:sz w:val="21"/>
                <w:szCs w:val="21"/>
                <w:lang w:val="en-US" w:eastAsia="zh-CN"/>
              </w:rPr>
            </w:pPr>
            <w:r>
              <w:rPr>
                <w:rFonts w:hint="default" w:ascii="Times New Roman" w:hAnsi="Times New Roman" w:cs="Times New Roman" w:eastAsiaTheme="minorEastAsia"/>
                <w:spacing w:val="-3"/>
                <w:sz w:val="21"/>
                <w:szCs w:val="21"/>
                <w:lang w:val="en-US" w:eastAsia="zh-CN"/>
              </w:rPr>
              <w:t>7.40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10</w:t>
            </w:r>
          </w:p>
        </w:tc>
        <w:tc>
          <w:tcPr>
            <w:tcW w:w="2709"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pacing w:val="-2"/>
                <w:sz w:val="21"/>
                <w:szCs w:val="21"/>
                <w:lang w:val="en-US" w:eastAsia="zh-CN"/>
              </w:rPr>
            </w:pPr>
            <w:r>
              <w:rPr>
                <w:rFonts w:hint="default" w:ascii="Times New Roman" w:hAnsi="Times New Roman" w:cs="Times New Roman" w:eastAsiaTheme="minorEastAsia"/>
                <w:spacing w:val="-2"/>
                <w:sz w:val="21"/>
                <w:szCs w:val="21"/>
                <w:lang w:val="en-US" w:eastAsia="zh-CN"/>
              </w:rPr>
              <w:t>医疗费</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pacing w:val="-3"/>
                <w:sz w:val="21"/>
                <w:szCs w:val="21"/>
                <w:lang w:val="en-US" w:eastAsia="zh-CN"/>
              </w:rPr>
            </w:pPr>
            <w:r>
              <w:rPr>
                <w:rFonts w:hint="default" w:ascii="Times New Roman" w:hAnsi="Times New Roman" w:cs="Times New Roman" w:eastAsiaTheme="minorEastAsia"/>
                <w:spacing w:val="-3"/>
                <w:sz w:val="21"/>
                <w:szCs w:val="21"/>
                <w:lang w:val="en-US" w:eastAsia="zh-CN"/>
              </w:rPr>
              <w:t>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11</w:t>
            </w:r>
          </w:p>
        </w:tc>
        <w:tc>
          <w:tcPr>
            <w:tcW w:w="2709"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pacing w:val="-2"/>
                <w:sz w:val="21"/>
                <w:szCs w:val="21"/>
                <w:lang w:val="en-US" w:eastAsia="zh-CN"/>
              </w:rPr>
            </w:pPr>
            <w:r>
              <w:rPr>
                <w:rFonts w:hint="default" w:ascii="Times New Roman" w:hAnsi="Times New Roman" w:cs="Times New Roman" w:eastAsiaTheme="minorEastAsia"/>
                <w:spacing w:val="-2"/>
                <w:sz w:val="21"/>
                <w:szCs w:val="21"/>
                <w:lang w:val="en-US" w:eastAsia="zh-CN"/>
              </w:rPr>
              <w:t>抚恤金</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pacing w:val="-3"/>
                <w:sz w:val="21"/>
                <w:szCs w:val="21"/>
                <w:lang w:val="en-US" w:eastAsia="zh-CN"/>
              </w:rPr>
            </w:pPr>
            <w:r>
              <w:rPr>
                <w:rFonts w:hint="default" w:ascii="Times New Roman" w:hAnsi="Times New Roman" w:cs="Times New Roman" w:eastAsiaTheme="minorEastAsia"/>
                <w:spacing w:val="-3"/>
                <w:sz w:val="21"/>
                <w:szCs w:val="21"/>
                <w:lang w:val="en-US" w:eastAsia="zh-CN"/>
              </w:rPr>
              <w:t>20.47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12</w:t>
            </w:r>
          </w:p>
        </w:tc>
        <w:tc>
          <w:tcPr>
            <w:tcW w:w="2709"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pacing w:val="-2"/>
                <w:sz w:val="21"/>
                <w:szCs w:val="21"/>
                <w:lang w:val="en-US" w:eastAsia="zh-CN"/>
              </w:rPr>
            </w:pPr>
            <w:r>
              <w:rPr>
                <w:rFonts w:hint="default" w:ascii="Times New Roman" w:hAnsi="Times New Roman" w:cs="Times New Roman" w:eastAsiaTheme="minorEastAsia"/>
                <w:spacing w:val="-2"/>
                <w:sz w:val="21"/>
                <w:szCs w:val="21"/>
                <w:lang w:val="en-US" w:eastAsia="zh-CN"/>
              </w:rPr>
              <w:t>生活补助</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pacing w:val="-3"/>
                <w:sz w:val="21"/>
                <w:szCs w:val="21"/>
                <w:lang w:val="en-US" w:eastAsia="zh-CN"/>
              </w:rPr>
            </w:pPr>
            <w:r>
              <w:rPr>
                <w:rFonts w:hint="default" w:ascii="Times New Roman" w:hAnsi="Times New Roman" w:cs="Times New Roman" w:eastAsiaTheme="minorEastAsia"/>
                <w:spacing w:val="-3"/>
                <w:sz w:val="21"/>
                <w:szCs w:val="21"/>
                <w:lang w:val="en-US" w:eastAsia="zh-CN"/>
              </w:rPr>
              <w:t>10.71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13</w:t>
            </w:r>
          </w:p>
        </w:tc>
        <w:tc>
          <w:tcPr>
            <w:tcW w:w="2709"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pacing w:val="-2"/>
                <w:sz w:val="21"/>
                <w:szCs w:val="21"/>
                <w:lang w:val="en-US" w:eastAsia="zh-CN"/>
              </w:rPr>
            </w:pPr>
            <w:r>
              <w:rPr>
                <w:rFonts w:hint="default" w:ascii="Times New Roman" w:hAnsi="Times New Roman" w:cs="Times New Roman" w:eastAsiaTheme="minorEastAsia"/>
                <w:spacing w:val="-2"/>
                <w:sz w:val="21"/>
                <w:szCs w:val="21"/>
                <w:lang w:val="en-US" w:eastAsia="zh-CN"/>
              </w:rPr>
              <w:t>其他对个人和家庭的补助</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pacing w:val="-3"/>
                <w:sz w:val="21"/>
                <w:szCs w:val="21"/>
                <w:lang w:val="en-US" w:eastAsia="zh-CN"/>
              </w:rPr>
            </w:pPr>
            <w:r>
              <w:rPr>
                <w:rFonts w:hint="default" w:ascii="Times New Roman" w:hAnsi="Times New Roman" w:cs="Times New Roman" w:eastAsiaTheme="minorEastAsia"/>
                <w:spacing w:val="-3"/>
                <w:sz w:val="21"/>
                <w:szCs w:val="21"/>
                <w:lang w:val="en-US" w:eastAsia="zh-CN"/>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b/>
                <w:bCs/>
                <w:position w:val="-4"/>
                <w:sz w:val="21"/>
                <w:szCs w:val="21"/>
              </w:rPr>
              <w:t>二</w:t>
            </w:r>
          </w:p>
        </w:tc>
        <w:tc>
          <w:tcPr>
            <w:tcW w:w="2709"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rPr>
            </w:pPr>
            <w:r>
              <w:rPr>
                <w:rFonts w:hint="default" w:ascii="Times New Roman" w:hAnsi="Times New Roman" w:cs="Times New Roman" w:eastAsiaTheme="minorEastAsia"/>
                <w:b/>
                <w:bCs/>
                <w:spacing w:val="-1"/>
                <w:sz w:val="21"/>
                <w:szCs w:val="21"/>
              </w:rPr>
              <w:t>公用经费</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b/>
                <w:bCs/>
                <w:spacing w:val="-4"/>
                <w:sz w:val="21"/>
                <w:szCs w:val="21"/>
                <w:lang w:val="en-US" w:eastAsia="zh-CN"/>
              </w:rPr>
              <w:t>363.87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rPr>
              <w:t>1</w:t>
            </w:r>
          </w:p>
        </w:tc>
        <w:tc>
          <w:tcPr>
            <w:tcW w:w="2709"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rPr>
            </w:pPr>
            <w:r>
              <w:rPr>
                <w:rFonts w:hint="default" w:ascii="Times New Roman" w:hAnsi="Times New Roman" w:cs="Times New Roman" w:eastAsiaTheme="minorEastAsia"/>
                <w:spacing w:val="4"/>
                <w:sz w:val="21"/>
                <w:szCs w:val="21"/>
              </w:rPr>
              <w:t>办公费</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lang w:val="en-US" w:eastAsia="zh-CN"/>
              </w:rPr>
              <w:t>25.55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rPr>
              <w:t>2</w:t>
            </w:r>
          </w:p>
        </w:tc>
        <w:tc>
          <w:tcPr>
            <w:tcW w:w="2709"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rPr>
            </w:pPr>
            <w:r>
              <w:rPr>
                <w:rFonts w:hint="default" w:ascii="Times New Roman" w:hAnsi="Times New Roman" w:cs="Times New Roman" w:eastAsiaTheme="minorEastAsia"/>
                <w:spacing w:val="4"/>
                <w:sz w:val="21"/>
                <w:szCs w:val="21"/>
              </w:rPr>
              <w:t>印刷费</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lang w:val="en-US" w:eastAsia="zh-CN"/>
              </w:rPr>
              <w:t>27.95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w:t>
            </w:r>
          </w:p>
        </w:tc>
        <w:tc>
          <w:tcPr>
            <w:tcW w:w="2709"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pacing w:val="4"/>
                <w:sz w:val="21"/>
                <w:szCs w:val="21"/>
                <w:lang w:val="en-US" w:eastAsia="zh-CN"/>
              </w:rPr>
            </w:pPr>
            <w:r>
              <w:rPr>
                <w:rFonts w:hint="default" w:ascii="Times New Roman" w:hAnsi="Times New Roman" w:cs="Times New Roman" w:eastAsiaTheme="minorEastAsia"/>
                <w:spacing w:val="4"/>
                <w:sz w:val="21"/>
                <w:szCs w:val="21"/>
                <w:lang w:val="en-US" w:eastAsia="zh-CN"/>
              </w:rPr>
              <w:t>咨询费</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lang w:val="en-US" w:eastAsia="zh-CN"/>
              </w:rPr>
              <w:t>4</w:t>
            </w:r>
          </w:p>
        </w:tc>
        <w:tc>
          <w:tcPr>
            <w:tcW w:w="2709"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rPr>
            </w:pPr>
            <w:r>
              <w:rPr>
                <w:rFonts w:hint="default" w:ascii="Times New Roman" w:hAnsi="Times New Roman" w:cs="Times New Roman" w:eastAsiaTheme="minorEastAsia"/>
                <w:spacing w:val="4"/>
                <w:sz w:val="21"/>
                <w:szCs w:val="21"/>
              </w:rPr>
              <w:t>水电费</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lang w:val="en-US" w:eastAsia="zh-CN"/>
              </w:rPr>
              <w:t>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rPr>
              <w:t>5</w:t>
            </w:r>
          </w:p>
        </w:tc>
        <w:tc>
          <w:tcPr>
            <w:tcW w:w="2709"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rPr>
            </w:pPr>
            <w:r>
              <w:rPr>
                <w:rFonts w:hint="default" w:ascii="Times New Roman" w:hAnsi="Times New Roman" w:cs="Times New Roman" w:eastAsiaTheme="minorEastAsia"/>
                <w:spacing w:val="4"/>
                <w:sz w:val="21"/>
                <w:szCs w:val="21"/>
              </w:rPr>
              <w:t>差旅费</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lang w:val="en-US" w:eastAsia="zh-CN"/>
              </w:rPr>
              <w:t>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rPr>
              <w:t>6</w:t>
            </w:r>
          </w:p>
        </w:tc>
        <w:tc>
          <w:tcPr>
            <w:tcW w:w="2709"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lang w:eastAsia="zh-CN"/>
              </w:rPr>
            </w:pPr>
            <w:r>
              <w:rPr>
                <w:rFonts w:hint="default" w:ascii="Times New Roman" w:hAnsi="Times New Roman" w:cs="Times New Roman" w:eastAsiaTheme="minorEastAsia"/>
                <w:spacing w:val="4"/>
                <w:sz w:val="21"/>
                <w:szCs w:val="21"/>
                <w:lang w:val="en-US" w:eastAsia="zh-CN"/>
              </w:rPr>
              <w:t>维修费</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lang w:val="en-US" w:eastAsia="zh-CN"/>
              </w:rPr>
              <w:t>1.93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rPr>
              <w:t>7</w:t>
            </w:r>
          </w:p>
        </w:tc>
        <w:tc>
          <w:tcPr>
            <w:tcW w:w="2709"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lang w:eastAsia="zh-CN"/>
              </w:rPr>
            </w:pPr>
            <w:r>
              <w:rPr>
                <w:rFonts w:hint="default" w:ascii="Times New Roman" w:hAnsi="Times New Roman" w:cs="Times New Roman" w:eastAsiaTheme="minorEastAsia"/>
                <w:spacing w:val="3"/>
                <w:sz w:val="21"/>
                <w:szCs w:val="21"/>
                <w:lang w:val="en-US" w:eastAsia="zh-CN"/>
              </w:rPr>
              <w:t>培训费</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lang w:val="en-US" w:eastAsia="zh-CN"/>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rPr>
              <w:t>8</w:t>
            </w:r>
          </w:p>
        </w:tc>
        <w:tc>
          <w:tcPr>
            <w:tcW w:w="2709"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lang w:eastAsia="zh-CN"/>
              </w:rPr>
            </w:pPr>
            <w:r>
              <w:rPr>
                <w:rFonts w:hint="default" w:ascii="Times New Roman" w:hAnsi="Times New Roman" w:cs="Times New Roman" w:eastAsiaTheme="minorEastAsia"/>
                <w:spacing w:val="4"/>
                <w:sz w:val="21"/>
                <w:szCs w:val="21"/>
                <w:lang w:val="en-US" w:eastAsia="zh-CN"/>
              </w:rPr>
              <w:t>公务接待费</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lang w:val="en-US" w:eastAsia="zh-CN"/>
              </w:rPr>
              <w:t>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rPr>
              <w:t>9</w:t>
            </w:r>
          </w:p>
        </w:tc>
        <w:tc>
          <w:tcPr>
            <w:tcW w:w="2709"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lang w:val="en-US" w:eastAsia="zh-CN"/>
              </w:rPr>
              <w:t>劳务费</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lang w:val="en-US" w:eastAsia="zh-CN"/>
              </w:rPr>
              <w:t>28.85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pacing w:val="-6"/>
                <w:sz w:val="21"/>
                <w:szCs w:val="21"/>
                <w:lang w:val="en-US" w:eastAsia="zh-CN"/>
              </w:rPr>
              <w:t>10</w:t>
            </w:r>
          </w:p>
        </w:tc>
        <w:tc>
          <w:tcPr>
            <w:tcW w:w="2709"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kern w:val="0"/>
                <w:sz w:val="21"/>
                <w:szCs w:val="21"/>
              </w:rPr>
            </w:pPr>
            <w:r>
              <w:rPr>
                <w:rFonts w:hint="default" w:ascii="Times New Roman" w:hAnsi="Times New Roman" w:cs="Times New Roman" w:eastAsiaTheme="minorEastAsia"/>
                <w:spacing w:val="2"/>
                <w:sz w:val="21"/>
                <w:szCs w:val="21"/>
              </w:rPr>
              <w:t>委托业务费</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lang w:val="en-US" w:eastAsia="zh-CN"/>
              </w:rPr>
              <w:t>247.92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napToGrid w:val="0"/>
                <w:color w:val="000000"/>
                <w:spacing w:val="-6"/>
                <w:kern w:val="0"/>
                <w:sz w:val="21"/>
                <w:szCs w:val="21"/>
                <w:lang w:val="en-US" w:eastAsia="zh-CN"/>
              </w:rPr>
            </w:pPr>
            <w:r>
              <w:rPr>
                <w:rFonts w:hint="default" w:ascii="Times New Roman" w:hAnsi="Times New Roman" w:cs="Times New Roman" w:eastAsiaTheme="minorEastAsia"/>
                <w:spacing w:val="-6"/>
                <w:sz w:val="21"/>
                <w:szCs w:val="21"/>
                <w:lang w:val="en-US" w:eastAsia="zh-CN"/>
              </w:rPr>
              <w:t>11</w:t>
            </w:r>
          </w:p>
        </w:tc>
        <w:tc>
          <w:tcPr>
            <w:tcW w:w="2709"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napToGrid w:val="0"/>
                <w:color w:val="000000"/>
                <w:spacing w:val="2"/>
                <w:kern w:val="0"/>
                <w:sz w:val="21"/>
                <w:szCs w:val="21"/>
                <w:lang w:val="en-US" w:eastAsia="zh-CN"/>
              </w:rPr>
            </w:pPr>
            <w:r>
              <w:rPr>
                <w:rFonts w:hint="default" w:ascii="Times New Roman" w:hAnsi="Times New Roman" w:cs="Times New Roman" w:eastAsiaTheme="minorEastAsia"/>
                <w:spacing w:val="2"/>
                <w:sz w:val="21"/>
                <w:szCs w:val="21"/>
                <w:lang w:val="en-US" w:eastAsia="zh-CN"/>
              </w:rPr>
              <w:t>工会经费</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lang w:val="en-US" w:eastAsia="zh-CN"/>
              </w:rPr>
              <w:t>6.68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pacing w:val="-6"/>
                <w:sz w:val="21"/>
                <w:szCs w:val="21"/>
                <w:lang w:val="en-US" w:eastAsia="zh-CN"/>
              </w:rPr>
            </w:pPr>
            <w:r>
              <w:rPr>
                <w:rFonts w:hint="default" w:ascii="Times New Roman" w:hAnsi="Times New Roman" w:cs="Times New Roman" w:eastAsiaTheme="minorEastAsia"/>
                <w:spacing w:val="-6"/>
                <w:sz w:val="21"/>
                <w:szCs w:val="21"/>
                <w:lang w:val="en-US" w:eastAsia="zh-CN"/>
              </w:rPr>
              <w:t>12</w:t>
            </w:r>
          </w:p>
        </w:tc>
        <w:tc>
          <w:tcPr>
            <w:tcW w:w="2709"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pacing w:val="2"/>
                <w:sz w:val="21"/>
                <w:szCs w:val="21"/>
                <w:lang w:val="en-US" w:eastAsia="zh-CN"/>
              </w:rPr>
            </w:pPr>
            <w:r>
              <w:rPr>
                <w:rFonts w:hint="default" w:ascii="Times New Roman" w:hAnsi="Times New Roman" w:cs="Times New Roman" w:eastAsiaTheme="minorEastAsia"/>
                <w:spacing w:val="2"/>
                <w:sz w:val="21"/>
                <w:szCs w:val="21"/>
                <w:lang w:val="en-US" w:eastAsia="zh-CN"/>
              </w:rPr>
              <w:t>福利费</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pacing w:val="-6"/>
                <w:sz w:val="21"/>
                <w:szCs w:val="21"/>
                <w:lang w:val="en-US" w:eastAsia="zh-CN"/>
              </w:rPr>
            </w:pPr>
            <w:r>
              <w:rPr>
                <w:rFonts w:hint="default" w:ascii="Times New Roman" w:hAnsi="Times New Roman" w:cs="Times New Roman" w:eastAsiaTheme="minorEastAsia"/>
                <w:spacing w:val="-6"/>
                <w:sz w:val="21"/>
                <w:szCs w:val="21"/>
                <w:lang w:val="en-US" w:eastAsia="zh-CN"/>
              </w:rPr>
              <w:t>13</w:t>
            </w:r>
          </w:p>
        </w:tc>
        <w:tc>
          <w:tcPr>
            <w:tcW w:w="2709"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pacing w:val="2"/>
                <w:sz w:val="21"/>
                <w:szCs w:val="21"/>
                <w:lang w:val="en-US" w:eastAsia="zh-CN"/>
              </w:rPr>
            </w:pPr>
            <w:r>
              <w:rPr>
                <w:rFonts w:hint="default" w:ascii="Times New Roman" w:hAnsi="Times New Roman" w:cs="Times New Roman" w:eastAsiaTheme="minorEastAsia"/>
                <w:spacing w:val="2"/>
                <w:sz w:val="21"/>
                <w:szCs w:val="21"/>
                <w:lang w:val="en-US" w:eastAsia="zh-CN"/>
              </w:rPr>
              <w:t>其他交通费用</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6.63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pacing w:val="-6"/>
                <w:sz w:val="21"/>
                <w:szCs w:val="21"/>
                <w:lang w:val="en-US" w:eastAsia="zh-CN"/>
              </w:rPr>
            </w:pPr>
            <w:r>
              <w:rPr>
                <w:rFonts w:hint="default" w:ascii="Times New Roman" w:hAnsi="Times New Roman" w:cs="Times New Roman" w:eastAsiaTheme="minorEastAsia"/>
                <w:spacing w:val="-6"/>
                <w:sz w:val="21"/>
                <w:szCs w:val="21"/>
                <w:lang w:val="en-US" w:eastAsia="zh-CN"/>
              </w:rPr>
              <w:t>14</w:t>
            </w:r>
          </w:p>
        </w:tc>
        <w:tc>
          <w:tcPr>
            <w:tcW w:w="2709"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pacing w:val="2"/>
                <w:sz w:val="21"/>
                <w:szCs w:val="21"/>
                <w:lang w:val="en-US" w:eastAsia="zh-CN"/>
              </w:rPr>
            </w:pPr>
            <w:r>
              <w:rPr>
                <w:rFonts w:hint="default" w:ascii="Times New Roman" w:hAnsi="Times New Roman" w:cs="Times New Roman" w:eastAsiaTheme="minorEastAsia"/>
                <w:i w:val="0"/>
                <w:iCs w:val="0"/>
                <w:color w:val="000000"/>
                <w:kern w:val="0"/>
                <w:sz w:val="21"/>
                <w:szCs w:val="21"/>
                <w:u w:val="none"/>
                <w:lang w:val="en-US" w:eastAsia="zh-CN" w:bidi="ar"/>
              </w:rPr>
              <w:t>其他商品和服务支出</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8.35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974" w:type="pct"/>
            <w:tcBorders>
              <w:tl2br w:val="nil"/>
              <w:tr2bl w:val="nil"/>
            </w:tcBorders>
            <w:vAlign w:val="top"/>
          </w:tcPr>
          <w:p>
            <w:pPr>
              <w:spacing w:before="0" w:line="240" w:lineRule="auto"/>
              <w:ind w:left="0" w:leftChars="0" w:firstLine="0" w:firstLineChars="0"/>
              <w:jc w:val="center"/>
              <w:rPr>
                <w:rFonts w:hint="default" w:ascii="Times New Roman" w:hAnsi="Times New Roman" w:cs="Times New Roman" w:eastAsiaTheme="minorEastAsia"/>
                <w:spacing w:val="-6"/>
                <w:sz w:val="21"/>
                <w:szCs w:val="21"/>
                <w:lang w:val="en-US" w:eastAsia="zh-CN"/>
              </w:rPr>
            </w:pPr>
            <w:r>
              <w:rPr>
                <w:rFonts w:hint="default" w:ascii="Times New Roman" w:hAnsi="Times New Roman" w:cs="Times New Roman" w:eastAsiaTheme="minorEastAsia"/>
                <w:spacing w:val="-6"/>
                <w:sz w:val="21"/>
                <w:szCs w:val="21"/>
                <w:lang w:val="en-US" w:eastAsia="zh-CN"/>
              </w:rPr>
              <w:t>15</w:t>
            </w:r>
          </w:p>
        </w:tc>
        <w:tc>
          <w:tcPr>
            <w:tcW w:w="2709"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资本性支出</w:t>
            </w:r>
          </w:p>
        </w:tc>
        <w:tc>
          <w:tcPr>
            <w:tcW w:w="1315" w:type="pct"/>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3684" w:type="pct"/>
            <w:gridSpan w:val="2"/>
            <w:tcBorders>
              <w:tl2br w:val="nil"/>
              <w:tr2bl w:val="nil"/>
            </w:tcBorders>
            <w:vAlign w:val="top"/>
          </w:tcPr>
          <w:p>
            <w:pPr>
              <w:spacing w:before="0" w:line="240" w:lineRule="auto"/>
              <w:ind w:firstLine="0" w:firstLineChars="0"/>
              <w:jc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b/>
                <w:bCs/>
                <w:spacing w:val="-3"/>
                <w:sz w:val="21"/>
                <w:szCs w:val="21"/>
              </w:rPr>
              <w:t>合计</w:t>
            </w:r>
          </w:p>
        </w:tc>
        <w:tc>
          <w:tcPr>
            <w:tcW w:w="1315" w:type="pct"/>
            <w:tcBorders>
              <w:tl2br w:val="nil"/>
              <w:tr2bl w:val="nil"/>
            </w:tcBorders>
            <w:vAlign w:val="top"/>
          </w:tcPr>
          <w:p>
            <w:pPr>
              <w:spacing w:line="240" w:lineRule="auto"/>
              <w:ind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b/>
                <w:bCs/>
                <w:spacing w:val="-4"/>
                <w:sz w:val="21"/>
                <w:szCs w:val="21"/>
                <w:lang w:val="en-US" w:eastAsia="zh-CN"/>
              </w:rPr>
              <w:t>498.85</w:t>
            </w:r>
          </w:p>
        </w:tc>
      </w:tr>
      <w:bookmarkEnd w:id="33"/>
    </w:tbl>
    <w:p>
      <w:pPr>
        <w:pStyle w:val="5"/>
        <w:numPr>
          <w:ilvl w:val="0"/>
          <w:numId w:val="0"/>
        </w:numPr>
        <w:ind w:firstLine="643" w:firstLineChars="200"/>
        <w:jc w:val="both"/>
        <w:rPr>
          <w:rFonts w:hint="default" w:ascii="Times New Roman" w:hAnsi="Times New Roman" w:cs="Times New Roman"/>
          <w:lang w:val="en-US" w:eastAsia="zh-CN"/>
        </w:rPr>
      </w:pPr>
      <w:bookmarkStart w:id="34" w:name="_Toc16518"/>
      <w:bookmarkStart w:id="35" w:name="_Toc11240"/>
      <w:r>
        <w:rPr>
          <w:rFonts w:hint="default" w:ascii="Times New Roman" w:hAnsi="Times New Roman" w:cs="Times New Roman"/>
          <w:lang w:val="en-US" w:eastAsia="zh-CN"/>
        </w:rPr>
        <w:t>2、“三公经费”支出情况</w:t>
      </w:r>
      <w:bookmarkEnd w:id="34"/>
      <w:bookmarkEnd w:id="35"/>
    </w:p>
    <w:p>
      <w:pPr>
        <w:numPr>
          <w:ilvl w:val="0"/>
          <w:numId w:val="0"/>
        </w:numPr>
        <w:ind w:firstLine="620" w:firstLineChars="200"/>
        <w:jc w:val="both"/>
        <w:rPr>
          <w:rFonts w:hint="default" w:ascii="Times New Roman" w:hAnsi="Times New Roman" w:eastAsia="仿宋" w:cs="Times New Roman"/>
          <w:b w:val="0"/>
          <w:bCs w:val="0"/>
          <w:color w:val="FF0000"/>
          <w:sz w:val="31"/>
          <w:szCs w:val="31"/>
          <w:lang w:val="en-US" w:eastAsia="zh-CN"/>
        </w:rPr>
      </w:pPr>
      <w:r>
        <w:rPr>
          <w:rFonts w:hint="default" w:ascii="Times New Roman" w:hAnsi="Times New Roman" w:eastAsia="仿宋" w:cs="Times New Roman"/>
          <w:b w:val="0"/>
          <w:bCs w:val="0"/>
          <w:sz w:val="31"/>
          <w:szCs w:val="31"/>
          <w:lang w:val="en-US" w:eastAsia="zh-CN"/>
        </w:rPr>
        <w:t>根据邵阳市北塔区商务局2022年度部门决算报表，邵阳市北塔区商务局2022年“三公经费”年初预算数为1.00万元，</w:t>
      </w:r>
      <w:r>
        <w:rPr>
          <w:rFonts w:hint="default" w:ascii="Times New Roman" w:hAnsi="Times New Roman" w:eastAsia="仿宋" w:cs="Times New Roman"/>
          <w:b w:val="0"/>
          <w:bCs w:val="0"/>
          <w:color w:val="auto"/>
          <w:sz w:val="31"/>
          <w:szCs w:val="31"/>
          <w:lang w:val="en-US" w:eastAsia="zh-CN"/>
        </w:rPr>
        <w:t>2022年共计支出0.50万元，其中公务用车及运行维护0.00万元，公务接待费0.50万元，因公出国</w:t>
      </w:r>
      <w:r>
        <w:rPr>
          <w:rFonts w:hint="eastAsia" w:cs="Times New Roman"/>
          <w:b w:val="0"/>
          <w:bCs w:val="0"/>
          <w:color w:val="auto"/>
          <w:sz w:val="31"/>
          <w:szCs w:val="31"/>
          <w:lang w:val="en-US" w:eastAsia="zh-CN"/>
        </w:rPr>
        <w:t>（</w:t>
      </w:r>
      <w:r>
        <w:rPr>
          <w:rFonts w:hint="default" w:ascii="Times New Roman" w:hAnsi="Times New Roman" w:eastAsia="仿宋" w:cs="Times New Roman"/>
          <w:b w:val="0"/>
          <w:bCs w:val="0"/>
          <w:color w:val="auto"/>
          <w:sz w:val="31"/>
          <w:szCs w:val="31"/>
          <w:lang w:val="en-US" w:eastAsia="zh-CN"/>
        </w:rPr>
        <w:t>境</w:t>
      </w:r>
      <w:r>
        <w:rPr>
          <w:rFonts w:hint="eastAsia" w:cs="Times New Roman"/>
          <w:b w:val="0"/>
          <w:bCs w:val="0"/>
          <w:color w:val="auto"/>
          <w:sz w:val="31"/>
          <w:szCs w:val="31"/>
          <w:lang w:val="en-US" w:eastAsia="zh-CN"/>
        </w:rPr>
        <w:t>）</w:t>
      </w:r>
      <w:r>
        <w:rPr>
          <w:rFonts w:hint="default" w:ascii="Times New Roman" w:hAnsi="Times New Roman" w:eastAsia="仿宋" w:cs="Times New Roman"/>
          <w:b w:val="0"/>
          <w:bCs w:val="0"/>
          <w:color w:val="auto"/>
          <w:sz w:val="31"/>
          <w:szCs w:val="31"/>
          <w:lang w:val="en-US" w:eastAsia="zh-CN"/>
        </w:rPr>
        <w:t>费用0.00元。</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5"/>
        <w:gridCol w:w="1694"/>
        <w:gridCol w:w="1654"/>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bCs/>
                <w:sz w:val="21"/>
                <w:szCs w:val="21"/>
                <w:vertAlign w:val="baseline"/>
                <w:lang w:val="en-US" w:eastAsia="zh-CN"/>
              </w:rPr>
            </w:pPr>
            <w:r>
              <w:rPr>
                <w:rFonts w:hint="default" w:ascii="Times New Roman" w:hAnsi="Times New Roman" w:cs="Times New Roman" w:eastAsiaTheme="minorEastAsia"/>
                <w:b/>
                <w:bCs/>
                <w:sz w:val="21"/>
                <w:szCs w:val="21"/>
                <w:vertAlign w:val="baseline"/>
                <w:lang w:val="en-US" w:eastAsia="zh-CN"/>
              </w:rPr>
              <w:t>“三公经费”类别</w:t>
            </w:r>
          </w:p>
        </w:tc>
        <w:tc>
          <w:tcPr>
            <w:tcW w:w="16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bCs/>
                <w:sz w:val="21"/>
                <w:szCs w:val="21"/>
                <w:vertAlign w:val="baseline"/>
                <w:lang w:val="en-US" w:eastAsia="zh-CN"/>
              </w:rPr>
            </w:pPr>
            <w:r>
              <w:rPr>
                <w:rFonts w:hint="default" w:ascii="Times New Roman" w:hAnsi="Times New Roman" w:cs="Times New Roman" w:eastAsiaTheme="minorEastAsia"/>
                <w:b/>
                <w:bCs/>
                <w:sz w:val="21"/>
                <w:szCs w:val="21"/>
                <w:vertAlign w:val="baseline"/>
                <w:lang w:val="en-US" w:eastAsia="zh-CN"/>
              </w:rPr>
              <w:t>预算数</w:t>
            </w:r>
          </w:p>
        </w:tc>
        <w:tc>
          <w:tcPr>
            <w:tcW w:w="16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bCs/>
                <w:sz w:val="21"/>
                <w:szCs w:val="21"/>
                <w:vertAlign w:val="baseline"/>
                <w:lang w:val="en-US" w:eastAsia="zh-CN"/>
              </w:rPr>
            </w:pPr>
            <w:r>
              <w:rPr>
                <w:rFonts w:hint="default" w:ascii="Times New Roman" w:hAnsi="Times New Roman" w:cs="Times New Roman" w:eastAsiaTheme="minorEastAsia"/>
                <w:b/>
                <w:bCs/>
                <w:sz w:val="21"/>
                <w:szCs w:val="21"/>
                <w:vertAlign w:val="baseline"/>
                <w:lang w:val="en-US" w:eastAsia="zh-CN"/>
              </w:rPr>
              <w:t>决算数</w:t>
            </w:r>
          </w:p>
        </w:tc>
        <w:tc>
          <w:tcPr>
            <w:tcW w:w="16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bCs/>
                <w:sz w:val="21"/>
                <w:szCs w:val="21"/>
                <w:vertAlign w:val="baseline"/>
                <w:lang w:val="en-US" w:eastAsia="zh-CN"/>
              </w:rPr>
            </w:pPr>
            <w:r>
              <w:rPr>
                <w:rFonts w:hint="default" w:ascii="Times New Roman" w:hAnsi="Times New Roman" w:cs="Times New Roman" w:eastAsiaTheme="minorEastAsia"/>
                <w:b/>
                <w:bCs/>
                <w:sz w:val="21"/>
                <w:szCs w:val="21"/>
                <w:vertAlign w:val="baseline"/>
                <w:lang w:val="en-US" w:eastAsia="zh-CN"/>
              </w:rPr>
              <w:t>偏离预算数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因公出国（境）费</w:t>
            </w:r>
          </w:p>
        </w:tc>
        <w:tc>
          <w:tcPr>
            <w:tcW w:w="16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c>
          <w:tcPr>
            <w:tcW w:w="16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c>
          <w:tcPr>
            <w:tcW w:w="16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公务用车购置及运行维护费</w:t>
            </w:r>
          </w:p>
        </w:tc>
        <w:tc>
          <w:tcPr>
            <w:tcW w:w="16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c>
          <w:tcPr>
            <w:tcW w:w="16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c>
          <w:tcPr>
            <w:tcW w:w="16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其中：公务用车购置费</w:t>
            </w:r>
          </w:p>
        </w:tc>
        <w:tc>
          <w:tcPr>
            <w:tcW w:w="16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c>
          <w:tcPr>
            <w:tcW w:w="16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c>
          <w:tcPr>
            <w:tcW w:w="16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 xml:space="preserve">          公务用车运行维护费</w:t>
            </w:r>
          </w:p>
        </w:tc>
        <w:tc>
          <w:tcPr>
            <w:tcW w:w="16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c>
          <w:tcPr>
            <w:tcW w:w="16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c>
          <w:tcPr>
            <w:tcW w:w="16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公务接待费</w:t>
            </w:r>
          </w:p>
        </w:tc>
        <w:tc>
          <w:tcPr>
            <w:tcW w:w="16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1.00</w:t>
            </w:r>
          </w:p>
        </w:tc>
        <w:tc>
          <w:tcPr>
            <w:tcW w:w="16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0.50</w:t>
            </w:r>
          </w:p>
        </w:tc>
        <w:tc>
          <w:tcPr>
            <w:tcW w:w="16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w:t>
            </w:r>
            <w:r>
              <w:rPr>
                <w:rFonts w:hint="eastAsia" w:ascii="Times New Roman" w:hAnsi="Times New Roman" w:cs="Times New Roman" w:eastAsiaTheme="minorEastAsia"/>
                <w:b w:val="0"/>
                <w:bCs w:val="0"/>
                <w:sz w:val="21"/>
                <w:szCs w:val="21"/>
                <w:vertAlign w:val="baseline"/>
                <w:lang w:val="en-US" w:eastAsia="zh-CN"/>
              </w:rPr>
              <w:t>5</w:t>
            </w:r>
            <w:r>
              <w:rPr>
                <w:rFonts w:hint="default" w:ascii="Times New Roman" w:hAnsi="Times New Roman" w:cs="Times New Roman" w:eastAsiaTheme="minorEastAsia"/>
                <w:b w:val="0"/>
                <w:bCs w:val="0"/>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合计</w:t>
            </w:r>
          </w:p>
        </w:tc>
        <w:tc>
          <w:tcPr>
            <w:tcW w:w="16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1.00</w:t>
            </w:r>
          </w:p>
        </w:tc>
        <w:tc>
          <w:tcPr>
            <w:tcW w:w="16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0.50</w:t>
            </w:r>
          </w:p>
        </w:tc>
        <w:tc>
          <w:tcPr>
            <w:tcW w:w="16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w:t>
            </w:r>
            <w:r>
              <w:rPr>
                <w:rFonts w:hint="eastAsia" w:ascii="Times New Roman" w:hAnsi="Times New Roman" w:cs="Times New Roman" w:eastAsiaTheme="minorEastAsia"/>
                <w:b w:val="0"/>
                <w:bCs w:val="0"/>
                <w:sz w:val="21"/>
                <w:szCs w:val="21"/>
                <w:vertAlign w:val="baseline"/>
                <w:lang w:val="en-US" w:eastAsia="zh-CN"/>
              </w:rPr>
              <w:t>5</w:t>
            </w:r>
            <w:r>
              <w:rPr>
                <w:rFonts w:hint="default" w:ascii="Times New Roman" w:hAnsi="Times New Roman" w:cs="Times New Roman" w:eastAsiaTheme="minorEastAsia"/>
                <w:b w:val="0"/>
                <w:bCs w:val="0"/>
                <w:sz w:val="21"/>
                <w:szCs w:val="21"/>
                <w:vertAlign w:val="baseline"/>
                <w:lang w:val="en-US" w:eastAsia="zh-CN"/>
              </w:rPr>
              <w:t>0</w:t>
            </w:r>
          </w:p>
        </w:tc>
      </w:tr>
    </w:tbl>
    <w:p>
      <w:pPr>
        <w:numPr>
          <w:ilvl w:val="0"/>
          <w:numId w:val="0"/>
        </w:numPr>
        <w:ind w:firstLine="602" w:firstLineChars="200"/>
        <w:jc w:val="both"/>
        <w:outlineLvl w:val="2"/>
        <w:rPr>
          <w:rFonts w:hint="default" w:ascii="Times New Roman" w:hAnsi="Times New Roman" w:eastAsia="仿宋" w:cs="Times New Roman"/>
          <w:b/>
          <w:bCs/>
          <w:sz w:val="30"/>
          <w:szCs w:val="30"/>
          <w:lang w:val="en-US" w:eastAsia="zh-CN"/>
        </w:rPr>
      </w:pPr>
      <w:bookmarkStart w:id="36" w:name="_Toc28521"/>
      <w:r>
        <w:rPr>
          <w:rFonts w:hint="default" w:ascii="Times New Roman" w:hAnsi="Times New Roman" w:eastAsia="仿宋" w:cs="Times New Roman"/>
          <w:b/>
          <w:bCs/>
          <w:sz w:val="30"/>
          <w:szCs w:val="30"/>
          <w:lang w:val="en-US" w:eastAsia="zh-CN"/>
        </w:rPr>
        <w:t>3、项目支出情况</w:t>
      </w:r>
      <w:bookmarkEnd w:id="36"/>
    </w:p>
    <w:p>
      <w:pPr>
        <w:bidi w:val="0"/>
        <w:rPr>
          <w:rFonts w:hint="default"/>
          <w:lang w:val="en-US" w:eastAsia="zh-CN"/>
        </w:rPr>
      </w:pPr>
      <w:r>
        <w:rPr>
          <w:rFonts w:hint="default"/>
          <w:lang w:val="en-US" w:eastAsia="zh-CN"/>
        </w:rPr>
        <w:t>根据邵阳市北塔区商务局2022年度部门决算报表，2022年度邵阳市北塔区商务局项目支出共计100.49万元，详细支出情况见下表：</w:t>
      </w:r>
      <w:r>
        <w:rPr>
          <w:rFonts w:hint="default"/>
          <w:lang w:val="en-US" w:eastAsia="zh-CN"/>
        </w:rPr>
        <w:tab/>
      </w:r>
    </w:p>
    <w:tbl>
      <w:tblPr>
        <w:tblStyle w:val="19"/>
        <w:tblW w:w="8339" w:type="dxa"/>
        <w:tblInd w:w="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3"/>
        <w:gridCol w:w="4894"/>
        <w:gridCol w:w="2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3" w:hRule="atLeast"/>
          <w:tblHeader/>
        </w:trPr>
        <w:tc>
          <w:tcPr>
            <w:tcW w:w="1344" w:type="dxa"/>
            <w:vAlign w:val="top"/>
          </w:tcPr>
          <w:p>
            <w:pPr>
              <w:spacing w:before="0" w:line="240" w:lineRule="auto"/>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pacing w:val="-5"/>
                <w:sz w:val="21"/>
                <w:szCs w:val="21"/>
              </w:rPr>
              <w:t>序号</w:t>
            </w:r>
          </w:p>
        </w:tc>
        <w:tc>
          <w:tcPr>
            <w:tcW w:w="4936" w:type="dxa"/>
            <w:vAlign w:val="top"/>
          </w:tcPr>
          <w:p>
            <w:pPr>
              <w:spacing w:before="0" w:line="240" w:lineRule="auto"/>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pacing w:val="6"/>
                <w:sz w:val="21"/>
                <w:szCs w:val="21"/>
              </w:rPr>
              <w:t>支出项目</w:t>
            </w:r>
          </w:p>
        </w:tc>
        <w:tc>
          <w:tcPr>
            <w:tcW w:w="2059" w:type="dxa"/>
            <w:vAlign w:val="top"/>
          </w:tcPr>
          <w:p>
            <w:pPr>
              <w:spacing w:before="0" w:line="240" w:lineRule="auto"/>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pacing w:val="4"/>
                <w:sz w:val="21"/>
                <w:szCs w:val="21"/>
              </w:rPr>
              <w:t>金额</w:t>
            </w:r>
            <w:r>
              <w:rPr>
                <w:rFonts w:hint="default" w:ascii="Times New Roman" w:hAnsi="Times New Roman" w:cs="Times New Roman" w:eastAsiaTheme="minorEastAsia"/>
                <w:b/>
                <w:bCs/>
                <w:spacing w:val="4"/>
                <w:sz w:val="21"/>
                <w:szCs w:val="21"/>
                <w:lang w:eastAsia="zh-CN"/>
              </w:rPr>
              <w:t>（</w:t>
            </w:r>
            <w:r>
              <w:rPr>
                <w:rFonts w:hint="default" w:ascii="Times New Roman" w:hAnsi="Times New Roman" w:cs="Times New Roman" w:eastAsiaTheme="minorEastAsia"/>
                <w:b/>
                <w:bCs/>
                <w:spacing w:val="4"/>
                <w:sz w:val="21"/>
                <w:szCs w:val="21"/>
              </w:rPr>
              <w:t>万元</w:t>
            </w:r>
            <w:r>
              <w:rPr>
                <w:rFonts w:hint="default" w:ascii="Times New Roman" w:hAnsi="Times New Roman" w:cs="Times New Roman" w:eastAsiaTheme="minorEastAsia"/>
                <w:b/>
                <w:bCs/>
                <w:spacing w:val="4"/>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1344" w:type="dxa"/>
            <w:vAlign w:val="top"/>
          </w:tcPr>
          <w:p>
            <w:pPr>
              <w:spacing w:line="240" w:lineRule="auto"/>
              <w:ind w:firstLine="0" w:firstLineChars="0"/>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一</w:t>
            </w:r>
          </w:p>
        </w:tc>
        <w:tc>
          <w:tcPr>
            <w:tcW w:w="4936" w:type="dxa"/>
            <w:vAlign w:val="top"/>
          </w:tcPr>
          <w:p>
            <w:pPr>
              <w:spacing w:before="0"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pacing w:val="1"/>
                <w:sz w:val="21"/>
                <w:szCs w:val="21"/>
              </w:rPr>
              <w:t>全区招商经费</w:t>
            </w:r>
          </w:p>
        </w:tc>
        <w:tc>
          <w:tcPr>
            <w:tcW w:w="2059" w:type="dxa"/>
            <w:vAlign w:val="top"/>
          </w:tcPr>
          <w:p>
            <w:pPr>
              <w:spacing w:before="0" w:line="240" w:lineRule="auto"/>
              <w:ind w:firstLine="0" w:firstLineChars="0"/>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pacing w:val="1"/>
                <w:sz w:val="21"/>
                <w:szCs w:val="21"/>
                <w:lang w:val="en-US" w:eastAsia="zh-CN"/>
              </w:rPr>
              <w:t>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 w:hRule="atLeast"/>
        </w:trPr>
        <w:tc>
          <w:tcPr>
            <w:tcW w:w="1344" w:type="dxa"/>
            <w:vAlign w:val="top"/>
          </w:tcPr>
          <w:p>
            <w:pPr>
              <w:spacing w:before="0" w:line="240" w:lineRule="auto"/>
              <w:ind w:left="0" w:leftChars="0" w:firstLine="0" w:firstLineChars="0"/>
              <w:jc w:val="center"/>
              <w:rPr>
                <w:rFonts w:hint="default" w:ascii="Times New Roman" w:hAnsi="Times New Roman" w:cs="Times New Roman" w:eastAsiaTheme="minorEastAsia"/>
                <w:b w:val="0"/>
                <w:bCs w:val="0"/>
                <w:snapToGrid w:val="0"/>
                <w:color w:val="000000"/>
                <w:kern w:val="0"/>
                <w:sz w:val="21"/>
                <w:szCs w:val="21"/>
              </w:rPr>
            </w:pPr>
            <w:r>
              <w:rPr>
                <w:rFonts w:hint="default" w:ascii="Times New Roman" w:hAnsi="Times New Roman" w:cs="Times New Roman" w:eastAsiaTheme="minorEastAsia"/>
                <w:b w:val="0"/>
                <w:bCs w:val="0"/>
                <w:position w:val="-3"/>
                <w:sz w:val="21"/>
                <w:szCs w:val="21"/>
              </w:rPr>
              <w:t>二</w:t>
            </w:r>
          </w:p>
        </w:tc>
        <w:tc>
          <w:tcPr>
            <w:tcW w:w="4936" w:type="dxa"/>
            <w:vAlign w:val="top"/>
          </w:tcPr>
          <w:p>
            <w:pPr>
              <w:spacing w:before="0" w:line="240" w:lineRule="auto"/>
              <w:ind w:firstLine="0" w:firstLineChars="0"/>
              <w:jc w:val="center"/>
              <w:rPr>
                <w:rFonts w:hint="default" w:ascii="Times New Roman" w:hAnsi="Times New Roman" w:cs="Times New Roman" w:eastAsiaTheme="minorEastAsia"/>
                <w:b w:val="0"/>
                <w:bCs w:val="0"/>
                <w:snapToGrid w:val="0"/>
                <w:color w:val="000000"/>
                <w:kern w:val="0"/>
                <w:sz w:val="21"/>
                <w:szCs w:val="21"/>
              </w:rPr>
            </w:pPr>
            <w:r>
              <w:rPr>
                <w:rFonts w:hint="default" w:ascii="Times New Roman" w:hAnsi="Times New Roman" w:cs="Times New Roman" w:eastAsiaTheme="minorEastAsia"/>
                <w:b w:val="0"/>
                <w:bCs w:val="0"/>
                <w:sz w:val="21"/>
                <w:szCs w:val="21"/>
              </w:rPr>
              <w:t>农贸市场经费</w:t>
            </w:r>
          </w:p>
        </w:tc>
        <w:tc>
          <w:tcPr>
            <w:tcW w:w="2059" w:type="dxa"/>
            <w:vAlign w:val="top"/>
          </w:tcPr>
          <w:p>
            <w:pPr>
              <w:spacing w:before="0" w:line="240" w:lineRule="auto"/>
              <w:ind w:firstLine="0" w:firstLineChars="0"/>
              <w:jc w:val="center"/>
              <w:rPr>
                <w:rFonts w:hint="default" w:ascii="Times New Roman" w:hAnsi="Times New Roman" w:cs="Times New Roman" w:eastAsiaTheme="minorEastAsia"/>
                <w:b w:val="0"/>
                <w:bCs w:val="0"/>
                <w:snapToGrid w:val="0"/>
                <w:color w:val="000000"/>
                <w:kern w:val="0"/>
                <w:sz w:val="21"/>
                <w:szCs w:val="21"/>
                <w:lang w:val="en-US" w:eastAsia="zh-CN"/>
              </w:rPr>
            </w:pPr>
            <w:r>
              <w:rPr>
                <w:rFonts w:hint="default" w:ascii="Times New Roman" w:hAnsi="Times New Roman" w:cs="Times New Roman" w:eastAsiaTheme="minorEastAsia"/>
                <w:b w:val="0"/>
                <w:bCs w:val="0"/>
                <w:spacing w:val="-4"/>
                <w:sz w:val="21"/>
                <w:szCs w:val="21"/>
                <w:lang w:val="en-US" w:eastAsia="zh-CN"/>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1344" w:type="dxa"/>
            <w:vAlign w:val="top"/>
          </w:tcPr>
          <w:p>
            <w:pPr>
              <w:spacing w:before="0" w:line="240" w:lineRule="auto"/>
              <w:ind w:left="0" w:leftChars="0" w:firstLine="0" w:firstLineChars="0"/>
              <w:jc w:val="center"/>
              <w:rPr>
                <w:rFonts w:hint="default" w:ascii="Times New Roman" w:hAnsi="Times New Roman" w:cs="Times New Roman" w:eastAsiaTheme="minorEastAsia"/>
                <w:b w:val="0"/>
                <w:bCs w:val="0"/>
                <w:position w:val="-3"/>
                <w:sz w:val="21"/>
                <w:szCs w:val="21"/>
                <w:lang w:val="en-US" w:eastAsia="zh-CN"/>
              </w:rPr>
            </w:pPr>
            <w:r>
              <w:rPr>
                <w:rFonts w:hint="default" w:ascii="Times New Roman" w:hAnsi="Times New Roman" w:cs="Times New Roman" w:eastAsiaTheme="minorEastAsia"/>
                <w:b w:val="0"/>
                <w:bCs w:val="0"/>
                <w:position w:val="-3"/>
                <w:sz w:val="21"/>
                <w:szCs w:val="21"/>
                <w:lang w:val="en-US" w:eastAsia="zh-CN"/>
              </w:rPr>
              <w:t>三</w:t>
            </w:r>
          </w:p>
        </w:tc>
        <w:tc>
          <w:tcPr>
            <w:tcW w:w="4936" w:type="dxa"/>
            <w:vAlign w:val="top"/>
          </w:tcPr>
          <w:p>
            <w:pPr>
              <w:spacing w:before="0" w:line="240" w:lineRule="auto"/>
              <w:ind w:firstLine="0" w:firstLineChars="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公用支出项目</w:t>
            </w:r>
          </w:p>
        </w:tc>
        <w:tc>
          <w:tcPr>
            <w:tcW w:w="2059" w:type="dxa"/>
            <w:vAlign w:val="top"/>
          </w:tcPr>
          <w:p>
            <w:pPr>
              <w:spacing w:before="0" w:line="240" w:lineRule="auto"/>
              <w:ind w:firstLine="0" w:firstLineChars="0"/>
              <w:jc w:val="center"/>
              <w:rPr>
                <w:rFonts w:hint="default" w:ascii="Times New Roman" w:hAnsi="Times New Roman" w:cs="Times New Roman" w:eastAsiaTheme="minorEastAsia"/>
                <w:b w:val="0"/>
                <w:bCs w:val="0"/>
                <w:spacing w:val="-4"/>
                <w:sz w:val="21"/>
                <w:szCs w:val="21"/>
                <w:lang w:val="en-US" w:eastAsia="zh-CN"/>
              </w:rPr>
            </w:pPr>
            <w:r>
              <w:rPr>
                <w:rFonts w:hint="default" w:ascii="Times New Roman" w:hAnsi="Times New Roman" w:cs="Times New Roman" w:eastAsiaTheme="minorEastAsia"/>
                <w:b w:val="0"/>
                <w:bCs w:val="0"/>
                <w:spacing w:val="-4"/>
                <w:sz w:val="21"/>
                <w:szCs w:val="21"/>
                <w:lang w:val="en-US" w:eastAsia="zh-CN"/>
              </w:rPr>
              <w:t>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6280" w:type="dxa"/>
            <w:gridSpan w:val="2"/>
            <w:vAlign w:val="top"/>
          </w:tcPr>
          <w:p>
            <w:pPr>
              <w:spacing w:line="240" w:lineRule="auto"/>
              <w:ind w:firstLine="0" w:firstLineChars="0"/>
              <w:jc w:val="center"/>
              <w:rPr>
                <w:rFonts w:hint="default" w:ascii="Times New Roman" w:hAnsi="Times New Roman" w:cs="Times New Roman" w:eastAsiaTheme="minorEastAsia"/>
                <w:b w:val="0"/>
                <w:bCs w:val="0"/>
                <w:snapToGrid w:val="0"/>
                <w:color w:val="000000"/>
                <w:kern w:val="0"/>
                <w:sz w:val="21"/>
                <w:szCs w:val="21"/>
              </w:rPr>
            </w:pPr>
            <w:r>
              <w:rPr>
                <w:rFonts w:hint="default" w:ascii="Times New Roman" w:hAnsi="Times New Roman" w:cs="Times New Roman" w:eastAsiaTheme="minorEastAsia"/>
                <w:b w:val="0"/>
                <w:bCs w:val="0"/>
                <w:spacing w:val="-5"/>
                <w:sz w:val="21"/>
                <w:szCs w:val="21"/>
              </w:rPr>
              <w:t>合计</w:t>
            </w:r>
          </w:p>
        </w:tc>
        <w:tc>
          <w:tcPr>
            <w:tcW w:w="2059" w:type="dxa"/>
            <w:vAlign w:val="top"/>
          </w:tcPr>
          <w:p>
            <w:pPr>
              <w:spacing w:before="0" w:line="240" w:lineRule="auto"/>
              <w:ind w:firstLine="0" w:firstLineChars="0"/>
              <w:jc w:val="center"/>
              <w:rPr>
                <w:rFonts w:hint="default" w:ascii="Times New Roman" w:hAnsi="Times New Roman" w:cs="Times New Roman" w:eastAsiaTheme="minorEastAsia"/>
                <w:b w:val="0"/>
                <w:bCs w:val="0"/>
                <w:snapToGrid w:val="0"/>
                <w:color w:val="000000"/>
                <w:kern w:val="0"/>
                <w:sz w:val="21"/>
                <w:szCs w:val="21"/>
                <w:lang w:val="en-US" w:eastAsia="zh-CN"/>
              </w:rPr>
            </w:pPr>
            <w:r>
              <w:rPr>
                <w:rFonts w:hint="default" w:ascii="Times New Roman" w:hAnsi="Times New Roman" w:cs="Times New Roman" w:eastAsiaTheme="minorEastAsia"/>
                <w:b w:val="0"/>
                <w:bCs w:val="0"/>
                <w:spacing w:val="1"/>
                <w:sz w:val="21"/>
                <w:szCs w:val="21"/>
                <w:lang w:val="en-US" w:eastAsia="zh-CN"/>
              </w:rPr>
              <w:t>100.49</w:t>
            </w:r>
          </w:p>
        </w:tc>
      </w:tr>
    </w:tbl>
    <w:p>
      <w:pPr>
        <w:pStyle w:val="4"/>
        <w:bidi w:val="0"/>
        <w:rPr>
          <w:rFonts w:hint="default"/>
          <w:lang w:val="en-US" w:eastAsia="zh-CN"/>
        </w:rPr>
      </w:pPr>
      <w:bookmarkStart w:id="37" w:name="_Toc2641"/>
      <w:bookmarkStart w:id="38" w:name="_Toc18431"/>
      <w:bookmarkStart w:id="39" w:name="_Toc3789"/>
      <w:r>
        <w:rPr>
          <w:rFonts w:hint="default"/>
          <w:lang w:val="en-US" w:eastAsia="zh-CN"/>
        </w:rPr>
        <w:t>（三）资金管理情况</w:t>
      </w:r>
      <w:bookmarkEnd w:id="37"/>
      <w:bookmarkEnd w:id="38"/>
      <w:bookmarkEnd w:id="39"/>
    </w:p>
    <w:p>
      <w:pPr>
        <w:numPr>
          <w:ilvl w:val="0"/>
          <w:numId w:val="0"/>
        </w:numPr>
        <w:ind w:firstLine="620" w:firstLineChars="200"/>
        <w:jc w:val="both"/>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1"/>
          <w:szCs w:val="31"/>
          <w:lang w:val="en-US" w:eastAsia="zh-CN"/>
        </w:rPr>
        <w:t>邵阳市北塔区商务局制定了《财务管理制度》，严格按照有关财务制度，加强机关财务管理，规范公务接待行为，节约使用资金，降低行政成本。</w:t>
      </w:r>
    </w:p>
    <w:p>
      <w:pPr>
        <w:pStyle w:val="3"/>
        <w:numPr>
          <w:ilvl w:val="0"/>
          <w:numId w:val="0"/>
        </w:numPr>
        <w:ind w:firstLine="622" w:firstLineChars="200"/>
        <w:jc w:val="both"/>
        <w:outlineLvl w:val="0"/>
        <w:rPr>
          <w:rFonts w:hint="default" w:ascii="Times New Roman" w:hAnsi="Times New Roman" w:eastAsia="黑体" w:cs="Times New Roman"/>
          <w:b/>
          <w:bCs/>
          <w:kern w:val="2"/>
          <w:sz w:val="31"/>
          <w:szCs w:val="31"/>
          <w:lang w:val="en-US" w:eastAsia="zh-CN" w:bidi="ar-SA"/>
        </w:rPr>
      </w:pPr>
      <w:bookmarkStart w:id="40" w:name="_Toc15585"/>
      <w:bookmarkStart w:id="41" w:name="_Toc6424"/>
      <w:bookmarkStart w:id="42" w:name="_Toc2541"/>
      <w:r>
        <w:rPr>
          <w:rFonts w:hint="default" w:ascii="Times New Roman" w:hAnsi="Times New Roman" w:eastAsia="黑体" w:cs="Times New Roman"/>
          <w:b/>
          <w:bCs/>
          <w:kern w:val="2"/>
          <w:sz w:val="31"/>
          <w:szCs w:val="31"/>
          <w:lang w:val="en-US" w:eastAsia="zh-CN" w:bidi="ar-SA"/>
        </w:rPr>
        <w:t>三、</w:t>
      </w:r>
      <w:r>
        <w:rPr>
          <w:rFonts w:hint="default" w:ascii="Times New Roman" w:hAnsi="Times New Roman" w:eastAsia="黑体" w:cs="Times New Roman"/>
          <w:b/>
          <w:bCs w:val="0"/>
          <w:kern w:val="44"/>
          <w:sz w:val="32"/>
          <w:szCs w:val="24"/>
          <w:lang w:val="en-US" w:eastAsia="zh-CN" w:bidi="ar-SA"/>
        </w:rPr>
        <w:t>制度</w:t>
      </w:r>
      <w:r>
        <w:rPr>
          <w:rFonts w:hint="default" w:ascii="Times New Roman" w:hAnsi="Times New Roman" w:eastAsia="黑体" w:cs="Times New Roman"/>
          <w:b/>
          <w:bCs/>
          <w:kern w:val="2"/>
          <w:sz w:val="31"/>
          <w:szCs w:val="31"/>
          <w:lang w:val="en-US" w:eastAsia="zh-CN" w:bidi="ar-SA"/>
        </w:rPr>
        <w:t>建设情况</w:t>
      </w:r>
      <w:bookmarkEnd w:id="40"/>
      <w:bookmarkEnd w:id="41"/>
      <w:bookmarkEnd w:id="42"/>
    </w:p>
    <w:p>
      <w:pPr>
        <w:pStyle w:val="4"/>
        <w:bidi w:val="0"/>
        <w:rPr>
          <w:rFonts w:hint="default"/>
          <w:lang w:val="en-US" w:eastAsia="zh-CN"/>
        </w:rPr>
      </w:pPr>
      <w:bookmarkStart w:id="43" w:name="_Toc10315"/>
      <w:bookmarkStart w:id="44" w:name="_Toc27260"/>
      <w:bookmarkStart w:id="45" w:name="_Toc19416"/>
      <w:r>
        <w:rPr>
          <w:rFonts w:hint="default"/>
          <w:lang w:val="en-US" w:eastAsia="zh-CN"/>
        </w:rPr>
        <w:t>（一）内控制度建设情况</w:t>
      </w:r>
      <w:bookmarkEnd w:id="43"/>
      <w:bookmarkEnd w:id="44"/>
    </w:p>
    <w:p>
      <w:pPr>
        <w:numPr>
          <w:ilvl w:val="0"/>
          <w:numId w:val="0"/>
        </w:numPr>
        <w:ind w:firstLine="620" w:firstLineChars="200"/>
        <w:jc w:val="both"/>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1"/>
          <w:szCs w:val="31"/>
          <w:lang w:val="en-US" w:eastAsia="zh-CN"/>
        </w:rPr>
        <w:t>邵阳市北塔区商务局</w:t>
      </w:r>
      <w:r>
        <w:rPr>
          <w:rFonts w:hint="default" w:ascii="Times New Roman" w:hAnsi="Times New Roman" w:eastAsia="仿宋" w:cs="Times New Roman"/>
          <w:b w:val="0"/>
          <w:bCs w:val="0"/>
          <w:sz w:val="32"/>
          <w:szCs w:val="32"/>
          <w:lang w:val="en-US" w:eastAsia="zh-CN"/>
        </w:rPr>
        <w:t>制定了《北塔区商务局内部控制制度》，主要对部门采购的管理机构及职责、组织形式与方式、政府采购预算、政府采购实施计划、采购审批流程、政府集中采购、部门集中及单位分散采购、政府采购合同、采购验收与结算等方面做出了具体规定。</w:t>
      </w:r>
      <w:bookmarkEnd w:id="45"/>
    </w:p>
    <w:p>
      <w:pPr>
        <w:pStyle w:val="4"/>
        <w:numPr>
          <w:ilvl w:val="0"/>
          <w:numId w:val="0"/>
        </w:numPr>
        <w:ind w:firstLine="622" w:firstLineChars="200"/>
        <w:jc w:val="both"/>
        <w:outlineLvl w:val="1"/>
        <w:rPr>
          <w:rFonts w:hint="default" w:ascii="Times New Roman" w:hAnsi="Times New Roman" w:eastAsia="楷体" w:cs="Times New Roman"/>
          <w:b/>
          <w:bCs/>
          <w:sz w:val="31"/>
          <w:szCs w:val="31"/>
          <w:lang w:val="en-US" w:eastAsia="zh-CN"/>
        </w:rPr>
      </w:pPr>
      <w:bookmarkStart w:id="46" w:name="_Toc18084"/>
      <w:bookmarkStart w:id="47" w:name="_Toc25681"/>
      <w:bookmarkStart w:id="48" w:name="_Toc6411"/>
      <w:r>
        <w:rPr>
          <w:rFonts w:hint="default" w:ascii="Times New Roman" w:hAnsi="Times New Roman" w:eastAsia="楷体" w:cs="Times New Roman"/>
          <w:b/>
          <w:bCs/>
          <w:sz w:val="31"/>
          <w:szCs w:val="31"/>
          <w:lang w:val="en-US" w:eastAsia="zh-CN"/>
        </w:rPr>
        <w:t>（二）财务管理制度及机关日常制度建设情况</w:t>
      </w:r>
      <w:bookmarkEnd w:id="46"/>
      <w:bookmarkEnd w:id="47"/>
      <w:bookmarkEnd w:id="48"/>
    </w:p>
    <w:p>
      <w:pPr>
        <w:numPr>
          <w:ilvl w:val="0"/>
          <w:numId w:val="0"/>
        </w:numPr>
        <w:ind w:firstLine="620" w:firstLineChars="200"/>
        <w:jc w:val="both"/>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1"/>
          <w:szCs w:val="31"/>
          <w:lang w:val="en-US" w:eastAsia="zh-CN"/>
        </w:rPr>
        <w:t>邵阳市北塔区商务局制定了《邵阳市北塔区商务局工作制度》，其中包含《财务管理制度》《资金管理制度》《“三重一大”集体决策制度》等各项工作制度</w:t>
      </w:r>
      <w:r>
        <w:rPr>
          <w:rFonts w:hint="eastAsia" w:cs="Times New Roman"/>
          <w:b w:val="0"/>
          <w:bCs w:val="0"/>
          <w:sz w:val="31"/>
          <w:szCs w:val="31"/>
          <w:lang w:val="en-US" w:eastAsia="zh-CN"/>
        </w:rPr>
        <w:t>，</w:t>
      </w:r>
      <w:r>
        <w:rPr>
          <w:rFonts w:hint="default" w:ascii="Times New Roman" w:hAnsi="Times New Roman" w:eastAsia="仿宋" w:cs="Times New Roman"/>
          <w:b w:val="0"/>
          <w:bCs w:val="0"/>
          <w:sz w:val="31"/>
          <w:szCs w:val="31"/>
          <w:lang w:val="en-US" w:eastAsia="zh-CN"/>
        </w:rPr>
        <w:t>对机关资产管理、财务管理、日常管理等做出了具体规定。</w:t>
      </w:r>
    </w:p>
    <w:p>
      <w:pPr>
        <w:pStyle w:val="4"/>
        <w:numPr>
          <w:ilvl w:val="0"/>
          <w:numId w:val="0"/>
        </w:numPr>
        <w:ind w:firstLine="622" w:firstLineChars="200"/>
        <w:jc w:val="both"/>
        <w:outlineLvl w:val="1"/>
        <w:rPr>
          <w:rFonts w:hint="default" w:ascii="Times New Roman" w:hAnsi="Times New Roman" w:eastAsia="楷体" w:cs="Times New Roman"/>
          <w:b/>
          <w:bCs/>
          <w:sz w:val="31"/>
          <w:szCs w:val="31"/>
          <w:lang w:val="en-US" w:eastAsia="zh-CN"/>
        </w:rPr>
      </w:pPr>
      <w:bookmarkStart w:id="49" w:name="_Toc14479"/>
      <w:bookmarkStart w:id="50" w:name="_Toc14575"/>
      <w:bookmarkStart w:id="51" w:name="_Toc17737"/>
      <w:r>
        <w:rPr>
          <w:rFonts w:hint="default" w:ascii="Times New Roman" w:hAnsi="Times New Roman" w:eastAsia="楷体" w:cs="Times New Roman"/>
          <w:b/>
          <w:bCs/>
          <w:sz w:val="31"/>
          <w:szCs w:val="31"/>
          <w:lang w:val="en-US" w:eastAsia="zh-CN"/>
        </w:rPr>
        <w:t>（三）资产</w:t>
      </w:r>
      <w:r>
        <w:rPr>
          <w:rFonts w:hint="default" w:ascii="Times New Roman" w:hAnsi="Times New Roman" w:eastAsia="楷体" w:cs="Times New Roman"/>
          <w:b/>
          <w:bCs w:val="0"/>
          <w:sz w:val="32"/>
          <w:szCs w:val="24"/>
          <w:lang w:val="en-US" w:eastAsia="zh-CN"/>
        </w:rPr>
        <w:t>管理</w:t>
      </w:r>
      <w:r>
        <w:rPr>
          <w:rFonts w:hint="default" w:ascii="Times New Roman" w:hAnsi="Times New Roman" w:eastAsia="楷体" w:cs="Times New Roman"/>
          <w:b/>
          <w:bCs/>
          <w:sz w:val="31"/>
          <w:szCs w:val="31"/>
          <w:lang w:val="en-US" w:eastAsia="zh-CN"/>
        </w:rPr>
        <w:t>制度建设及使用情况</w:t>
      </w:r>
      <w:bookmarkEnd w:id="49"/>
      <w:bookmarkEnd w:id="50"/>
      <w:bookmarkEnd w:id="51"/>
    </w:p>
    <w:p>
      <w:pPr>
        <w:numPr>
          <w:ilvl w:val="0"/>
          <w:numId w:val="0"/>
        </w:numPr>
        <w:ind w:firstLine="620" w:firstLineChars="200"/>
        <w:jc w:val="both"/>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1"/>
          <w:szCs w:val="31"/>
          <w:lang w:val="en-US" w:eastAsia="zh-CN"/>
        </w:rPr>
        <w:t>邵阳市北塔区商务局为了加强和规范国有资产管理，保障国有资产的安全完整，推进节约型机关建设，根据财政部《行政事业单位国有资产管理暂行办法》和《行政事业单位内部控制规范（试行）》要求，</w:t>
      </w:r>
      <w:r>
        <w:rPr>
          <w:rFonts w:hint="default" w:ascii="Times New Roman" w:hAnsi="Times New Roman" w:eastAsia="仿宋" w:cs="Times New Roman"/>
          <w:b w:val="0"/>
          <w:bCs w:val="0"/>
          <w:sz w:val="32"/>
          <w:szCs w:val="32"/>
          <w:lang w:val="en-US" w:eastAsia="zh-CN"/>
        </w:rPr>
        <w:t>在《财务管理制度》对有关资产管理进行了规定。</w:t>
      </w:r>
    </w:p>
    <w:p>
      <w:pPr>
        <w:numPr>
          <w:ilvl w:val="0"/>
          <w:numId w:val="0"/>
        </w:numPr>
        <w:ind w:firstLine="620" w:firstLineChars="200"/>
        <w:jc w:val="both"/>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1"/>
          <w:szCs w:val="31"/>
          <w:lang w:val="en-US" w:eastAsia="zh-CN"/>
        </w:rPr>
        <w:t>截至2022年12月31日，邵阳市北塔区商务局固定资产账面原值17.83万元。其中：通用设备12.66万元；家具、用具、装具及动植物5.17万元。固定资产在用17.83万元、闲置0.00万元，资产使用率100%。</w:t>
      </w:r>
    </w:p>
    <w:p>
      <w:pPr>
        <w:pStyle w:val="4"/>
        <w:numPr>
          <w:ilvl w:val="0"/>
          <w:numId w:val="0"/>
        </w:numPr>
        <w:ind w:firstLine="622" w:firstLineChars="200"/>
        <w:jc w:val="both"/>
        <w:outlineLvl w:val="1"/>
        <w:rPr>
          <w:rFonts w:hint="default" w:ascii="Times New Roman" w:hAnsi="Times New Roman" w:eastAsia="楷体" w:cs="Times New Roman"/>
          <w:b/>
          <w:bCs/>
          <w:sz w:val="31"/>
          <w:szCs w:val="31"/>
          <w:lang w:val="en-US" w:eastAsia="zh-CN"/>
        </w:rPr>
      </w:pPr>
      <w:bookmarkStart w:id="52" w:name="_Toc22931"/>
      <w:bookmarkStart w:id="53" w:name="_Toc17321"/>
      <w:bookmarkStart w:id="54" w:name="_Toc16843"/>
      <w:r>
        <w:rPr>
          <w:rFonts w:hint="default" w:ascii="Times New Roman" w:hAnsi="Times New Roman" w:eastAsia="楷体" w:cs="Times New Roman"/>
          <w:b/>
          <w:bCs/>
          <w:sz w:val="31"/>
          <w:szCs w:val="31"/>
          <w:lang w:val="en-US" w:eastAsia="zh-CN"/>
        </w:rPr>
        <w:t>（四）政府</w:t>
      </w:r>
      <w:r>
        <w:rPr>
          <w:rFonts w:hint="default" w:ascii="Times New Roman" w:hAnsi="Times New Roman" w:eastAsia="楷体" w:cs="Times New Roman"/>
          <w:b/>
          <w:bCs w:val="0"/>
          <w:sz w:val="32"/>
          <w:szCs w:val="24"/>
          <w:lang w:val="en-US" w:eastAsia="zh-CN"/>
        </w:rPr>
        <w:t>采购</w:t>
      </w:r>
      <w:r>
        <w:rPr>
          <w:rFonts w:hint="default" w:ascii="Times New Roman" w:hAnsi="Times New Roman" w:eastAsia="楷体" w:cs="Times New Roman"/>
          <w:b/>
          <w:bCs/>
          <w:sz w:val="31"/>
          <w:szCs w:val="31"/>
          <w:lang w:val="en-US" w:eastAsia="zh-CN"/>
        </w:rPr>
        <w:t>制度建设情况</w:t>
      </w:r>
      <w:bookmarkEnd w:id="52"/>
      <w:bookmarkEnd w:id="53"/>
      <w:bookmarkEnd w:id="54"/>
    </w:p>
    <w:p>
      <w:pPr>
        <w:numPr>
          <w:ilvl w:val="0"/>
          <w:numId w:val="0"/>
        </w:numPr>
        <w:ind w:firstLine="620" w:firstLineChars="200"/>
        <w:jc w:val="both"/>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1"/>
          <w:szCs w:val="31"/>
          <w:lang w:val="en-US" w:eastAsia="zh-CN"/>
        </w:rPr>
        <w:t>邵阳市北塔区商务局</w:t>
      </w:r>
      <w:r>
        <w:rPr>
          <w:rFonts w:hint="default" w:ascii="Times New Roman" w:hAnsi="Times New Roman" w:eastAsia="仿宋" w:cs="Times New Roman"/>
          <w:b w:val="0"/>
          <w:bCs w:val="0"/>
          <w:sz w:val="32"/>
          <w:szCs w:val="32"/>
          <w:lang w:val="en-US" w:eastAsia="zh-CN"/>
        </w:rPr>
        <w:t>在《内部控制制度》中明确了政府采购相关规定。</w:t>
      </w:r>
    </w:p>
    <w:p>
      <w:pPr>
        <w:pStyle w:val="3"/>
        <w:numPr>
          <w:ilvl w:val="0"/>
          <w:numId w:val="0"/>
        </w:numPr>
        <w:ind w:firstLine="622" w:firstLineChars="200"/>
        <w:jc w:val="both"/>
        <w:outlineLvl w:val="0"/>
        <w:rPr>
          <w:rFonts w:hint="default" w:ascii="Times New Roman" w:hAnsi="Times New Roman" w:eastAsia="仿宋" w:cs="Times New Roman"/>
          <w:b w:val="0"/>
          <w:bCs w:val="0"/>
          <w:sz w:val="31"/>
          <w:szCs w:val="31"/>
          <w:lang w:val="en-US" w:eastAsia="zh-CN"/>
        </w:rPr>
      </w:pPr>
      <w:bookmarkStart w:id="55" w:name="_Toc13442"/>
      <w:bookmarkStart w:id="56" w:name="_Toc6954"/>
      <w:bookmarkStart w:id="57" w:name="_Toc28880"/>
      <w:r>
        <w:rPr>
          <w:rFonts w:hint="default" w:ascii="Times New Roman" w:hAnsi="Times New Roman" w:eastAsia="黑体" w:cs="Times New Roman"/>
          <w:b/>
          <w:bCs/>
          <w:kern w:val="2"/>
          <w:sz w:val="31"/>
          <w:szCs w:val="31"/>
          <w:lang w:val="en-US" w:eastAsia="zh-CN" w:bidi="ar-SA"/>
        </w:rPr>
        <w:t>四、第三方重点绩效评价工作情况</w:t>
      </w:r>
      <w:bookmarkEnd w:id="55"/>
      <w:bookmarkEnd w:id="56"/>
      <w:bookmarkEnd w:id="57"/>
    </w:p>
    <w:p>
      <w:pPr>
        <w:pStyle w:val="4"/>
        <w:numPr>
          <w:ilvl w:val="0"/>
          <w:numId w:val="0"/>
        </w:numPr>
        <w:ind w:firstLine="622" w:firstLineChars="200"/>
        <w:jc w:val="both"/>
        <w:outlineLvl w:val="1"/>
        <w:rPr>
          <w:rFonts w:hint="default" w:ascii="Times New Roman" w:hAnsi="Times New Roman" w:eastAsia="仿宋" w:cs="Times New Roman"/>
          <w:b w:val="0"/>
          <w:bCs w:val="0"/>
          <w:sz w:val="31"/>
          <w:szCs w:val="31"/>
          <w:lang w:val="en-US" w:eastAsia="zh-CN"/>
        </w:rPr>
      </w:pPr>
      <w:bookmarkStart w:id="58" w:name="_Toc15712"/>
      <w:bookmarkStart w:id="59" w:name="_Toc25649"/>
      <w:bookmarkStart w:id="60" w:name="_Toc27478"/>
      <w:r>
        <w:rPr>
          <w:rFonts w:hint="default" w:ascii="Times New Roman" w:hAnsi="Times New Roman" w:eastAsia="楷体" w:cs="Times New Roman"/>
          <w:b/>
          <w:bCs/>
          <w:sz w:val="31"/>
          <w:szCs w:val="31"/>
          <w:lang w:val="en-US" w:eastAsia="zh-CN"/>
        </w:rPr>
        <w:t>（一）重点绩效评价目的</w:t>
      </w:r>
      <w:bookmarkEnd w:id="58"/>
      <w:bookmarkEnd w:id="59"/>
      <w:bookmarkEnd w:id="60"/>
    </w:p>
    <w:p>
      <w:pPr>
        <w:numPr>
          <w:ilvl w:val="0"/>
          <w:numId w:val="0"/>
        </w:numPr>
        <w:ind w:firstLine="620" w:firstLineChars="200"/>
        <w:jc w:val="both"/>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1"/>
          <w:szCs w:val="31"/>
          <w:lang w:val="en-US" w:eastAsia="zh-CN"/>
        </w:rPr>
        <w:t>通过开展第三方重点绩效评价，全面了解、分析部门</w:t>
      </w:r>
      <w:r>
        <w:rPr>
          <w:rFonts w:hint="eastAsia" w:cs="Times New Roman"/>
          <w:b w:val="0"/>
          <w:bCs w:val="0"/>
          <w:sz w:val="31"/>
          <w:szCs w:val="31"/>
          <w:lang w:val="en-US" w:eastAsia="zh-CN"/>
        </w:rPr>
        <w:t>整体</w:t>
      </w:r>
      <w:r>
        <w:rPr>
          <w:rFonts w:hint="default" w:ascii="Times New Roman" w:hAnsi="Times New Roman" w:eastAsia="仿宋" w:cs="Times New Roman"/>
          <w:b w:val="0"/>
          <w:bCs w:val="0"/>
          <w:sz w:val="31"/>
          <w:szCs w:val="31"/>
          <w:lang w:val="en-US" w:eastAsia="zh-CN"/>
        </w:rPr>
        <w:t>支出情况，包括部门基本支出和项目支出。主要是部门财政支出管理情况，具体从资金的投入、过程、产出和效果四个方面进行评价。重点评价关注贯彻落实厉行节约、严控“三公”经费、降低一般运行经费、加强项目支出管理等方面取得的成绩、存在的问题及改进措施。增强职能设置科学合理性、部门中长期财政规划适应性、年度工作计划科学完整性、年度绩效目标明确性、年度部门预算计划科学性，规划部门预算执行管理、内部制度管理，切实提高部门产出及效益。</w:t>
      </w:r>
    </w:p>
    <w:p>
      <w:pPr>
        <w:pStyle w:val="4"/>
        <w:numPr>
          <w:ilvl w:val="0"/>
          <w:numId w:val="0"/>
        </w:numPr>
        <w:ind w:firstLine="622" w:firstLineChars="200"/>
        <w:jc w:val="both"/>
        <w:outlineLvl w:val="1"/>
        <w:rPr>
          <w:rFonts w:hint="default" w:ascii="Times New Roman" w:hAnsi="Times New Roman" w:eastAsia="楷体" w:cs="Times New Roman"/>
          <w:b/>
          <w:bCs/>
          <w:sz w:val="31"/>
          <w:szCs w:val="31"/>
          <w:lang w:val="en-US" w:eastAsia="zh-CN"/>
        </w:rPr>
      </w:pPr>
      <w:bookmarkStart w:id="61" w:name="_Toc26498"/>
      <w:bookmarkStart w:id="62" w:name="_Toc5525"/>
      <w:bookmarkStart w:id="63" w:name="_Toc25695"/>
      <w:r>
        <w:rPr>
          <w:rFonts w:hint="default" w:ascii="Times New Roman" w:hAnsi="Times New Roman" w:eastAsia="楷体" w:cs="Times New Roman"/>
          <w:b/>
          <w:bCs/>
          <w:sz w:val="31"/>
          <w:szCs w:val="31"/>
          <w:lang w:val="en-US" w:eastAsia="zh-CN"/>
        </w:rPr>
        <w:t>（二）重点</w:t>
      </w:r>
      <w:r>
        <w:rPr>
          <w:rFonts w:hint="default" w:ascii="Times New Roman" w:hAnsi="Times New Roman" w:eastAsia="楷体" w:cs="Times New Roman"/>
          <w:b/>
          <w:bCs w:val="0"/>
          <w:sz w:val="32"/>
          <w:szCs w:val="24"/>
          <w:lang w:val="en-US" w:eastAsia="zh-CN"/>
        </w:rPr>
        <w:t>绩效</w:t>
      </w:r>
      <w:r>
        <w:rPr>
          <w:rFonts w:hint="default" w:ascii="Times New Roman" w:hAnsi="Times New Roman" w:eastAsia="楷体" w:cs="Times New Roman"/>
          <w:b/>
          <w:bCs/>
          <w:sz w:val="31"/>
          <w:szCs w:val="31"/>
          <w:lang w:val="en-US" w:eastAsia="zh-CN"/>
        </w:rPr>
        <w:t>评价工作过程</w:t>
      </w:r>
      <w:bookmarkEnd w:id="61"/>
      <w:bookmarkEnd w:id="62"/>
      <w:bookmarkEnd w:id="63"/>
    </w:p>
    <w:p>
      <w:pPr>
        <w:numPr>
          <w:ilvl w:val="0"/>
          <w:numId w:val="0"/>
        </w:numPr>
        <w:ind w:firstLine="640" w:firstLineChars="200"/>
        <w:jc w:val="both"/>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2"/>
          <w:szCs w:val="32"/>
          <w:lang w:val="en-US" w:eastAsia="zh-CN"/>
        </w:rPr>
        <w:t>参考</w:t>
      </w:r>
      <w:r>
        <w:rPr>
          <w:rFonts w:hint="default" w:ascii="Times New Roman" w:hAnsi="Times New Roman" w:eastAsia="仿宋_GB2312" w:cs="Times New Roman"/>
          <w:sz w:val="32"/>
          <w:szCs w:val="32"/>
          <w:lang w:val="en-US" w:eastAsia="zh-CN"/>
        </w:rPr>
        <w:t>《湖南省财政厅关于印发&lt;湖南省预算支出绩效评价管理办法&gt;的通知》（湘财绩〔2020〕7号）</w:t>
      </w:r>
      <w:r>
        <w:rPr>
          <w:rFonts w:hint="default" w:ascii="Times New Roman" w:hAnsi="Times New Roman" w:eastAsia="仿宋" w:cs="Times New Roman"/>
          <w:b w:val="0"/>
          <w:bCs w:val="0"/>
          <w:sz w:val="32"/>
          <w:szCs w:val="32"/>
          <w:lang w:val="en-US" w:eastAsia="zh-CN"/>
        </w:rPr>
        <w:t>的要求和相关政策规定，我所按下列步骤开展了绩效评价工作：</w:t>
      </w:r>
    </w:p>
    <w:p>
      <w:pPr>
        <w:pStyle w:val="5"/>
        <w:numPr>
          <w:ilvl w:val="0"/>
          <w:numId w:val="0"/>
        </w:numPr>
        <w:ind w:firstLine="602" w:firstLineChars="200"/>
        <w:jc w:val="both"/>
        <w:rPr>
          <w:rFonts w:hint="default" w:ascii="Times New Roman" w:hAnsi="Times New Roman" w:eastAsia="仿宋" w:cs="Times New Roman"/>
          <w:b w:val="0"/>
          <w:bCs w:val="0"/>
          <w:sz w:val="31"/>
          <w:szCs w:val="31"/>
          <w:lang w:val="en-US" w:eastAsia="zh-CN"/>
        </w:rPr>
      </w:pPr>
      <w:bookmarkStart w:id="64" w:name="_Toc1043"/>
      <w:bookmarkStart w:id="65" w:name="_Toc9111"/>
      <w:r>
        <w:rPr>
          <w:rFonts w:hint="default" w:ascii="Times New Roman" w:hAnsi="Times New Roman" w:eastAsia="仿宋" w:cs="Times New Roman"/>
          <w:b/>
          <w:bCs/>
          <w:sz w:val="30"/>
          <w:szCs w:val="30"/>
          <w:lang w:val="en-US" w:eastAsia="zh-CN"/>
        </w:rPr>
        <w:t>1、前期准备。</w:t>
      </w:r>
      <w:r>
        <w:rPr>
          <w:rFonts w:hint="default" w:ascii="Times New Roman" w:hAnsi="Times New Roman" w:eastAsia="仿宋" w:cs="Times New Roman"/>
          <w:b w:val="0"/>
          <w:bCs w:val="0"/>
          <w:sz w:val="31"/>
          <w:szCs w:val="31"/>
          <w:lang w:val="en-US" w:eastAsia="zh-CN"/>
        </w:rPr>
        <w:t>专人成立重点绩效评价工作小组，明确了工作职责，制定了现场评价方案，并设计了相关表格，通过联系相关单位，确定了绩效评价的实施时间。</w:t>
      </w:r>
      <w:bookmarkEnd w:id="64"/>
      <w:bookmarkEnd w:id="65"/>
    </w:p>
    <w:p>
      <w:pPr>
        <w:pStyle w:val="5"/>
        <w:numPr>
          <w:ilvl w:val="0"/>
          <w:numId w:val="0"/>
        </w:numPr>
        <w:ind w:firstLine="602" w:firstLineChars="200"/>
        <w:jc w:val="both"/>
        <w:rPr>
          <w:rFonts w:hint="default" w:ascii="Times New Roman" w:hAnsi="Times New Roman" w:eastAsia="仿宋" w:cs="Times New Roman"/>
          <w:b w:val="0"/>
          <w:bCs w:val="0"/>
          <w:sz w:val="31"/>
          <w:szCs w:val="31"/>
          <w:lang w:val="en-US" w:eastAsia="zh-CN"/>
        </w:rPr>
      </w:pPr>
      <w:bookmarkStart w:id="66" w:name="_Toc6760"/>
      <w:bookmarkStart w:id="67" w:name="_Toc16920"/>
      <w:r>
        <w:rPr>
          <w:rFonts w:hint="default" w:ascii="Times New Roman" w:hAnsi="Times New Roman" w:eastAsia="仿宋" w:cs="Times New Roman"/>
          <w:b/>
          <w:bCs/>
          <w:sz w:val="30"/>
          <w:szCs w:val="30"/>
          <w:lang w:val="en-US" w:eastAsia="zh-CN"/>
        </w:rPr>
        <w:t>2、具体实施。</w:t>
      </w:r>
      <w:r>
        <w:rPr>
          <w:rFonts w:hint="default" w:ascii="Times New Roman" w:hAnsi="Times New Roman" w:eastAsia="仿宋" w:cs="Times New Roman"/>
          <w:b w:val="0"/>
          <w:bCs w:val="0"/>
          <w:sz w:val="31"/>
          <w:szCs w:val="31"/>
          <w:lang w:val="en-US" w:eastAsia="zh-CN"/>
        </w:rPr>
        <w:t>一是收集、检查单位资料。收集单位三定方案、制度建设、资金拨付明细、预决算报表、工作计划与总结等资料；核查相关制度是否完善，专项项目申报、审批、实施、验收等程序是否合规，资金拨付手续是否齐全，是否存在截留、挪用等情况；二是进入单位实地查看。通关与相关负责人员面对面交谈、现场查看区商务局单位专项项目实施等方式，采集了相关数据，核查了资金使用、相关制度落实等情况；三是形成评价报告。通过对相关资料进行综合分析，按照确定的评价指标和标准，结合现场评价情况，得出评价结论，形成绩效评价报告。</w:t>
      </w:r>
      <w:bookmarkEnd w:id="66"/>
      <w:bookmarkEnd w:id="67"/>
    </w:p>
    <w:p>
      <w:pPr>
        <w:pStyle w:val="3"/>
        <w:numPr>
          <w:ilvl w:val="0"/>
          <w:numId w:val="0"/>
        </w:numPr>
        <w:ind w:firstLine="622" w:firstLineChars="200"/>
        <w:jc w:val="both"/>
        <w:outlineLvl w:val="0"/>
        <w:rPr>
          <w:rFonts w:hint="default" w:ascii="Times New Roman" w:hAnsi="Times New Roman" w:eastAsia="仿宋" w:cs="Times New Roman"/>
          <w:b w:val="0"/>
          <w:bCs w:val="0"/>
          <w:sz w:val="31"/>
          <w:szCs w:val="31"/>
          <w:lang w:val="en-US" w:eastAsia="zh-CN"/>
        </w:rPr>
      </w:pPr>
      <w:bookmarkStart w:id="68" w:name="_Toc13440"/>
      <w:bookmarkStart w:id="69" w:name="_Toc13449"/>
      <w:bookmarkStart w:id="70" w:name="_Toc10184"/>
      <w:r>
        <w:rPr>
          <w:rFonts w:hint="default" w:ascii="Times New Roman" w:hAnsi="Times New Roman" w:eastAsia="黑体" w:cs="Times New Roman"/>
          <w:b/>
          <w:bCs/>
          <w:kern w:val="2"/>
          <w:sz w:val="31"/>
          <w:szCs w:val="31"/>
          <w:lang w:val="en-US" w:eastAsia="zh-CN" w:bidi="ar-SA"/>
        </w:rPr>
        <w:t>五、部门整体</w:t>
      </w:r>
      <w:r>
        <w:rPr>
          <w:rFonts w:hint="default" w:ascii="Times New Roman" w:hAnsi="Times New Roman" w:eastAsia="黑体" w:cs="Times New Roman"/>
          <w:b/>
          <w:bCs w:val="0"/>
          <w:kern w:val="44"/>
          <w:sz w:val="32"/>
          <w:szCs w:val="24"/>
          <w:lang w:val="en-US" w:eastAsia="zh-CN" w:bidi="ar-SA"/>
        </w:rPr>
        <w:t>支出</w:t>
      </w:r>
      <w:r>
        <w:rPr>
          <w:rFonts w:hint="default" w:ascii="Times New Roman" w:hAnsi="Times New Roman" w:eastAsia="黑体" w:cs="Times New Roman"/>
          <w:b/>
          <w:bCs/>
          <w:kern w:val="2"/>
          <w:sz w:val="31"/>
          <w:szCs w:val="31"/>
          <w:lang w:val="en-US" w:eastAsia="zh-CN" w:bidi="ar-SA"/>
        </w:rPr>
        <w:t>绩效情况</w:t>
      </w:r>
      <w:bookmarkEnd w:id="68"/>
      <w:bookmarkEnd w:id="69"/>
      <w:bookmarkEnd w:id="70"/>
    </w:p>
    <w:p>
      <w:pPr>
        <w:pStyle w:val="4"/>
        <w:numPr>
          <w:ilvl w:val="0"/>
          <w:numId w:val="0"/>
        </w:numPr>
        <w:ind w:firstLine="622" w:firstLineChars="200"/>
        <w:jc w:val="both"/>
        <w:outlineLvl w:val="1"/>
        <w:rPr>
          <w:rFonts w:hint="default" w:ascii="Times New Roman" w:hAnsi="Times New Roman" w:eastAsia="楷体" w:cs="Times New Roman"/>
          <w:b/>
          <w:bCs/>
          <w:sz w:val="31"/>
          <w:szCs w:val="31"/>
          <w:lang w:val="en-US" w:eastAsia="zh-CN"/>
        </w:rPr>
      </w:pPr>
      <w:bookmarkStart w:id="71" w:name="_Toc22140"/>
      <w:bookmarkStart w:id="72" w:name="_Toc18132"/>
      <w:bookmarkStart w:id="73" w:name="_Toc29943"/>
      <w:r>
        <w:rPr>
          <w:rFonts w:hint="default" w:ascii="Times New Roman" w:hAnsi="Times New Roman" w:eastAsia="楷体" w:cs="Times New Roman"/>
          <w:b/>
          <w:bCs/>
          <w:sz w:val="31"/>
          <w:szCs w:val="31"/>
          <w:lang w:val="en-US" w:eastAsia="zh-CN"/>
        </w:rPr>
        <w:t>（一）</w:t>
      </w:r>
      <w:r>
        <w:rPr>
          <w:rFonts w:hint="eastAsia" w:ascii="Times New Roman" w:hAnsi="Times New Roman" w:cs="Times New Roman"/>
          <w:b/>
          <w:bCs/>
          <w:sz w:val="31"/>
          <w:szCs w:val="31"/>
          <w:lang w:val="en-US" w:eastAsia="zh-CN"/>
        </w:rPr>
        <w:t>项目</w:t>
      </w:r>
      <w:r>
        <w:rPr>
          <w:rFonts w:hint="default" w:ascii="Times New Roman" w:hAnsi="Times New Roman" w:eastAsia="楷体" w:cs="Times New Roman"/>
          <w:b/>
          <w:bCs w:val="0"/>
          <w:sz w:val="32"/>
          <w:szCs w:val="24"/>
          <w:lang w:val="en-US" w:eastAsia="zh-CN"/>
        </w:rPr>
        <w:t>实际</w:t>
      </w:r>
      <w:r>
        <w:rPr>
          <w:rFonts w:hint="default" w:ascii="Times New Roman" w:hAnsi="Times New Roman" w:eastAsia="楷体" w:cs="Times New Roman"/>
          <w:b/>
          <w:bCs/>
          <w:sz w:val="31"/>
          <w:szCs w:val="31"/>
          <w:lang w:val="en-US" w:eastAsia="zh-CN"/>
        </w:rPr>
        <w:t>产出情况</w:t>
      </w:r>
      <w:bookmarkEnd w:id="71"/>
      <w:bookmarkEnd w:id="72"/>
      <w:bookmarkEnd w:id="73"/>
    </w:p>
    <w:p>
      <w:pPr>
        <w:pStyle w:val="5"/>
        <w:rPr>
          <w:rFonts w:hint="default" w:ascii="Times New Roman" w:hAnsi="Times New Roman" w:cs="Times New Roman"/>
          <w:lang w:val="en-US" w:eastAsia="zh-CN"/>
        </w:rPr>
      </w:pPr>
      <w:bookmarkStart w:id="74" w:name="_Toc12228"/>
      <w:bookmarkStart w:id="75" w:name="_Toc32652"/>
      <w:bookmarkStart w:id="76" w:name="_Toc18578"/>
      <w:bookmarkStart w:id="77" w:name="_Toc32329"/>
      <w:r>
        <w:rPr>
          <w:rFonts w:hint="default" w:ascii="Times New Roman" w:hAnsi="Times New Roman" w:cs="Times New Roman"/>
          <w:lang w:val="en-US" w:eastAsia="zh-CN"/>
        </w:rPr>
        <w:t>1、</w:t>
      </w:r>
      <w:bookmarkEnd w:id="74"/>
      <w:bookmarkEnd w:id="75"/>
      <w:r>
        <w:rPr>
          <w:rFonts w:hint="default" w:ascii="Times New Roman" w:hAnsi="Times New Roman" w:cs="Times New Roman"/>
          <w:lang w:val="en-US" w:eastAsia="zh-CN"/>
        </w:rPr>
        <w:t>全区招商经费</w:t>
      </w:r>
      <w:bookmarkEnd w:id="76"/>
      <w:bookmarkEnd w:id="77"/>
    </w:p>
    <w:p>
      <w:pPr>
        <w:pStyle w:val="2"/>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外出招商考察学习差旅费、制作招商宣传手册、资料打印、客商来北塔洽谈招待餐费、住宿费等。</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2"/>
        <w:rPr>
          <w:rFonts w:hint="default" w:ascii="Times New Roman" w:hAnsi="Times New Roman" w:cs="Times New Roman"/>
          <w:lang w:val="en-US" w:eastAsia="zh-CN"/>
        </w:rPr>
      </w:pPr>
      <w:bookmarkStart w:id="78" w:name="_Toc550"/>
      <w:bookmarkStart w:id="79" w:name="_Toc10374"/>
      <w:bookmarkStart w:id="80" w:name="_Toc19274"/>
      <w:bookmarkStart w:id="81" w:name="_Toc12210"/>
      <w:r>
        <w:rPr>
          <w:rFonts w:hint="default" w:ascii="Times New Roman" w:hAnsi="Times New Roman" w:cs="Times New Roman"/>
          <w:lang w:val="en-US" w:eastAsia="zh-CN"/>
        </w:rPr>
        <w:t>2、</w:t>
      </w:r>
      <w:bookmarkEnd w:id="78"/>
      <w:bookmarkEnd w:id="79"/>
      <w:r>
        <w:rPr>
          <w:rFonts w:hint="default" w:ascii="Times New Roman" w:hAnsi="Times New Roman" w:cs="Times New Roman"/>
          <w:lang w:val="en-US" w:eastAsia="zh-CN"/>
        </w:rPr>
        <w:t>农贸市场经费</w:t>
      </w:r>
      <w:bookmarkEnd w:id="80"/>
      <w:bookmarkEnd w:id="81"/>
    </w:p>
    <w:p>
      <w:pPr>
        <w:pStyle w:val="2"/>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用于创文固卫广告设计制作、资料打印、购买农残检测试剂、宣传资料制作等。</w:t>
      </w:r>
    </w:p>
    <w:p>
      <w:pPr>
        <w:pStyle w:val="5"/>
        <w:rPr>
          <w:rFonts w:hint="default" w:ascii="Times New Roman" w:hAnsi="Times New Roman" w:cs="Times New Roman"/>
          <w:lang w:val="en-US" w:eastAsia="zh-CN"/>
        </w:rPr>
      </w:pPr>
      <w:bookmarkStart w:id="82" w:name="_Toc13975"/>
      <w:bookmarkStart w:id="83" w:name="_Toc12958"/>
      <w:r>
        <w:rPr>
          <w:rFonts w:hint="default" w:ascii="Times New Roman" w:hAnsi="Times New Roman" w:cs="Times New Roman"/>
          <w:lang w:val="en-US" w:eastAsia="zh-CN"/>
        </w:rPr>
        <w:t>3、公用支出项目</w:t>
      </w:r>
      <w:bookmarkEnd w:id="82"/>
      <w:bookmarkEnd w:id="83"/>
    </w:p>
    <w:p>
      <w:pPr>
        <w:pStyle w:val="2"/>
        <w:numPr>
          <w:ilvl w:val="-1"/>
          <w:numId w:val="0"/>
        </w:numPr>
        <w:ind w:firstLine="0" w:firstLineChars="0"/>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 xml:space="preserve">    用于订购报刊、广告制作、缴纳水电费、购买日常用品等。</w:t>
      </w:r>
    </w:p>
    <w:p>
      <w:pPr>
        <w:pStyle w:val="4"/>
        <w:numPr>
          <w:ilvl w:val="0"/>
          <w:numId w:val="0"/>
        </w:numPr>
        <w:ind w:firstLine="622" w:firstLineChars="200"/>
        <w:jc w:val="both"/>
        <w:outlineLvl w:val="1"/>
        <w:rPr>
          <w:rFonts w:hint="default" w:ascii="Times New Roman" w:hAnsi="Times New Roman" w:eastAsia="仿宋" w:cs="Times New Roman"/>
          <w:b w:val="0"/>
          <w:bCs w:val="0"/>
          <w:sz w:val="31"/>
          <w:szCs w:val="31"/>
          <w:lang w:val="en-US" w:eastAsia="zh-CN"/>
        </w:rPr>
      </w:pPr>
      <w:bookmarkStart w:id="84" w:name="_Toc14682"/>
      <w:bookmarkStart w:id="85" w:name="_Toc14451"/>
      <w:bookmarkStart w:id="86" w:name="_Toc28582"/>
      <w:r>
        <w:rPr>
          <w:rFonts w:hint="default" w:ascii="Times New Roman" w:hAnsi="Times New Roman" w:eastAsia="楷体" w:cs="Times New Roman"/>
          <w:b/>
          <w:bCs/>
          <w:sz w:val="31"/>
          <w:szCs w:val="31"/>
          <w:lang w:val="en-US" w:eastAsia="zh-CN"/>
        </w:rPr>
        <w:t>（二）部门整体</w:t>
      </w:r>
      <w:r>
        <w:rPr>
          <w:rFonts w:hint="default" w:ascii="Times New Roman" w:hAnsi="Times New Roman" w:eastAsia="楷体" w:cs="Times New Roman"/>
          <w:b/>
          <w:bCs w:val="0"/>
          <w:sz w:val="32"/>
          <w:szCs w:val="24"/>
          <w:lang w:val="en-US" w:eastAsia="zh-CN"/>
        </w:rPr>
        <w:t>效益</w:t>
      </w:r>
      <w:r>
        <w:rPr>
          <w:rFonts w:hint="default" w:ascii="Times New Roman" w:hAnsi="Times New Roman" w:eastAsia="楷体" w:cs="Times New Roman"/>
          <w:b/>
          <w:bCs/>
          <w:sz w:val="31"/>
          <w:szCs w:val="31"/>
          <w:lang w:val="en-US" w:eastAsia="zh-CN"/>
        </w:rPr>
        <w:t>情况</w:t>
      </w:r>
      <w:bookmarkEnd w:id="84"/>
      <w:bookmarkEnd w:id="85"/>
      <w:bookmarkEnd w:id="86"/>
    </w:p>
    <w:p>
      <w:pPr>
        <w:pStyle w:val="11"/>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2022年商务局充分履行职责职能，严格执行各项管理制度，经济、社会等效益显著、社会公众满意度上升，较好地完成了全年工作目标。商务工作各项经济指标稳中向好；全力保障市场供应；招商引资提质增效；创文固卫稳步推进；强化安全生产监管，扎实推进平安创建工作。</w:t>
      </w:r>
    </w:p>
    <w:p>
      <w:pPr>
        <w:pStyle w:val="5"/>
        <w:ind w:firstLine="643" w:firstLineChars="200"/>
        <w:rPr>
          <w:rFonts w:hint="default" w:ascii="Times New Roman" w:hAnsi="Times New Roman" w:cs="Times New Roman"/>
        </w:rPr>
      </w:pPr>
      <w:bookmarkStart w:id="87" w:name="_Toc23322"/>
      <w:bookmarkStart w:id="88" w:name="_Toc30599"/>
      <w:r>
        <w:rPr>
          <w:rFonts w:hint="default" w:ascii="Times New Roman" w:hAnsi="Times New Roman" w:cs="Times New Roman"/>
          <w:lang w:val="en-US" w:eastAsia="zh-CN"/>
        </w:rPr>
        <w:t>1、</w:t>
      </w:r>
      <w:r>
        <w:rPr>
          <w:rFonts w:hint="default" w:ascii="Times New Roman" w:hAnsi="Times New Roman" w:eastAsia="仿宋" w:cs="Times New Roman"/>
          <w:b/>
          <w:sz w:val="32"/>
          <w:szCs w:val="24"/>
        </w:rPr>
        <w:t>项目及资金各环节</w:t>
      </w:r>
      <w:bookmarkEnd w:id="87"/>
      <w:bookmarkEnd w:id="88"/>
    </w:p>
    <w:p>
      <w:pPr>
        <w:pStyle w:val="11"/>
        <w:numPr>
          <w:ilvl w:val="-1"/>
          <w:numId w:val="0"/>
        </w:numPr>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2022年商务局经费开支严格按预算执行，管理制度健全，会计基础规范，资金使用符合国家财经法规和财务管理制度规定。按要求执行政府采购，严控支出，开源节流，一般性支出和“三公经费”均按要求压减，预决算信息公开及时完善。资产管理安全，固定资产利用率、重点工作完成率等均达到或超过年初计划数，取得了较好的社会效益。</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2"/>
        <w:rPr>
          <w:rFonts w:hint="default" w:ascii="Times New Roman" w:hAnsi="Times New Roman" w:cs="Times New Roman"/>
          <w:lang w:val="en-US" w:eastAsia="zh-CN"/>
        </w:rPr>
      </w:pPr>
      <w:bookmarkStart w:id="89" w:name="_Toc23411"/>
      <w:bookmarkStart w:id="90" w:name="_Toc21522"/>
      <w:bookmarkStart w:id="91" w:name="_Toc5451"/>
      <w:bookmarkStart w:id="92" w:name="_Toc31880"/>
      <w:r>
        <w:rPr>
          <w:rFonts w:hint="default" w:ascii="Times New Roman" w:hAnsi="Times New Roman" w:cs="Times New Roman"/>
          <w:lang w:val="en-US" w:eastAsia="zh-CN"/>
        </w:rPr>
        <w:t>2、</w:t>
      </w:r>
      <w:bookmarkEnd w:id="89"/>
      <w:bookmarkEnd w:id="90"/>
      <w:r>
        <w:rPr>
          <w:rFonts w:hint="default" w:ascii="Times New Roman" w:hAnsi="Times New Roman" w:eastAsia="仿宋" w:cs="Times New Roman"/>
          <w:b/>
          <w:bCs w:val="0"/>
          <w:sz w:val="32"/>
          <w:szCs w:val="24"/>
        </w:rPr>
        <w:t>“三公经费”</w:t>
      </w:r>
      <w:r>
        <w:rPr>
          <w:rFonts w:hint="default" w:ascii="Times New Roman" w:hAnsi="Times New Roman" w:eastAsia="仿宋" w:cs="Times New Roman"/>
          <w:b/>
          <w:bCs w:val="0"/>
          <w:sz w:val="32"/>
          <w:szCs w:val="24"/>
          <w:lang w:val="en-US" w:eastAsia="zh-CN"/>
        </w:rPr>
        <w:t>方面</w:t>
      </w:r>
      <w:bookmarkEnd w:id="91"/>
      <w:bookmarkEnd w:id="92"/>
    </w:p>
    <w:p>
      <w:pPr>
        <w:pStyle w:val="11"/>
        <w:numPr>
          <w:ilvl w:val="-1"/>
          <w:numId w:val="0"/>
        </w:numPr>
        <w:ind w:firstLine="640" w:firstLineChars="200"/>
        <w:rPr>
          <w:rFonts w:hint="default" w:ascii="Times New Roman" w:hAnsi="Times New Roman" w:cs="Times New Roman"/>
          <w:color w:val="auto"/>
          <w:szCs w:val="32"/>
          <w:highlight w:val="none"/>
          <w:lang w:val="en-US" w:eastAsia="zh-CN"/>
        </w:rPr>
      </w:pPr>
      <w:r>
        <w:rPr>
          <w:rFonts w:hint="default" w:ascii="Times New Roman" w:hAnsi="Times New Roman" w:eastAsia="仿宋" w:cs="Times New Roman"/>
          <w:sz w:val="32"/>
          <w:szCs w:val="32"/>
          <w:lang w:val="en-US" w:eastAsia="zh-CN"/>
        </w:rPr>
        <w:t>2022年“三公”经费实际开支总额0.5万元。其中：因公出国（境）费支出本年未发生。公务用车购置及运行维护费实际开支0万元（公务用车购置费未发生，公务用车运行维护费0万元），公务用车保有量0辆；公务接待费实际开支0.5万元，公务接待8批次45人次。2022年“三公”经费实际开支总额比2021年同口径减少0.19，下降27.68%。原因为遵守中央八项规定、省委九项规定，厉行节约,压缩招待开支。</w:t>
      </w:r>
      <w:r>
        <w:rPr>
          <w:rFonts w:hint="default" w:ascii="Times New Roman" w:hAnsi="Times New Roman" w:eastAsia="仿宋" w:cs="Times New Roman"/>
          <w:b w:val="0"/>
          <w:bCs w:val="0"/>
          <w:sz w:val="32"/>
          <w:szCs w:val="32"/>
        </w:rPr>
        <w:t>公用经费</w:t>
      </w:r>
      <w:r>
        <w:rPr>
          <w:rFonts w:hint="default" w:ascii="Times New Roman" w:hAnsi="Times New Roman" w:eastAsia="仿宋" w:cs="Times New Roman"/>
          <w:b w:val="0"/>
          <w:bCs w:val="0"/>
          <w:sz w:val="32"/>
          <w:szCs w:val="32"/>
          <w:lang w:val="en-US" w:eastAsia="zh-CN"/>
        </w:rPr>
        <w:t>方面，</w:t>
      </w:r>
      <w:r>
        <w:rPr>
          <w:rFonts w:hint="default" w:ascii="Times New Roman" w:hAnsi="Times New Roman" w:eastAsia="仿宋" w:cs="Times New Roman"/>
          <w:sz w:val="32"/>
          <w:szCs w:val="32"/>
          <w:lang w:val="en-US" w:eastAsia="zh-CN"/>
        </w:rPr>
        <w:t>2022年度商品和服务支出363.86万元，较上年增加271.82万元，增长295.36%，主要原因为本年度招商、市场管理列为基本支出，且新冠疫情防控经费较上年大幅增加。</w:t>
      </w:r>
      <w:r>
        <w:rPr>
          <w:rFonts w:hint="default" w:ascii="Times New Roman" w:hAnsi="Times New Roman" w:eastAsia="仿宋" w:cs="Times New Roman"/>
          <w:b w:val="0"/>
          <w:bCs w:val="0"/>
          <w:sz w:val="32"/>
          <w:szCs w:val="32"/>
        </w:rPr>
        <w:t>资产管理</w:t>
      </w:r>
      <w:r>
        <w:rPr>
          <w:rFonts w:hint="default" w:ascii="Times New Roman" w:hAnsi="Times New Roman" w:eastAsia="仿宋" w:cs="Times New Roman"/>
          <w:b w:val="0"/>
          <w:bCs w:val="0"/>
          <w:sz w:val="32"/>
          <w:szCs w:val="32"/>
          <w:lang w:val="en-US" w:eastAsia="zh-CN"/>
        </w:rPr>
        <w:t>方面商务</w:t>
      </w:r>
      <w:r>
        <w:rPr>
          <w:rFonts w:hint="default" w:ascii="Times New Roman" w:hAnsi="Times New Roman" w:eastAsia="仿宋" w:cs="Times New Roman"/>
          <w:sz w:val="32"/>
          <w:szCs w:val="32"/>
          <w:lang w:val="en-US" w:eastAsia="zh-CN"/>
        </w:rPr>
        <w:t>局的资产管理由办公室负责，资产采购按程序实行报批采购，统一在政采云平台下单，采购后登记入账，录入资产信息系统，再派发到相关科室。一是商务局资产管理和使用坚持统一政策、统一领导、分级管理、责任到人、物尽其用的原则。二是运用资产信息管理系统加强资产管理。三是每年组织一次固定</w:t>
      </w:r>
      <w:r>
        <w:rPr>
          <w:rFonts w:hint="eastAsia" w:cs="Times New Roman"/>
          <w:sz w:val="32"/>
          <w:szCs w:val="32"/>
          <w:lang w:val="en-US" w:eastAsia="zh-CN"/>
        </w:rPr>
        <w:t>资产</w:t>
      </w:r>
      <w:r>
        <w:rPr>
          <w:rFonts w:hint="default" w:ascii="Times New Roman" w:hAnsi="Times New Roman" w:eastAsia="仿宋" w:cs="Times New Roman"/>
          <w:sz w:val="32"/>
          <w:szCs w:val="32"/>
          <w:lang w:val="en-US" w:eastAsia="zh-CN"/>
        </w:rPr>
        <w:t>清查工作，使固定资产检查常态化，确保账、卡、实相符。</w:t>
      </w:r>
      <w:r>
        <w:rPr>
          <w:rFonts w:hint="default" w:ascii="Times New Roman" w:hAnsi="Times New Roman" w:eastAsia="仿宋" w:cs="Times New Roman"/>
          <w:sz w:val="32"/>
          <w:szCs w:val="32"/>
          <w:highlight w:val="none"/>
          <w:lang w:val="en-US" w:eastAsia="zh-CN"/>
        </w:rPr>
        <w:t>四是根据《湖南省财政厅关于做好行政事业性国有资产月报试编工作的通知》文件要求，每月及时通过财政部统一报表系统上报资产月报电子数据，每年编制一次固定资产年报。</w:t>
      </w:r>
    </w:p>
    <w:p>
      <w:pPr>
        <w:pStyle w:val="4"/>
        <w:numPr>
          <w:ilvl w:val="0"/>
          <w:numId w:val="0"/>
        </w:numPr>
        <w:ind w:firstLine="622" w:firstLineChars="200"/>
        <w:jc w:val="both"/>
        <w:outlineLvl w:val="1"/>
        <w:rPr>
          <w:rFonts w:hint="default" w:ascii="Times New Roman" w:hAnsi="Times New Roman" w:eastAsia="仿宋" w:cs="Times New Roman"/>
          <w:b w:val="0"/>
          <w:bCs w:val="0"/>
          <w:sz w:val="31"/>
          <w:szCs w:val="31"/>
          <w:lang w:val="en-US" w:eastAsia="zh-CN"/>
        </w:rPr>
      </w:pPr>
      <w:bookmarkStart w:id="93" w:name="_Toc655"/>
      <w:bookmarkStart w:id="94" w:name="_Toc13884"/>
      <w:bookmarkStart w:id="95" w:name="_Toc1148"/>
      <w:r>
        <w:rPr>
          <w:rFonts w:hint="default" w:ascii="Times New Roman" w:hAnsi="Times New Roman" w:eastAsia="楷体" w:cs="Times New Roman"/>
          <w:b/>
          <w:bCs/>
          <w:sz w:val="31"/>
          <w:szCs w:val="31"/>
          <w:lang w:val="en-US" w:eastAsia="zh-CN"/>
        </w:rPr>
        <w:t>（三）部门</w:t>
      </w:r>
      <w:r>
        <w:rPr>
          <w:rFonts w:hint="default" w:ascii="Times New Roman" w:hAnsi="Times New Roman" w:eastAsia="楷体" w:cs="Times New Roman"/>
          <w:b/>
          <w:bCs w:val="0"/>
          <w:sz w:val="32"/>
          <w:szCs w:val="24"/>
          <w:lang w:val="en-US" w:eastAsia="zh-CN"/>
        </w:rPr>
        <w:t>整体</w:t>
      </w:r>
      <w:r>
        <w:rPr>
          <w:rFonts w:hint="default" w:ascii="Times New Roman" w:hAnsi="Times New Roman" w:eastAsia="楷体" w:cs="Times New Roman"/>
          <w:b/>
          <w:bCs/>
          <w:sz w:val="31"/>
          <w:szCs w:val="31"/>
          <w:lang w:val="en-US" w:eastAsia="zh-CN"/>
        </w:rPr>
        <w:t>满意度</w:t>
      </w:r>
      <w:bookmarkEnd w:id="93"/>
      <w:bookmarkEnd w:id="94"/>
      <w:bookmarkEnd w:id="95"/>
    </w:p>
    <w:p>
      <w:pPr>
        <w:pStyle w:val="11"/>
        <w:numPr>
          <w:ilvl w:val="-1"/>
          <w:numId w:val="0"/>
        </w:numPr>
        <w:ind w:firstLine="640" w:firstLineChars="200"/>
        <w:jc w:val="both"/>
        <w:rPr>
          <w:rFonts w:hint="default" w:ascii="Times New Roman" w:hAnsi="Times New Roman" w:eastAsia="仿宋" w:cs="Times New Roman"/>
          <w:b w:val="0"/>
          <w:bCs w:val="0"/>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绩效评价小组针对邵阳市北塔区商务局整体情况通过现场向管理人员、群众发放问卷进行满意度调查，共收集有效问卷</w:t>
      </w:r>
      <w:r>
        <w:rPr>
          <w:rFonts w:hint="default" w:ascii="Times New Roman" w:hAnsi="Times New Roman" w:cs="Times New Roman"/>
          <w:b w:val="0"/>
          <w:bCs w:val="0"/>
          <w:sz w:val="32"/>
          <w:szCs w:val="32"/>
          <w:highlight w:val="none"/>
          <w:lang w:val="en-US" w:eastAsia="zh-CN"/>
        </w:rPr>
        <w:t>12</w:t>
      </w:r>
      <w:r>
        <w:rPr>
          <w:rFonts w:hint="default" w:ascii="Times New Roman" w:hAnsi="Times New Roman" w:eastAsia="仿宋" w:cs="Times New Roman"/>
          <w:b w:val="0"/>
          <w:bCs w:val="0"/>
          <w:sz w:val="32"/>
          <w:szCs w:val="32"/>
          <w:highlight w:val="none"/>
          <w:lang w:val="en-US" w:eastAsia="zh-CN"/>
        </w:rPr>
        <w:t>份。经统计，2022年邵阳市北塔区商务局整体满意度为</w:t>
      </w:r>
      <w:r>
        <w:rPr>
          <w:rFonts w:hint="default" w:ascii="Times New Roman" w:hAnsi="Times New Roman" w:cs="Times New Roman"/>
          <w:b w:val="0"/>
          <w:bCs w:val="0"/>
          <w:sz w:val="32"/>
          <w:szCs w:val="32"/>
          <w:highlight w:val="none"/>
          <w:lang w:val="en-US" w:eastAsia="zh-CN"/>
        </w:rPr>
        <w:t>100.00</w:t>
      </w:r>
      <w:r>
        <w:rPr>
          <w:rFonts w:hint="default" w:ascii="Times New Roman" w:hAnsi="Times New Roman" w:eastAsia="仿宋" w:cs="Times New Roman"/>
          <w:b w:val="0"/>
          <w:bCs w:val="0"/>
          <w:sz w:val="32"/>
          <w:szCs w:val="32"/>
          <w:highlight w:val="none"/>
          <w:lang w:val="en-US" w:eastAsia="zh-CN"/>
        </w:rPr>
        <w:t>%。</w:t>
      </w:r>
    </w:p>
    <w:p>
      <w:pPr>
        <w:pStyle w:val="3"/>
        <w:numPr>
          <w:ilvl w:val="0"/>
          <w:numId w:val="0"/>
        </w:numPr>
        <w:ind w:firstLine="622" w:firstLineChars="200"/>
        <w:jc w:val="both"/>
        <w:outlineLvl w:val="0"/>
        <w:rPr>
          <w:rFonts w:hint="default" w:ascii="Times New Roman" w:hAnsi="Times New Roman" w:eastAsia="黑体" w:cs="Times New Roman"/>
          <w:b/>
          <w:bCs/>
          <w:kern w:val="2"/>
          <w:sz w:val="31"/>
          <w:szCs w:val="31"/>
          <w:lang w:val="en-US" w:eastAsia="zh-CN" w:bidi="ar-SA"/>
        </w:rPr>
      </w:pPr>
      <w:bookmarkStart w:id="96" w:name="_Toc11462"/>
      <w:bookmarkStart w:id="97" w:name="_Toc25416"/>
      <w:bookmarkStart w:id="98" w:name="_Toc16550"/>
      <w:r>
        <w:rPr>
          <w:rFonts w:hint="default" w:ascii="Times New Roman" w:hAnsi="Times New Roman" w:eastAsia="黑体" w:cs="Times New Roman"/>
          <w:b/>
          <w:bCs/>
          <w:kern w:val="2"/>
          <w:sz w:val="31"/>
          <w:szCs w:val="31"/>
          <w:lang w:val="en-US" w:eastAsia="zh-CN" w:bidi="ar-SA"/>
        </w:rPr>
        <w:t>六、综合评价情况及评价结论</w:t>
      </w:r>
      <w:bookmarkEnd w:id="96"/>
      <w:bookmarkEnd w:id="97"/>
      <w:bookmarkEnd w:id="98"/>
    </w:p>
    <w:p>
      <w:pPr>
        <w:pStyle w:val="11"/>
        <w:numPr>
          <w:ilvl w:val="-1"/>
          <w:numId w:val="0"/>
        </w:numPr>
        <w:ind w:firstLine="640" w:firstLineChars="200"/>
        <w:jc w:val="both"/>
        <w:rPr>
          <w:rFonts w:hint="default" w:ascii="Times New Roman" w:hAnsi="Times New Roman" w:eastAsia="仿宋" w:cs="Times New Roman"/>
          <w:b w:val="0"/>
          <w:bCs w:val="0"/>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根据资金绩效评价指标体系和绩效检查情况，邵阳市北塔区商务局2022年度部门整体支出重点绩效评价分值100分，从部门决策、部门预算、内部制度管理、部门产出、部门效益等方面总体评价，实得</w:t>
      </w:r>
      <w:r>
        <w:rPr>
          <w:rFonts w:hint="eastAsia" w:cs="Times New Roman"/>
          <w:b w:val="0"/>
          <w:bCs w:val="0"/>
          <w:sz w:val="32"/>
          <w:szCs w:val="32"/>
          <w:highlight w:val="none"/>
          <w:lang w:val="en-US" w:eastAsia="zh-CN"/>
        </w:rPr>
        <w:t>93.00</w:t>
      </w:r>
      <w:r>
        <w:rPr>
          <w:rFonts w:hint="default" w:ascii="Times New Roman" w:hAnsi="Times New Roman" w:eastAsia="仿宋" w:cs="Times New Roman"/>
          <w:b w:val="0"/>
          <w:bCs w:val="0"/>
          <w:sz w:val="32"/>
          <w:szCs w:val="32"/>
          <w:highlight w:val="none"/>
          <w:lang w:val="en-US" w:eastAsia="zh-CN"/>
        </w:rPr>
        <w:t>分，被评为</w:t>
      </w:r>
      <w:r>
        <w:rPr>
          <w:rFonts w:hint="eastAsia" w:ascii="Times New Roman" w:hAnsi="Times New Roman" w:eastAsia="仿宋" w:cs="Times New Roman"/>
          <w:b w:val="0"/>
          <w:bCs w:val="0"/>
          <w:sz w:val="32"/>
          <w:szCs w:val="32"/>
          <w:highlight w:val="none"/>
          <w:lang w:val="en-US" w:eastAsia="zh-CN"/>
        </w:rPr>
        <w:t>“</w:t>
      </w:r>
      <w:r>
        <w:rPr>
          <w:rFonts w:hint="eastAsia" w:ascii="Times New Roman" w:hAnsi="Times New Roman" w:cs="Times New Roman"/>
          <w:b w:val="0"/>
          <w:bCs w:val="0"/>
          <w:sz w:val="32"/>
          <w:szCs w:val="32"/>
          <w:highlight w:val="none"/>
          <w:lang w:val="en-US" w:eastAsia="zh-CN"/>
        </w:rPr>
        <w:t>优</w:t>
      </w:r>
      <w:r>
        <w:rPr>
          <w:rFonts w:hint="eastAsia" w:ascii="Times New Roman" w:hAnsi="Times New Roman" w:eastAsia="仿宋" w:cs="Times New Roman"/>
          <w:b w:val="0"/>
          <w:bCs w:val="0"/>
          <w:sz w:val="32"/>
          <w:szCs w:val="32"/>
          <w:highlight w:val="none"/>
          <w:lang w:val="en-US" w:eastAsia="zh-CN"/>
        </w:rPr>
        <w:t>”</w:t>
      </w:r>
      <w:r>
        <w:rPr>
          <w:rFonts w:hint="default" w:ascii="Times New Roman" w:hAnsi="Times New Roman" w:eastAsia="仿宋" w:cs="Times New Roman"/>
          <w:b w:val="0"/>
          <w:bCs w:val="0"/>
          <w:sz w:val="32"/>
          <w:szCs w:val="32"/>
          <w:highlight w:val="none"/>
          <w:lang w:val="en-US" w:eastAsia="zh-CN"/>
        </w:rPr>
        <w:t>等级</w:t>
      </w:r>
      <w:r>
        <w:rPr>
          <w:rFonts w:hint="default" w:ascii="Times New Roman" w:hAnsi="Times New Roman" w:cs="Times New Roman"/>
          <w:b w:val="0"/>
          <w:bCs w:val="0"/>
          <w:sz w:val="32"/>
          <w:szCs w:val="32"/>
          <w:highlight w:val="none"/>
          <w:lang w:val="en-US" w:eastAsia="zh-CN"/>
        </w:rPr>
        <w:t>（</w:t>
      </w:r>
      <w:r>
        <w:rPr>
          <w:rFonts w:hint="default" w:ascii="Times New Roman" w:hAnsi="Times New Roman" w:eastAsia="仿宋" w:cs="Times New Roman"/>
          <w:b w:val="0"/>
          <w:bCs w:val="0"/>
          <w:sz w:val="32"/>
          <w:szCs w:val="32"/>
          <w:highlight w:val="none"/>
          <w:lang w:val="en-US" w:eastAsia="zh-CN"/>
        </w:rPr>
        <w:t>详见附件</w:t>
      </w:r>
      <w:r>
        <w:rPr>
          <w:rFonts w:hint="default" w:ascii="Times New Roman" w:hAnsi="Times New Roman" w:cs="Times New Roman"/>
          <w:b w:val="0"/>
          <w:bCs w:val="0"/>
          <w:sz w:val="32"/>
          <w:szCs w:val="32"/>
          <w:highlight w:val="none"/>
          <w:lang w:val="en-US" w:eastAsia="zh-CN"/>
        </w:rPr>
        <w:t>）</w:t>
      </w:r>
      <w:r>
        <w:rPr>
          <w:rFonts w:hint="default" w:ascii="Times New Roman" w:hAnsi="Times New Roman" w:eastAsia="仿宋" w:cs="Times New Roman"/>
          <w:b w:val="0"/>
          <w:bCs w:val="0"/>
          <w:sz w:val="32"/>
          <w:szCs w:val="32"/>
          <w:highlight w:val="none"/>
          <w:lang w:val="en-US" w:eastAsia="zh-CN"/>
        </w:rPr>
        <w:t>。</w:t>
      </w:r>
    </w:p>
    <w:p>
      <w:pPr>
        <w:pStyle w:val="3"/>
        <w:numPr>
          <w:ilvl w:val="0"/>
          <w:numId w:val="0"/>
        </w:numPr>
        <w:ind w:firstLine="622" w:firstLineChars="200"/>
        <w:jc w:val="both"/>
        <w:outlineLvl w:val="0"/>
        <w:rPr>
          <w:rFonts w:hint="default" w:ascii="Times New Roman" w:hAnsi="Times New Roman" w:eastAsia="仿宋" w:cs="Times New Roman"/>
          <w:b w:val="0"/>
          <w:bCs w:val="0"/>
          <w:sz w:val="31"/>
          <w:szCs w:val="31"/>
          <w:lang w:val="en-US" w:eastAsia="zh-CN"/>
        </w:rPr>
      </w:pPr>
      <w:bookmarkStart w:id="99" w:name="_Toc459"/>
      <w:bookmarkStart w:id="100" w:name="_Toc28857"/>
      <w:bookmarkStart w:id="101" w:name="_Toc1477"/>
      <w:r>
        <w:rPr>
          <w:rFonts w:hint="default" w:ascii="Times New Roman" w:hAnsi="Times New Roman" w:eastAsia="黑体" w:cs="Times New Roman"/>
          <w:b/>
          <w:bCs/>
          <w:kern w:val="2"/>
          <w:sz w:val="31"/>
          <w:szCs w:val="31"/>
          <w:lang w:val="en-US" w:eastAsia="zh-CN" w:bidi="ar-SA"/>
        </w:rPr>
        <w:t>七、存在的主要问题</w:t>
      </w:r>
      <w:bookmarkEnd w:id="99"/>
      <w:bookmarkEnd w:id="100"/>
      <w:bookmarkEnd w:id="101"/>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w:hAnsi="Times New Roman" w:cs="Times New Roman"/>
          <w:lang w:val="en-US" w:eastAsia="zh-CN"/>
        </w:rPr>
      </w:pPr>
      <w:bookmarkStart w:id="102" w:name="_Toc19582"/>
      <w:bookmarkStart w:id="103" w:name="_Toc173"/>
      <w:bookmarkStart w:id="104" w:name="_Toc6192"/>
      <w:r>
        <w:rPr>
          <w:rFonts w:hint="default" w:ascii="Times New Roman" w:hAnsi="Times New Roman" w:cs="Times New Roman"/>
          <w:lang w:val="en-US" w:eastAsia="zh-CN"/>
        </w:rPr>
        <w:t>（</w:t>
      </w:r>
      <w:r>
        <w:rPr>
          <w:rFonts w:hint="eastAsia" w:ascii="Times New Roman" w:hAnsi="Times New Roman" w:cs="Times New Roman"/>
          <w:lang w:val="en-US" w:eastAsia="zh-CN"/>
        </w:rPr>
        <w:t>一</w:t>
      </w:r>
      <w:r>
        <w:rPr>
          <w:rFonts w:hint="default" w:ascii="Times New Roman" w:hAnsi="Times New Roman" w:cs="Times New Roman"/>
          <w:lang w:val="en-US" w:eastAsia="zh-CN"/>
        </w:rPr>
        <w:t>）政府采购方面</w:t>
      </w:r>
      <w:bookmarkEnd w:id="102"/>
      <w:bookmarkEnd w:id="103"/>
    </w:p>
    <w:p>
      <w:pPr>
        <w:numPr>
          <w:ilvl w:val="0"/>
          <w:numId w:val="0"/>
        </w:numPr>
        <w:ind w:firstLine="643" w:firstLineChars="200"/>
        <w:jc w:val="both"/>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bCs/>
          <w:sz w:val="32"/>
          <w:szCs w:val="32"/>
          <w:lang w:val="en-US" w:eastAsia="zh-CN"/>
        </w:rPr>
        <w:t>政府采购无预算。</w:t>
      </w:r>
      <w:r>
        <w:rPr>
          <w:rFonts w:hint="default" w:ascii="Times New Roman" w:hAnsi="Times New Roman" w:eastAsia="仿宋" w:cs="Times New Roman"/>
          <w:b w:val="0"/>
          <w:bCs w:val="0"/>
          <w:sz w:val="32"/>
          <w:szCs w:val="32"/>
          <w:lang w:val="en-US" w:eastAsia="zh-CN"/>
        </w:rPr>
        <w:t>经查看商务局2022年度预算</w:t>
      </w:r>
      <w:r>
        <w:rPr>
          <w:rFonts w:hint="eastAsia" w:cs="Times New Roman"/>
          <w:b w:val="0"/>
          <w:bCs w:val="0"/>
          <w:sz w:val="32"/>
          <w:szCs w:val="32"/>
          <w:lang w:val="en-US" w:eastAsia="zh-CN"/>
        </w:rPr>
        <w:t>公开</w:t>
      </w:r>
      <w:r>
        <w:rPr>
          <w:rFonts w:hint="default" w:ascii="Times New Roman" w:hAnsi="Times New Roman" w:eastAsia="仿宋" w:cs="Times New Roman"/>
          <w:b w:val="0"/>
          <w:bCs w:val="0"/>
          <w:sz w:val="32"/>
          <w:szCs w:val="32"/>
          <w:lang w:val="en-US" w:eastAsia="zh-CN"/>
        </w:rPr>
        <w:t>报表，单位未进行2022年度政府采购预算。</w:t>
      </w:r>
      <w:bookmarkEnd w:id="104"/>
    </w:p>
    <w:p>
      <w:pPr>
        <w:pStyle w:val="4"/>
        <w:numPr>
          <w:ilvl w:val="0"/>
          <w:numId w:val="0"/>
        </w:numPr>
        <w:ind w:firstLine="622" w:firstLineChars="200"/>
        <w:jc w:val="both"/>
        <w:outlineLvl w:val="1"/>
        <w:rPr>
          <w:rFonts w:hint="default" w:ascii="Times New Roman" w:hAnsi="Times New Roman" w:eastAsia="仿宋" w:cs="Times New Roman"/>
          <w:b w:val="0"/>
          <w:bCs w:val="0"/>
          <w:sz w:val="31"/>
          <w:szCs w:val="31"/>
          <w:lang w:val="en-US" w:eastAsia="zh-CN"/>
        </w:rPr>
      </w:pPr>
      <w:bookmarkStart w:id="105" w:name="_Toc13281"/>
      <w:bookmarkStart w:id="106" w:name="_Toc9046"/>
      <w:bookmarkStart w:id="107" w:name="_Toc21670"/>
      <w:r>
        <w:rPr>
          <w:rFonts w:hint="default" w:ascii="Times New Roman" w:hAnsi="Times New Roman" w:eastAsia="楷体" w:cs="Times New Roman"/>
          <w:b/>
          <w:bCs/>
          <w:sz w:val="31"/>
          <w:szCs w:val="31"/>
          <w:lang w:val="en-US" w:eastAsia="zh-CN"/>
        </w:rPr>
        <w:t>（</w:t>
      </w:r>
      <w:r>
        <w:rPr>
          <w:rFonts w:hint="eastAsia" w:ascii="Times New Roman" w:hAnsi="Times New Roman" w:cs="Times New Roman"/>
          <w:b/>
          <w:bCs/>
          <w:sz w:val="31"/>
          <w:szCs w:val="31"/>
          <w:lang w:val="en-US" w:eastAsia="zh-CN"/>
        </w:rPr>
        <w:t>二</w:t>
      </w:r>
      <w:r>
        <w:rPr>
          <w:rFonts w:hint="default" w:ascii="Times New Roman" w:hAnsi="Times New Roman" w:eastAsia="楷体" w:cs="Times New Roman"/>
          <w:b/>
          <w:bCs/>
          <w:sz w:val="31"/>
          <w:szCs w:val="31"/>
          <w:lang w:val="en-US" w:eastAsia="zh-CN"/>
        </w:rPr>
        <w:t>）财务管理方面</w:t>
      </w:r>
      <w:bookmarkEnd w:id="105"/>
      <w:bookmarkEnd w:id="106"/>
      <w:bookmarkEnd w:id="107"/>
    </w:p>
    <w:p>
      <w:pPr>
        <w:pStyle w:val="5"/>
        <w:ind w:firstLine="643" w:firstLineChars="200"/>
        <w:rPr>
          <w:rFonts w:hint="default" w:ascii="Times New Roman" w:hAnsi="Times New Roman" w:eastAsia="仿宋" w:cs="Times New Roman"/>
          <w:b w:val="0"/>
          <w:bCs w:val="0"/>
          <w:kern w:val="2"/>
          <w:sz w:val="31"/>
          <w:szCs w:val="31"/>
          <w:lang w:val="en-US" w:eastAsia="zh-CN" w:bidi="ar-SA"/>
        </w:rPr>
      </w:pPr>
      <w:bookmarkStart w:id="108" w:name="_Toc21936"/>
      <w:bookmarkStart w:id="109" w:name="_Toc25055"/>
      <w:r>
        <w:rPr>
          <w:rFonts w:hint="eastAsia" w:cs="Times New Roman"/>
          <w:lang w:val="en-US" w:eastAsia="zh-CN"/>
        </w:rPr>
        <w:t>财务审核力度不严</w:t>
      </w:r>
      <w:r>
        <w:rPr>
          <w:rFonts w:hint="default" w:ascii="Times New Roman" w:hAnsi="Times New Roman" w:cs="Times New Roman"/>
          <w:lang w:val="en-US" w:eastAsia="zh-CN"/>
        </w:rPr>
        <w:t>。</w:t>
      </w:r>
      <w:bookmarkEnd w:id="108"/>
      <w:bookmarkStart w:id="110" w:name="_Toc25661"/>
      <w:r>
        <w:rPr>
          <w:rFonts w:hint="default" w:ascii="Times New Roman" w:hAnsi="Times New Roman" w:eastAsia="仿宋" w:cs="Times New Roman"/>
          <w:b w:val="0"/>
          <w:bCs w:val="0"/>
          <w:kern w:val="2"/>
          <w:sz w:val="31"/>
          <w:szCs w:val="31"/>
          <w:lang w:val="en-US" w:eastAsia="zh-CN" w:bidi="ar-SA"/>
        </w:rPr>
        <w:t>抽查凭证发现部分财务报账不规范，如：2022年3月14#凭证购买发电机组1.42万元，未见报批流程；2022年1月3#凭证付办公耗材等0.93万元未见报批流程。</w:t>
      </w:r>
      <w:bookmarkEnd w:id="109"/>
      <w:bookmarkEnd w:id="110"/>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w:hAnsi="Times New Roman" w:cs="Times New Roman"/>
          <w:lang w:val="en-US" w:eastAsia="zh-CN"/>
        </w:rPr>
      </w:pPr>
      <w:bookmarkStart w:id="111" w:name="_Toc10502"/>
      <w:bookmarkStart w:id="112" w:name="_Toc10883"/>
      <w:r>
        <w:rPr>
          <w:rFonts w:hint="default" w:ascii="Times New Roman" w:hAnsi="Times New Roman" w:cs="Times New Roman"/>
          <w:lang w:val="en-US" w:eastAsia="zh-CN"/>
        </w:rPr>
        <w:t>（</w:t>
      </w:r>
      <w:r>
        <w:rPr>
          <w:rFonts w:hint="eastAsia" w:ascii="Times New Roman" w:hAnsi="Times New Roman" w:cs="Times New Roman"/>
          <w:lang w:val="en-US" w:eastAsia="zh-CN"/>
        </w:rPr>
        <w:t>三</w:t>
      </w:r>
      <w:r>
        <w:rPr>
          <w:rFonts w:hint="default" w:ascii="Times New Roman" w:hAnsi="Times New Roman" w:cs="Times New Roman"/>
          <w:lang w:val="en-US" w:eastAsia="zh-CN"/>
        </w:rPr>
        <w:t>）资产管理方面</w:t>
      </w:r>
      <w:bookmarkEnd w:id="111"/>
      <w:bookmarkEnd w:id="112"/>
    </w:p>
    <w:p>
      <w:pPr>
        <w:pStyle w:val="2"/>
        <w:rPr>
          <w:rFonts w:hint="default" w:ascii="Times New Roman" w:hAnsi="Times New Roman" w:cs="Times New Roman"/>
          <w:lang w:val="en-US" w:eastAsia="zh-CN"/>
        </w:rPr>
      </w:pPr>
      <w:r>
        <w:rPr>
          <w:rFonts w:hint="default" w:ascii="Times New Roman" w:hAnsi="Times New Roman" w:eastAsia="仿宋" w:cs="Times New Roman"/>
          <w:b/>
          <w:bCs/>
          <w:sz w:val="32"/>
          <w:szCs w:val="32"/>
          <w:lang w:val="en-US" w:eastAsia="zh-CN"/>
        </w:rPr>
        <w:t>存在资产管理不规范的情况。</w:t>
      </w:r>
      <w:r>
        <w:rPr>
          <w:rFonts w:hint="default" w:ascii="Times New Roman" w:hAnsi="Times New Roman" w:eastAsia="仿宋" w:cs="Times New Roman"/>
          <w:b w:val="0"/>
          <w:bCs w:val="0"/>
          <w:sz w:val="32"/>
          <w:szCs w:val="32"/>
          <w:lang w:val="en-US" w:eastAsia="zh-CN"/>
        </w:rPr>
        <w:t>经现场检查单位资产，一是资产均未贴标，且大部分资产在资产卡片列表中未写明资产存放位置，不利于单位资产管理；二是部分资产由于搬家原因导致两</w:t>
      </w:r>
      <w:r>
        <w:rPr>
          <w:rFonts w:hint="eastAsia" w:cs="Times New Roman"/>
          <w:b w:val="0"/>
          <w:bCs w:val="0"/>
          <w:sz w:val="32"/>
          <w:szCs w:val="32"/>
          <w:lang w:val="en-US" w:eastAsia="zh-CN"/>
        </w:rPr>
        <w:t>台</w:t>
      </w:r>
      <w:r>
        <w:rPr>
          <w:rFonts w:hint="default" w:ascii="Times New Roman" w:hAnsi="Times New Roman" w:eastAsia="仿宋" w:cs="Times New Roman"/>
          <w:b w:val="0"/>
          <w:bCs w:val="0"/>
          <w:sz w:val="32"/>
          <w:szCs w:val="32"/>
          <w:lang w:val="en-US" w:eastAsia="zh-CN"/>
        </w:rPr>
        <w:t>家用电取暖器丢失。</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jc w:val="both"/>
        <w:textAlignment w:val="auto"/>
        <w:outlineLvl w:val="0"/>
        <w:rPr>
          <w:rFonts w:hint="default" w:ascii="Times New Roman" w:hAnsi="Times New Roman" w:eastAsia="黑体" w:cs="Times New Roman"/>
          <w:b/>
          <w:bCs/>
          <w:kern w:val="2"/>
          <w:sz w:val="31"/>
          <w:szCs w:val="31"/>
          <w:lang w:val="en-US" w:eastAsia="zh-CN" w:bidi="ar-SA"/>
        </w:rPr>
      </w:pPr>
      <w:bookmarkStart w:id="113" w:name="_Toc22795"/>
      <w:bookmarkStart w:id="114" w:name="_Toc10967"/>
      <w:bookmarkStart w:id="115" w:name="_Toc7280"/>
      <w:r>
        <w:rPr>
          <w:rFonts w:hint="default" w:ascii="Times New Roman" w:hAnsi="Times New Roman" w:cs="Times New Roman"/>
          <w:b/>
          <w:bCs/>
          <w:kern w:val="2"/>
          <w:sz w:val="31"/>
          <w:szCs w:val="31"/>
          <w:lang w:val="en-US" w:eastAsia="zh-CN" w:bidi="ar-SA"/>
        </w:rPr>
        <w:t>八、</w:t>
      </w:r>
      <w:r>
        <w:rPr>
          <w:rFonts w:hint="default" w:ascii="Times New Roman" w:hAnsi="Times New Roman" w:eastAsia="黑体" w:cs="Times New Roman"/>
          <w:b/>
          <w:bCs/>
          <w:kern w:val="2"/>
          <w:sz w:val="31"/>
          <w:szCs w:val="31"/>
          <w:lang w:val="en-US" w:eastAsia="zh-CN" w:bidi="ar-SA"/>
        </w:rPr>
        <w:t>相关</w:t>
      </w:r>
      <w:r>
        <w:rPr>
          <w:rFonts w:hint="default" w:ascii="Times New Roman" w:hAnsi="Times New Roman" w:eastAsia="黑体" w:cs="Times New Roman"/>
          <w:b/>
          <w:bCs w:val="0"/>
          <w:kern w:val="44"/>
          <w:sz w:val="32"/>
          <w:szCs w:val="24"/>
          <w:lang w:val="en-US" w:eastAsia="zh-CN" w:bidi="ar-SA"/>
        </w:rPr>
        <w:t>建议</w:t>
      </w:r>
      <w:bookmarkEnd w:id="113"/>
      <w:bookmarkEnd w:id="114"/>
      <w:bookmarkEnd w:id="115"/>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w:hAnsi="Times New Roman" w:eastAsia="楷体" w:cs="Times New Roman"/>
          <w:b/>
          <w:bCs/>
          <w:sz w:val="32"/>
          <w:szCs w:val="32"/>
          <w:lang w:val="en-US" w:eastAsia="zh-CN"/>
        </w:rPr>
      </w:pPr>
      <w:bookmarkStart w:id="116" w:name="_Toc6467"/>
      <w:bookmarkStart w:id="117" w:name="_Toc31051"/>
      <w:r>
        <w:rPr>
          <w:rFonts w:hint="default" w:ascii="Times New Roman" w:hAnsi="Times New Roman" w:eastAsia="楷体" w:cs="Times New Roman"/>
          <w:b/>
          <w:bCs/>
          <w:sz w:val="32"/>
          <w:szCs w:val="32"/>
          <w:lang w:val="en-US" w:eastAsia="zh-CN"/>
        </w:rPr>
        <w:t>（</w:t>
      </w:r>
      <w:r>
        <w:rPr>
          <w:rFonts w:hint="eastAsia" w:ascii="Times New Roman" w:hAnsi="Times New Roman" w:cs="Times New Roman"/>
          <w:b/>
          <w:bCs/>
          <w:sz w:val="32"/>
          <w:szCs w:val="32"/>
          <w:lang w:val="en-US" w:eastAsia="zh-CN"/>
        </w:rPr>
        <w:t>一</w:t>
      </w:r>
      <w:r>
        <w:rPr>
          <w:rFonts w:hint="default" w:ascii="Times New Roman" w:hAnsi="Times New Roman" w:eastAsia="楷体" w:cs="Times New Roman"/>
          <w:b/>
          <w:bCs/>
          <w:sz w:val="32"/>
          <w:szCs w:val="32"/>
          <w:lang w:val="en-US" w:eastAsia="zh-CN"/>
        </w:rPr>
        <w:t>）加强政府采购管理</w:t>
      </w:r>
      <w:bookmarkEnd w:id="116"/>
      <w:bookmarkEnd w:id="11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一是强化政府采购预算管理，从预算编制入手，细化采购项目预算的编制工作；二是采购项目不得超过预算定额，增强采购的计划性；三是减少临时性采购，增强政府采购预算的刚性约束，严格按预算执行政府采购支出。</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w:hAnsi="Times New Roman" w:eastAsia="楷体" w:cs="Times New Roman"/>
          <w:b/>
          <w:bCs/>
          <w:sz w:val="32"/>
          <w:szCs w:val="32"/>
          <w:lang w:val="en-US" w:eastAsia="zh-CN"/>
        </w:rPr>
      </w:pPr>
      <w:bookmarkStart w:id="118" w:name="_Toc7966"/>
      <w:bookmarkStart w:id="119" w:name="_Toc11828"/>
      <w:r>
        <w:rPr>
          <w:rFonts w:hint="default" w:ascii="Times New Roman" w:hAnsi="Times New Roman" w:eastAsia="楷体" w:cs="Times New Roman"/>
          <w:b/>
          <w:bCs/>
          <w:sz w:val="32"/>
          <w:szCs w:val="32"/>
          <w:lang w:val="en-US" w:eastAsia="zh-CN"/>
        </w:rPr>
        <w:t>（</w:t>
      </w:r>
      <w:r>
        <w:rPr>
          <w:rFonts w:hint="eastAsia" w:ascii="Times New Roman" w:hAnsi="Times New Roman" w:cs="Times New Roman"/>
          <w:b/>
          <w:bCs/>
          <w:sz w:val="32"/>
          <w:szCs w:val="32"/>
          <w:lang w:val="en-US" w:eastAsia="zh-CN"/>
        </w:rPr>
        <w:t>二</w:t>
      </w:r>
      <w:r>
        <w:rPr>
          <w:rFonts w:hint="default" w:ascii="Times New Roman" w:hAnsi="Times New Roman" w:eastAsia="楷体" w:cs="Times New Roman"/>
          <w:b/>
          <w:bCs/>
          <w:sz w:val="32"/>
          <w:szCs w:val="32"/>
          <w:lang w:val="en-US" w:eastAsia="zh-CN"/>
        </w:rPr>
        <w:t>）加强资金</w:t>
      </w:r>
      <w:r>
        <w:rPr>
          <w:rFonts w:hint="default" w:ascii="Times New Roman" w:hAnsi="Times New Roman" w:eastAsia="楷体" w:cs="Times New Roman"/>
          <w:b/>
          <w:bCs w:val="0"/>
          <w:sz w:val="32"/>
          <w:szCs w:val="24"/>
          <w:lang w:val="en-US" w:eastAsia="zh-CN"/>
        </w:rPr>
        <w:t>支付</w:t>
      </w:r>
      <w:r>
        <w:rPr>
          <w:rFonts w:hint="default" w:ascii="Times New Roman" w:hAnsi="Times New Roman" w:eastAsia="楷体" w:cs="Times New Roman"/>
          <w:b/>
          <w:bCs/>
          <w:sz w:val="32"/>
          <w:szCs w:val="32"/>
          <w:lang w:val="en-US" w:eastAsia="zh-CN"/>
        </w:rPr>
        <w:t>管理</w:t>
      </w:r>
      <w:bookmarkEnd w:id="118"/>
      <w:bookmarkEnd w:id="119"/>
    </w:p>
    <w:p>
      <w:pPr>
        <w:rPr>
          <w:rFonts w:hint="default" w:ascii="Times New Roman" w:hAnsi="Times New Roman" w:cs="Times New Roman"/>
          <w:lang w:val="en-US" w:eastAsia="zh-CN"/>
        </w:rPr>
      </w:pPr>
      <w:r>
        <w:rPr>
          <w:rFonts w:hint="eastAsia" w:cs="Times New Roman"/>
          <w:lang w:eastAsia="zh-CN"/>
        </w:rPr>
        <w:t>加大</w:t>
      </w:r>
      <w:r>
        <w:rPr>
          <w:rFonts w:hint="default" w:ascii="Times New Roman" w:hAnsi="Times New Roman" w:cs="Times New Roman"/>
        </w:rPr>
        <w:t>对支出的审核力度，对不真实、不合法、不准确、不完 整的原始单据，应不予接受并退回经办人重新办理；规范做账，严格遵守财务管理制度。</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w:hAnsi="Times New Roman" w:eastAsia="楷体" w:cs="Times New Roman"/>
          <w:b/>
          <w:bCs/>
          <w:sz w:val="32"/>
          <w:szCs w:val="32"/>
          <w:lang w:val="en-US" w:eastAsia="zh-CN"/>
        </w:rPr>
      </w:pPr>
      <w:bookmarkStart w:id="120" w:name="_Toc25733"/>
      <w:bookmarkStart w:id="121" w:name="_Toc4267"/>
      <w:bookmarkStart w:id="122" w:name="_Toc7594"/>
      <w:r>
        <w:rPr>
          <w:rFonts w:hint="default" w:ascii="Times New Roman" w:hAnsi="Times New Roman" w:eastAsia="楷体" w:cs="Times New Roman"/>
          <w:b/>
          <w:bCs/>
          <w:sz w:val="32"/>
          <w:szCs w:val="32"/>
          <w:lang w:val="en-US" w:eastAsia="zh-CN"/>
        </w:rPr>
        <w:t>（</w:t>
      </w:r>
      <w:r>
        <w:rPr>
          <w:rFonts w:hint="eastAsia" w:ascii="Times New Roman" w:hAnsi="Times New Roman" w:cs="Times New Roman"/>
          <w:b/>
          <w:bCs/>
          <w:sz w:val="32"/>
          <w:szCs w:val="32"/>
          <w:lang w:val="en-US" w:eastAsia="zh-CN"/>
        </w:rPr>
        <w:t>三</w:t>
      </w:r>
      <w:r>
        <w:rPr>
          <w:rFonts w:hint="default" w:ascii="Times New Roman" w:hAnsi="Times New Roman" w:eastAsia="楷体" w:cs="Times New Roman"/>
          <w:b/>
          <w:bCs/>
          <w:sz w:val="32"/>
          <w:szCs w:val="32"/>
          <w:lang w:val="en-US" w:eastAsia="zh-CN"/>
        </w:rPr>
        <w:t>）规范资产</w:t>
      </w:r>
      <w:r>
        <w:rPr>
          <w:rFonts w:hint="default" w:ascii="Times New Roman" w:hAnsi="Times New Roman" w:eastAsia="楷体" w:cs="Times New Roman"/>
          <w:b/>
          <w:bCs w:val="0"/>
          <w:sz w:val="32"/>
          <w:szCs w:val="24"/>
          <w:lang w:val="en-US" w:eastAsia="zh-CN"/>
        </w:rPr>
        <w:t>管理</w:t>
      </w:r>
      <w:bookmarkEnd w:id="120"/>
      <w:bookmarkEnd w:id="121"/>
    </w:p>
    <w:p>
      <w:pPr>
        <w:numPr>
          <w:ilvl w:val="-1"/>
          <w:numId w:val="0"/>
        </w:numPr>
        <w:ind w:firstLine="640" w:firstLineChars="200"/>
        <w:jc w:val="left"/>
        <w:outlineLvl w:val="9"/>
        <w:rPr>
          <w:rFonts w:hint="default" w:ascii="Times New Roman" w:hAnsi="Times New Roman" w:eastAsia="仿宋" w:cs="Times New Roman"/>
          <w:b w:val="0"/>
          <w:bCs w:val="0"/>
          <w:kern w:val="2"/>
          <w:sz w:val="32"/>
          <w:szCs w:val="32"/>
          <w:lang w:val="en-US" w:eastAsia="zh-CN" w:bidi="ar-SA"/>
        </w:rPr>
      </w:pPr>
      <w:r>
        <w:rPr>
          <w:rFonts w:hint="default" w:ascii="Times New Roman" w:hAnsi="Times New Roman" w:eastAsia="仿宋" w:cs="Times New Roman"/>
          <w:b w:val="0"/>
          <w:bCs w:val="0"/>
          <w:kern w:val="2"/>
          <w:sz w:val="32"/>
          <w:szCs w:val="32"/>
          <w:lang w:val="en-US" w:eastAsia="zh-CN" w:bidi="ar-SA"/>
        </w:rPr>
        <w:t>建议单位进一步规范实物资产的管理，对实物资产进行定期或不定期的盘点，对于资产分类、资产品牌、规格型号等资产信息录入错误的情况及时更正，确保固定资产账实相符，对固定资产实行卡片管理，每一个固定资产进行贴标，明确使用部门及责任，确保国有资产的安全、完整。</w:t>
      </w:r>
    </w:p>
    <w:bookmarkEnd w:id="122"/>
    <w:p>
      <w:pPr>
        <w:pStyle w:val="3"/>
        <w:numPr>
          <w:ilvl w:val="0"/>
          <w:numId w:val="0"/>
        </w:numPr>
        <w:ind w:firstLine="622" w:firstLineChars="200"/>
        <w:jc w:val="both"/>
        <w:outlineLvl w:val="0"/>
        <w:rPr>
          <w:rFonts w:hint="default" w:ascii="Times New Roman" w:hAnsi="Times New Roman" w:eastAsia="仿宋" w:cs="Times New Roman"/>
          <w:b w:val="0"/>
          <w:bCs w:val="0"/>
          <w:sz w:val="31"/>
          <w:szCs w:val="31"/>
          <w:lang w:val="en-US" w:eastAsia="zh-CN"/>
        </w:rPr>
      </w:pPr>
      <w:bookmarkStart w:id="123" w:name="_Toc32752"/>
      <w:bookmarkStart w:id="124" w:name="_Toc9696"/>
      <w:bookmarkStart w:id="125" w:name="_Toc11101"/>
      <w:r>
        <w:rPr>
          <w:rFonts w:hint="default" w:ascii="Times New Roman" w:hAnsi="Times New Roman" w:eastAsia="黑体" w:cs="Times New Roman"/>
          <w:b/>
          <w:bCs/>
          <w:kern w:val="2"/>
          <w:sz w:val="31"/>
          <w:szCs w:val="31"/>
          <w:lang w:val="en-US" w:eastAsia="zh-CN" w:bidi="ar-SA"/>
        </w:rPr>
        <w:t>九、报告使用情况说明</w:t>
      </w:r>
      <w:bookmarkEnd w:id="123"/>
      <w:bookmarkEnd w:id="124"/>
      <w:bookmarkEnd w:id="125"/>
    </w:p>
    <w:p>
      <w:pPr>
        <w:numPr>
          <w:ilvl w:val="0"/>
          <w:numId w:val="0"/>
        </w:numPr>
        <w:ind w:firstLine="620" w:firstLineChars="200"/>
        <w:jc w:val="both"/>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1"/>
          <w:szCs w:val="31"/>
          <w:lang w:val="en-US" w:eastAsia="zh-CN"/>
        </w:rPr>
        <w:t>本报告仅供委托方了解部门整体支出绩效情况使用，亦可供邵阳市北塔区商务局加强部门整体绩效管理参考使用，非经委托方和本所许可，不得用于其他目的。</w:t>
      </w:r>
    </w:p>
    <w:p>
      <w:pPr>
        <w:numPr>
          <w:ilvl w:val="0"/>
          <w:numId w:val="0"/>
        </w:numPr>
        <w:ind w:firstLine="620" w:firstLineChars="200"/>
        <w:jc w:val="both"/>
        <w:rPr>
          <w:rFonts w:hint="default" w:ascii="Times New Roman" w:hAnsi="Times New Roman" w:eastAsia="仿宋" w:cs="Times New Roman"/>
          <w:b w:val="0"/>
          <w:bCs w:val="0"/>
          <w:sz w:val="31"/>
          <w:szCs w:val="31"/>
          <w:lang w:val="en-US" w:eastAsia="zh-CN"/>
        </w:rPr>
      </w:pPr>
    </w:p>
    <w:p>
      <w:pPr>
        <w:ind w:firstLine="0" w:firstLineChars="0"/>
        <w:rPr>
          <w:rFonts w:hint="default" w:ascii="Times New Roman" w:hAnsi="Times New Roman" w:cs="Times New Roman"/>
          <w:lang w:val="en-US" w:eastAsia="zh-CN"/>
        </w:rPr>
      </w:pPr>
    </w:p>
    <w:p>
      <w:pPr>
        <w:ind w:firstLine="0" w:firstLineChars="0"/>
        <w:rPr>
          <w:rFonts w:hint="default" w:ascii="Times New Roman" w:hAnsi="Times New Roman" w:cs="Times New Roman"/>
          <w:lang w:val="en-US" w:eastAsia="zh-CN"/>
        </w:rPr>
      </w:pPr>
    </w:p>
    <w:p>
      <w:pPr>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附件</w:t>
      </w:r>
      <w:r>
        <w:rPr>
          <w:rFonts w:hint="eastAsia" w:cs="Times New Roman"/>
          <w:lang w:val="en-US" w:eastAsia="zh-CN"/>
        </w:rPr>
        <w:t>1</w:t>
      </w:r>
      <w:r>
        <w:rPr>
          <w:rFonts w:hint="default" w:ascii="Times New Roman" w:hAnsi="Times New Roman" w:cs="Times New Roman"/>
          <w:lang w:val="en-US" w:eastAsia="zh-CN"/>
        </w:rPr>
        <w:t>：2022年度邵阳市北塔区商务局部门整体支出绩效评价指标表</w:t>
      </w:r>
    </w:p>
    <w:p>
      <w:pPr>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附件</w:t>
      </w:r>
      <w:r>
        <w:rPr>
          <w:rFonts w:hint="eastAsia" w:cs="Times New Roman"/>
          <w:lang w:val="en-US" w:eastAsia="zh-CN"/>
        </w:rPr>
        <w:t>2</w:t>
      </w:r>
      <w:r>
        <w:rPr>
          <w:rFonts w:hint="default" w:ascii="Times New Roman" w:hAnsi="Times New Roman" w:cs="Times New Roman"/>
          <w:lang w:val="en-US" w:eastAsia="zh-CN"/>
        </w:rPr>
        <w:t>：2022年度邵阳市北塔区商务局部门整体支出</w:t>
      </w:r>
      <w:r>
        <w:rPr>
          <w:rFonts w:hint="eastAsia" w:cs="Times New Roman"/>
          <w:lang w:val="en-US" w:eastAsia="zh-CN"/>
        </w:rPr>
        <w:t>基础数据表</w:t>
      </w:r>
    </w:p>
    <w:p>
      <w:pPr>
        <w:pStyle w:val="11"/>
        <w:ind w:firstLine="0" w:firstLineChars="0"/>
        <w:rPr>
          <w:rFonts w:hint="default" w:ascii="Times New Roman Regular" w:hAnsi="Times New Roman Regular" w:eastAsia="楷体" w:cs="Times New Roman Regular"/>
          <w:sz w:val="30"/>
          <w:szCs w:val="30"/>
          <w:lang w:val="en-US" w:eastAsia="zh-CN"/>
        </w:rPr>
      </w:pPr>
    </w:p>
    <w:p>
      <w:pPr>
        <w:pStyle w:val="11"/>
        <w:ind w:firstLine="0" w:firstLineChars="0"/>
        <w:rPr>
          <w:rFonts w:hint="default" w:ascii="Times New Roman Regular" w:hAnsi="Times New Roman Regular" w:eastAsia="楷体" w:cs="Times New Roman Regular"/>
          <w:sz w:val="30"/>
          <w:szCs w:val="30"/>
          <w:lang w:val="en-US" w:eastAsia="zh-CN"/>
        </w:rPr>
      </w:pPr>
    </w:p>
    <w:p>
      <w:pPr>
        <w:pStyle w:val="11"/>
        <w:ind w:firstLine="0" w:firstLineChars="0"/>
        <w:rPr>
          <w:rFonts w:hint="default" w:ascii="Times New Roman Regular" w:hAnsi="Times New Roman Regular" w:eastAsia="楷体" w:cs="Times New Roman Regular"/>
          <w:sz w:val="30"/>
          <w:szCs w:val="30"/>
          <w:lang w:val="en-US" w:eastAsia="zh-CN"/>
        </w:rPr>
      </w:pPr>
      <w:r>
        <w:rPr>
          <w:rFonts w:hint="default" w:ascii="Times New Roman Regular" w:hAnsi="Times New Roman Regular" w:eastAsia="楷体" w:cs="Times New Roman Regular"/>
          <w:sz w:val="30"/>
          <w:szCs w:val="30"/>
          <w:lang w:val="en-US" w:eastAsia="zh-CN"/>
        </w:rPr>
        <w:t>湖南财正会计师事务所</w:t>
      </w:r>
      <w:r>
        <w:rPr>
          <w:rFonts w:hint="eastAsia" w:ascii="Times New Roman Regular" w:hAnsi="Times New Roman Regular" w:eastAsia="楷体" w:cs="Times New Roman Regular"/>
          <w:sz w:val="30"/>
          <w:szCs w:val="30"/>
          <w:lang w:val="en-US" w:eastAsia="zh-CN"/>
        </w:rPr>
        <w:t>（</w:t>
      </w:r>
      <w:r>
        <w:rPr>
          <w:rFonts w:hint="default" w:ascii="Times New Roman Regular" w:hAnsi="Times New Roman Regular" w:eastAsia="楷体" w:cs="Times New Roman Regular"/>
          <w:sz w:val="30"/>
          <w:szCs w:val="30"/>
          <w:lang w:val="en-US" w:eastAsia="zh-CN"/>
        </w:rPr>
        <w:t>普通合伙</w:t>
      </w:r>
      <w:r>
        <w:rPr>
          <w:rFonts w:hint="eastAsia" w:ascii="Times New Roman Regular" w:hAnsi="Times New Roman Regular" w:eastAsia="楷体" w:cs="Times New Roman Regular"/>
          <w:sz w:val="30"/>
          <w:szCs w:val="30"/>
          <w:lang w:val="en-US" w:eastAsia="zh-CN"/>
        </w:rPr>
        <w:t>）</w:t>
      </w:r>
      <w:r>
        <w:rPr>
          <w:rFonts w:hint="default" w:ascii="Times New Roman Regular" w:hAnsi="Times New Roman Regular" w:eastAsia="楷体" w:cs="Times New Roman Regular"/>
          <w:sz w:val="30"/>
          <w:szCs w:val="30"/>
          <w:lang w:val="en-US" w:eastAsia="zh-CN"/>
        </w:rPr>
        <w:t xml:space="preserve">    中国注册会计师：</w:t>
      </w:r>
    </w:p>
    <w:p>
      <w:pPr>
        <w:rPr>
          <w:rFonts w:hint="default" w:ascii="Times New Roman Regular" w:hAnsi="Times New Roman Regular" w:eastAsia="仿宋" w:cs="Times New Roman Regular"/>
          <w:b w:val="0"/>
          <w:bCs w:val="0"/>
          <w:sz w:val="31"/>
          <w:szCs w:val="31"/>
          <w:lang w:val="en-US" w:eastAsia="zh-CN"/>
        </w:rPr>
      </w:pPr>
    </w:p>
    <w:p>
      <w:pPr>
        <w:ind w:firstLine="900" w:firstLineChars="300"/>
        <w:rPr>
          <w:rFonts w:hint="default" w:ascii="Times New Roman Regular" w:hAnsi="Times New Roman Regular" w:eastAsia="楷体" w:cs="Times New Roman Regular"/>
          <w:b w:val="0"/>
          <w:bCs w:val="0"/>
          <w:sz w:val="30"/>
          <w:szCs w:val="30"/>
          <w:lang w:val="en-US" w:eastAsia="zh-CN"/>
        </w:rPr>
      </w:pPr>
      <w:r>
        <w:rPr>
          <w:rFonts w:hint="default" w:ascii="Times New Roman Regular" w:hAnsi="Times New Roman Regular" w:eastAsia="楷体" w:cs="Times New Roman Regular"/>
          <w:b w:val="0"/>
          <w:bCs w:val="0"/>
          <w:sz w:val="30"/>
          <w:szCs w:val="30"/>
          <w:lang w:val="en-US" w:eastAsia="zh-CN"/>
        </w:rPr>
        <w:t>湖南</w:t>
      </w:r>
      <w:r>
        <w:rPr>
          <w:rFonts w:hint="eastAsia" w:ascii="微软雅黑" w:hAnsi="微软雅黑" w:eastAsia="微软雅黑" w:cs="微软雅黑"/>
          <w:b w:val="0"/>
          <w:bCs w:val="0"/>
          <w:sz w:val="30"/>
          <w:szCs w:val="30"/>
          <w:lang w:val="en-US" w:eastAsia="zh-CN"/>
        </w:rPr>
        <w:t>•</w:t>
      </w:r>
      <w:r>
        <w:rPr>
          <w:rFonts w:hint="default" w:ascii="Times New Roman Regular" w:hAnsi="Times New Roman Regular" w:eastAsia="楷体" w:cs="Times New Roman Regular"/>
          <w:b w:val="0"/>
          <w:bCs w:val="0"/>
          <w:sz w:val="30"/>
          <w:szCs w:val="30"/>
          <w:lang w:val="en-US" w:eastAsia="zh-CN"/>
        </w:rPr>
        <w:t>长沙</w:t>
      </w:r>
      <w:r>
        <w:rPr>
          <w:rFonts w:hint="default" w:ascii="Times New Roman Regular" w:hAnsi="Times New Roman Regular" w:cs="Times New Roman Regular"/>
          <w:sz w:val="30"/>
          <w:szCs w:val="30"/>
          <w:lang w:val="en-US" w:eastAsia="zh-CN"/>
        </w:rPr>
        <w:t xml:space="preserve">  </w:t>
      </w:r>
      <w:r>
        <w:rPr>
          <w:rFonts w:hint="default" w:ascii="Times New Roman Regular" w:hAnsi="Times New Roman Regular" w:cs="Times New Roman Regular"/>
          <w:lang w:val="en-US" w:eastAsia="zh-CN"/>
        </w:rPr>
        <w:t xml:space="preserve">             </w:t>
      </w:r>
      <w:r>
        <w:rPr>
          <w:rFonts w:hint="eastAsia" w:ascii="Times New Roman Regular" w:hAnsi="Times New Roman Regular" w:cs="Times New Roman Regular"/>
          <w:lang w:val="en-US" w:eastAsia="zh-CN"/>
        </w:rPr>
        <w:t xml:space="preserve">  </w:t>
      </w:r>
      <w:r>
        <w:rPr>
          <w:rFonts w:hint="eastAsia" w:ascii="Times New Roman Regular" w:hAnsi="Times New Roman Regular" w:eastAsia="楷体" w:cs="Times New Roman Regular"/>
          <w:sz w:val="30"/>
          <w:szCs w:val="30"/>
          <w:lang w:val="en-US" w:eastAsia="zh-CN"/>
        </w:rPr>
        <w:t xml:space="preserve">   </w:t>
      </w:r>
      <w:r>
        <w:rPr>
          <w:rFonts w:hint="default" w:ascii="Times New Roman Regular" w:hAnsi="Times New Roman Regular" w:eastAsia="楷体" w:cs="Times New Roman Regular"/>
          <w:sz w:val="30"/>
          <w:szCs w:val="30"/>
          <w:lang w:val="en-US" w:eastAsia="zh-CN"/>
        </w:rPr>
        <w:t>中国注册会计师：</w:t>
      </w:r>
    </w:p>
    <w:p>
      <w:pPr>
        <w:pStyle w:val="11"/>
        <w:ind w:firstLine="0" w:firstLineChars="0"/>
        <w:rPr>
          <w:rFonts w:hint="default" w:ascii="Times New Roman Regular" w:hAnsi="Times New Roman Regular" w:cs="Times New Roman Regular"/>
          <w:lang w:val="en-US" w:eastAsia="zh-CN"/>
        </w:rPr>
      </w:pPr>
    </w:p>
    <w:p>
      <w:pPr>
        <w:pStyle w:val="11"/>
        <w:ind w:firstLine="0" w:firstLineChars="0"/>
        <w:jc w:val="right"/>
        <w:rPr>
          <w:rFonts w:hint="default" w:ascii="Times New Roman Regular" w:hAnsi="Times New Roman Regular" w:eastAsia="楷体" w:cs="Times New Roman Regular"/>
          <w:b w:val="0"/>
          <w:bCs w:val="0"/>
          <w:sz w:val="30"/>
          <w:szCs w:val="30"/>
          <w:lang w:val="en-US" w:eastAsia="zh-CN"/>
        </w:rPr>
      </w:pPr>
      <w:r>
        <w:rPr>
          <w:rFonts w:hint="default" w:ascii="Times New Roman Regular" w:hAnsi="Times New Roman Regular" w:eastAsia="楷体" w:cs="Times New Roman Regular"/>
          <w:kern w:val="2"/>
          <w:sz w:val="30"/>
          <w:szCs w:val="30"/>
          <w:lang w:val="en-US" w:eastAsia="zh-CN" w:bidi="ar-SA"/>
        </w:rPr>
        <w:t>二〇二三年十月二十日</w:t>
      </w:r>
    </w:p>
    <w:p>
      <w:pPr>
        <w:pStyle w:val="6"/>
        <w:ind w:firstLine="0" w:firstLineChars="0"/>
        <w:rPr>
          <w:rFonts w:hint="default"/>
          <w:lang w:val="en-US" w:eastAsia="zh-CN"/>
        </w:rPr>
        <w:sectPr>
          <w:headerReference r:id="rId7" w:type="default"/>
          <w:pgSz w:w="11906" w:h="16838"/>
          <w:pgMar w:top="1440" w:right="1803" w:bottom="1440" w:left="1803" w:header="680" w:footer="992" w:gutter="0"/>
          <w:pgBorders>
            <w:top w:val="none" w:sz="0" w:space="0"/>
            <w:left w:val="none" w:sz="0" w:space="0"/>
            <w:bottom w:val="none" w:sz="0" w:space="0"/>
            <w:right w:val="none" w:sz="0" w:space="0"/>
          </w:pgBorders>
          <w:pgNumType w:fmt="decimal"/>
          <w:cols w:space="425" w:num="1"/>
          <w:docGrid w:type="lines" w:linePitch="312" w:charSpace="0"/>
        </w:sectPr>
      </w:pPr>
    </w:p>
    <w:p>
      <w:pPr>
        <w:widowControl/>
        <w:kinsoku w:val="0"/>
        <w:autoSpaceDE w:val="0"/>
        <w:autoSpaceDN w:val="0"/>
        <w:adjustRightInd w:val="0"/>
        <w:snapToGrid w:val="0"/>
        <w:spacing w:before="55" w:line="222" w:lineRule="auto"/>
        <w:ind w:left="0" w:firstLine="0" w:firstLineChars="0"/>
        <w:jc w:val="left"/>
        <w:textAlignment w:val="baseline"/>
        <w:rPr>
          <w:rFonts w:hint="default" w:ascii="Times New Roman" w:hAnsi="Times New Roman" w:eastAsia="仿宋" w:cs="Times New Roman"/>
          <w:snapToGrid w:val="0"/>
          <w:color w:val="000000"/>
          <w:spacing w:val="-13"/>
          <w:kern w:val="0"/>
          <w:sz w:val="32"/>
          <w:szCs w:val="32"/>
          <w:lang w:val="en-US" w:eastAsia="zh-CN"/>
        </w:rPr>
      </w:pPr>
      <w:r>
        <w:rPr>
          <w:rFonts w:hint="default" w:ascii="Times New Roman" w:hAnsi="Times New Roman" w:eastAsia="仿宋" w:cs="Times New Roman"/>
          <w:snapToGrid w:val="0"/>
          <w:color w:val="000000"/>
          <w:spacing w:val="-13"/>
          <w:kern w:val="0"/>
          <w:sz w:val="32"/>
          <w:szCs w:val="32"/>
          <w:lang w:val="en-US" w:eastAsia="zh-CN"/>
        </w:rPr>
        <w:t>附件</w:t>
      </w:r>
      <w:r>
        <w:rPr>
          <w:rFonts w:hint="eastAsia" w:cs="Times New Roman"/>
          <w:snapToGrid w:val="0"/>
          <w:color w:val="000000"/>
          <w:spacing w:val="-13"/>
          <w:kern w:val="0"/>
          <w:sz w:val="32"/>
          <w:szCs w:val="32"/>
          <w:lang w:val="en-US" w:eastAsia="zh-CN"/>
        </w:rPr>
        <w:t>1</w:t>
      </w:r>
      <w:r>
        <w:rPr>
          <w:rFonts w:hint="default" w:ascii="Times New Roman" w:hAnsi="Times New Roman" w:eastAsia="仿宋" w:cs="Times New Roman"/>
          <w:snapToGrid w:val="0"/>
          <w:color w:val="000000"/>
          <w:spacing w:val="-13"/>
          <w:kern w:val="0"/>
          <w:sz w:val="32"/>
          <w:szCs w:val="32"/>
          <w:lang w:val="en-US" w:eastAsia="zh-CN"/>
        </w:rPr>
        <w:t>：</w:t>
      </w:r>
    </w:p>
    <w:p>
      <w:pPr>
        <w:widowControl/>
        <w:kinsoku w:val="0"/>
        <w:autoSpaceDE w:val="0"/>
        <w:autoSpaceDN w:val="0"/>
        <w:adjustRightInd w:val="0"/>
        <w:snapToGrid w:val="0"/>
        <w:spacing w:before="171" w:line="160" w:lineRule="auto"/>
        <w:jc w:val="center"/>
        <w:textAlignment w:val="baseline"/>
        <w:rPr>
          <w:rFonts w:hint="default" w:ascii="Times New Roman" w:hAnsi="Times New Roman" w:eastAsia="方正小标宋简体" w:cs="Times New Roman"/>
          <w:snapToGrid w:val="0"/>
          <w:color w:val="000000"/>
          <w:kern w:val="0"/>
          <w:sz w:val="40"/>
          <w:szCs w:val="40"/>
          <w:lang w:val="en-US" w:eastAsia="zh-CN"/>
        </w:rPr>
      </w:pPr>
      <w:r>
        <w:rPr>
          <w:rFonts w:hint="default" w:ascii="Times New Roman" w:hAnsi="Times New Roman" w:eastAsia="方正小标宋简体" w:cs="Times New Roman"/>
          <w:b w:val="0"/>
          <w:bCs w:val="0"/>
          <w:snapToGrid w:val="0"/>
          <w:color w:val="000000"/>
          <w:spacing w:val="-3"/>
          <w:kern w:val="0"/>
          <w:sz w:val="40"/>
          <w:szCs w:val="40"/>
          <w:lang w:val="en-US" w:eastAsia="zh-CN"/>
        </w:rPr>
        <w:t>2022年度邵阳市北塔区商务局部门整体支出绩效评价指标表</w:t>
      </w:r>
    </w:p>
    <w:tbl>
      <w:tblPr>
        <w:tblStyle w:val="16"/>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15"/>
        <w:gridCol w:w="984"/>
        <w:gridCol w:w="1886"/>
        <w:gridCol w:w="1068"/>
        <w:gridCol w:w="7096"/>
        <w:gridCol w:w="1297"/>
        <w:gridCol w:w="15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tblHeader/>
          <w:jc w:val="center"/>
        </w:trPr>
        <w:tc>
          <w:tcPr>
            <w:tcW w:w="403" w:type="pct"/>
            <w:shd w:val="clear" w:color="auto" w:fill="auto"/>
            <w:vAlign w:val="center"/>
          </w:tcPr>
          <w:p>
            <w:pPr>
              <w:spacing w:line="240" w:lineRule="auto"/>
              <w:ind w:firstLine="0" w:firstLineChars="0"/>
              <w:jc w:val="center"/>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一级指标</w:t>
            </w:r>
          </w:p>
        </w:tc>
        <w:tc>
          <w:tcPr>
            <w:tcW w:w="326" w:type="pct"/>
            <w:shd w:val="clear" w:color="auto" w:fill="auto"/>
            <w:vAlign w:val="center"/>
          </w:tcPr>
          <w:p>
            <w:pPr>
              <w:spacing w:line="240" w:lineRule="auto"/>
              <w:ind w:firstLine="0" w:firstLineChars="0"/>
              <w:jc w:val="center"/>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二级指标</w:t>
            </w: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三级指标</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标准分值</w:t>
            </w:r>
          </w:p>
        </w:tc>
        <w:tc>
          <w:tcPr>
            <w:tcW w:w="2352" w:type="pct"/>
            <w:shd w:val="clear" w:color="auto" w:fill="auto"/>
            <w:vAlign w:val="center"/>
          </w:tcPr>
          <w:p>
            <w:pPr>
              <w:spacing w:line="240" w:lineRule="auto"/>
              <w:ind w:firstLine="0" w:firstLineChars="0"/>
              <w:jc w:val="center"/>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评价标准</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评价得分</w:t>
            </w:r>
          </w:p>
        </w:tc>
        <w:tc>
          <w:tcPr>
            <w:tcW w:w="508" w:type="pct"/>
            <w:shd w:val="clear" w:color="auto" w:fill="auto"/>
            <w:vAlign w:val="center"/>
          </w:tcPr>
          <w:p>
            <w:pPr>
              <w:spacing w:line="240" w:lineRule="auto"/>
              <w:ind w:firstLine="0" w:firstLineChars="0"/>
              <w:jc w:val="center"/>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403" w:type="pct"/>
            <w:vMerge w:val="restar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投入</w:t>
            </w:r>
          </w:p>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（15分）</w:t>
            </w:r>
          </w:p>
        </w:tc>
        <w:tc>
          <w:tcPr>
            <w:tcW w:w="326" w:type="pct"/>
            <w:vMerge w:val="restar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目标设定（6分）</w:t>
            </w: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绩效目标合理性</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3</w:t>
            </w:r>
          </w:p>
        </w:tc>
        <w:tc>
          <w:tcPr>
            <w:tcW w:w="2352" w:type="pct"/>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绩效目标未达到以下标准的，每条扣0.5分，扣完为止：①符合国家法律法规、国民经济和社会发展总体规划；②符合部门“三定”方案确定的职责；③符合部门制定的中长期实施规划和年度工作计划。</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3</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403" w:type="pct"/>
            <w:vMerge w:val="continue"/>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326" w:type="pct"/>
            <w:vMerge w:val="continue"/>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绩效指标明确性</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3</w:t>
            </w:r>
          </w:p>
        </w:tc>
        <w:tc>
          <w:tcPr>
            <w:tcW w:w="2352" w:type="pct"/>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val="en-US" w:eastAsia="zh-CN"/>
              </w:rPr>
              <w:t>是否</w:t>
            </w:r>
            <w:r>
              <w:rPr>
                <w:rFonts w:hint="default" w:ascii="Times New Roman" w:hAnsi="Times New Roman" w:eastAsia="宋体" w:cs="Times New Roman"/>
                <w:color w:val="000000"/>
                <w:sz w:val="18"/>
                <w:szCs w:val="18"/>
              </w:rPr>
              <w:t>将部门整体的绩效目标细化分解为具体的工作任</w:t>
            </w:r>
            <w:bookmarkStart w:id="126" w:name="_GoBack"/>
            <w:bookmarkEnd w:id="126"/>
            <w:r>
              <w:rPr>
                <w:rFonts w:hint="default" w:ascii="Times New Roman" w:hAnsi="Times New Roman" w:eastAsia="宋体" w:cs="Times New Roman"/>
                <w:color w:val="000000"/>
                <w:sz w:val="18"/>
                <w:szCs w:val="18"/>
              </w:rPr>
              <w:t>务；通过清晰、可衡量的指标值予以体现。与部门年度的任务数或计划数相对应；与本年度部门预算资金相匹配。</w:t>
            </w:r>
            <w:r>
              <w:rPr>
                <w:rFonts w:hint="default" w:ascii="Times New Roman" w:hAnsi="Times New Roman" w:eastAsia="宋体" w:cs="Times New Roman"/>
                <w:color w:val="000000"/>
                <w:sz w:val="18"/>
                <w:szCs w:val="18"/>
                <w:lang w:val="en-US" w:eastAsia="zh-CN"/>
              </w:rPr>
              <w:t>每发现一项不符扣1分，</w:t>
            </w:r>
            <w:r>
              <w:rPr>
                <w:rFonts w:hint="default" w:ascii="Times New Roman" w:hAnsi="Times New Roman" w:eastAsia="宋体" w:cs="Times New Roman"/>
                <w:color w:val="000000"/>
                <w:sz w:val="18"/>
                <w:szCs w:val="18"/>
              </w:rPr>
              <w:t>本项扣完为止。</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3</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403" w:type="pct"/>
            <w:vMerge w:val="continue"/>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326" w:type="pct"/>
            <w:vMerge w:val="restar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预算配置（9分）</w:t>
            </w: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val="en-US" w:eastAsia="zh-CN"/>
              </w:rPr>
              <w:t>在职</w:t>
            </w:r>
            <w:r>
              <w:rPr>
                <w:rFonts w:hint="default" w:ascii="Times New Roman" w:hAnsi="Times New Roman" w:eastAsia="宋体" w:cs="Times New Roman"/>
                <w:color w:val="000000"/>
                <w:sz w:val="18"/>
                <w:szCs w:val="18"/>
              </w:rPr>
              <w:t>人员</w:t>
            </w:r>
          </w:p>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控制率</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3</w:t>
            </w:r>
          </w:p>
        </w:tc>
        <w:tc>
          <w:tcPr>
            <w:tcW w:w="2352" w:type="pct"/>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以100%为标准，在职人员控制率=（在职人员数/编制数）×100%。</w:t>
            </w:r>
            <w:r>
              <w:rPr>
                <w:rFonts w:hint="default" w:ascii="Times New Roman" w:hAnsi="Times New Roman" w:eastAsia="宋体" w:cs="Times New Roman"/>
                <w:color w:val="000000"/>
                <w:sz w:val="18"/>
                <w:szCs w:val="18"/>
                <w:lang w:val="en-US" w:eastAsia="zh-CN"/>
              </w:rPr>
              <w:t>在职人员</w:t>
            </w:r>
            <w:r>
              <w:rPr>
                <w:rFonts w:hint="default" w:ascii="Times New Roman" w:hAnsi="Times New Roman" w:eastAsia="宋体" w:cs="Times New Roman"/>
                <w:color w:val="000000"/>
                <w:sz w:val="18"/>
                <w:szCs w:val="18"/>
              </w:rPr>
              <w:t>控制率≦100%，计3分，每超过1%，扣0.3分，扣完为止。</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3</w:t>
            </w:r>
          </w:p>
        </w:tc>
        <w:tc>
          <w:tcPr>
            <w:tcW w:w="508" w:type="pct"/>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403" w:type="pct"/>
            <w:vMerge w:val="continue"/>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326" w:type="pct"/>
            <w:vMerge w:val="continue"/>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重点支出安排率</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6</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重点支出安排率≥90%，计6分；每少10%扣1.5分；低于60%不得分。</w:t>
            </w:r>
          </w:p>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重点支出安排率=（重点预算支出/预算总支出）×100%。</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6</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jc w:val="center"/>
        </w:trPr>
        <w:tc>
          <w:tcPr>
            <w:tcW w:w="403" w:type="pct"/>
            <w:vMerge w:val="restar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过程</w:t>
            </w:r>
          </w:p>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（25分）</w:t>
            </w:r>
          </w:p>
        </w:tc>
        <w:tc>
          <w:tcPr>
            <w:tcW w:w="326" w:type="pct"/>
            <w:vMerge w:val="restar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预算执行（10分）</w:t>
            </w: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预算执行率</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以100%为标准。预算执行率每下降一个百分点扣0.1分，扣完为止。</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jc w:val="center"/>
        </w:trPr>
        <w:tc>
          <w:tcPr>
            <w:tcW w:w="403" w:type="pct"/>
            <w:vMerge w:val="continue"/>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326" w:type="pct"/>
            <w:vMerge w:val="continue"/>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支出进度</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每发现一个项目未完成进度要求，完成资金下达的扣0.2分，扣完为止。</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2</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403" w:type="pct"/>
            <w:vMerge w:val="continue"/>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326" w:type="pct"/>
            <w:vMerge w:val="continue"/>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结转结余率</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无结余，2分；有结余但不超过上年结转，1分；每超过上年结转1个百分点扣0.1分，扣完为止。</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403" w:type="pct"/>
            <w:vMerge w:val="continue"/>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326" w:type="pct"/>
            <w:vMerge w:val="continue"/>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“三公经费”</w:t>
            </w:r>
          </w:p>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控制率</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以100%为标准。控制率≤100%，计2分；每超过一个百分点扣0.4分。</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3" w:hRule="atLeast"/>
          <w:jc w:val="center"/>
        </w:trPr>
        <w:tc>
          <w:tcPr>
            <w:tcW w:w="403" w:type="pct"/>
            <w:vMerge w:val="continue"/>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326" w:type="pct"/>
            <w:vMerge w:val="continue"/>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政府采购执行率</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100%计满分，每低于1个百分点扣0.2分。</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0</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经查看单位相关资料，单位未对2022年度进行政府采购预算，扣2分。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403" w:type="pct"/>
            <w:vMerge w:val="continue"/>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326" w:type="pct"/>
            <w:vMerge w:val="restar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预算管理（12分）</w:t>
            </w: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管理制度健全性</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3</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①有制定管理制度，计1分；②管理制度合法、合规、完整，计1分；③相关管理制度得到有效执行计1分。</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eastAsia="zh-CN"/>
              </w:rPr>
            </w:pPr>
            <w:r>
              <w:rPr>
                <w:rFonts w:hint="eastAsia" w:eastAsia="宋体" w:cs="Times New Roman"/>
                <w:color w:val="000000"/>
                <w:sz w:val="18"/>
                <w:szCs w:val="18"/>
                <w:lang w:val="en-US" w:eastAsia="zh-CN"/>
              </w:rPr>
              <w:t>2</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相关财务管理制度未得到有效执行，扣1分。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8" w:hRule="atLeast"/>
          <w:jc w:val="center"/>
        </w:trPr>
        <w:tc>
          <w:tcPr>
            <w:tcW w:w="403" w:type="pct"/>
            <w:vMerge w:val="continue"/>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326" w:type="pct"/>
            <w:vMerge w:val="continue"/>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资金使用合规性</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5</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①支出符合国家财经法规和财务管理制度规定以及有关专项资金管理办法的规定，2分。出现截留、挤占、挪用、虚列支出，大额现金支付、违规借出（占用）、乱发滥补、虚报冒领，转嫁支出、乱开户乱存放、私设小金库等违规行为，酌情扣分，扣完为止。</w:t>
            </w:r>
          </w:p>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②资金拨付有完整的审批程序和手续，1分；</w:t>
            </w:r>
          </w:p>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③项目支出按规定经过评估论证，1分；</w:t>
            </w:r>
          </w:p>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④支出符合部门预算批复的用途，1分。</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3</w:t>
            </w:r>
          </w:p>
        </w:tc>
        <w:tc>
          <w:tcPr>
            <w:tcW w:w="508" w:type="pct"/>
            <w:shd w:val="clear" w:color="auto" w:fill="auto"/>
            <w:vAlign w:val="center"/>
          </w:tcPr>
          <w:p>
            <w:pPr>
              <w:pStyle w:val="14"/>
              <w:keepNext w:val="0"/>
              <w:keepLines w:val="0"/>
              <w:widowControl/>
              <w:suppressLineNumbers w:val="0"/>
              <w:spacing w:before="0" w:beforeAutospacing="0" w:after="0" w:afterAutospacing="0" w:line="240" w:lineRule="auto"/>
              <w:ind w:left="0" w:firstLine="0" w:firstLineChars="0"/>
              <w:jc w:val="both"/>
              <w:rPr>
                <w:rFonts w:hint="default" w:ascii="Times New Roman" w:hAnsi="Times New Roman" w:eastAsia="宋体" w:cs="Times New Roman"/>
                <w:lang w:eastAsia="zh-CN"/>
              </w:rPr>
            </w:pPr>
            <w:r>
              <w:rPr>
                <w:rFonts w:hint="default" w:ascii="Times New Roman" w:hAnsi="Times New Roman" w:eastAsia="宋体" w:cs="Times New Roman"/>
                <w:color w:val="000000"/>
                <w:kern w:val="2"/>
                <w:sz w:val="18"/>
                <w:szCs w:val="18"/>
                <w:lang w:bidi="ar-SA"/>
              </w:rPr>
              <w:t>部分财务报账存在不规范的情况</w:t>
            </w:r>
            <w:r>
              <w:rPr>
                <w:rFonts w:hint="default" w:ascii="Times New Roman" w:hAnsi="Times New Roman" w:eastAsia="宋体" w:cs="Times New Roman"/>
                <w:color w:val="000000"/>
                <w:kern w:val="2"/>
                <w:sz w:val="18"/>
                <w:szCs w:val="18"/>
                <w:lang w:eastAsia="zh-CN" w:bidi="ar-SA"/>
              </w:rPr>
              <w:t>，扣</w:t>
            </w:r>
            <w:r>
              <w:rPr>
                <w:rFonts w:hint="default" w:ascii="Times New Roman" w:hAnsi="Times New Roman" w:eastAsia="宋体" w:cs="Times New Roman"/>
                <w:color w:val="000000"/>
                <w:kern w:val="2"/>
                <w:sz w:val="18"/>
                <w:szCs w:val="18"/>
                <w:lang w:val="en-US" w:eastAsia="zh-CN" w:bidi="ar-SA"/>
              </w:rPr>
              <w:t>2分</w:t>
            </w:r>
            <w:r>
              <w:rPr>
                <w:rFonts w:hint="default" w:ascii="Times New Roman" w:hAnsi="Times New Roman" w:eastAsia="宋体" w:cs="Times New Roman"/>
                <w:color w:val="000000"/>
                <w:kern w:val="2"/>
                <w:sz w:val="18"/>
                <w:szCs w:val="18"/>
                <w:lang w:eastAsia="zh-CN" w:bidi="ar-SA"/>
              </w:rPr>
              <w:t>。</w:t>
            </w:r>
          </w:p>
          <w:p>
            <w:pPr>
              <w:spacing w:line="240" w:lineRule="auto"/>
              <w:ind w:firstLine="0" w:firstLineChars="0"/>
              <w:jc w:val="both"/>
              <w:rPr>
                <w:rFonts w:hint="default"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403" w:type="pct"/>
            <w:vMerge w:val="continue"/>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326" w:type="pct"/>
            <w:vMerge w:val="continue"/>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预决算信息</w:t>
            </w:r>
          </w:p>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公开性</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①按规定内容公开预决算信息，计1分；②按规定时限公开预决算信息，计1分。</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403" w:type="pct"/>
            <w:vMerge w:val="continue"/>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326" w:type="pct"/>
            <w:vMerge w:val="continue"/>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基础信息完善性</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①基础数据信息和会计信息资料真实，计1分；</w:t>
            </w:r>
          </w:p>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②基础数据信息和会计信息资料完整、准确，计1分。</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3" w:hRule="atLeast"/>
          <w:jc w:val="center"/>
        </w:trPr>
        <w:tc>
          <w:tcPr>
            <w:tcW w:w="403" w:type="pct"/>
            <w:vMerge w:val="continue"/>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326" w:type="pct"/>
            <w:vMerge w:val="restar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资产管理（3分）</w:t>
            </w: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资产管理安全性</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①资产保存完整，计0.5分；</w:t>
            </w:r>
          </w:p>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②资产配置合理，计0.5分；</w:t>
            </w:r>
          </w:p>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③资产配置规范，计0.5分；</w:t>
            </w:r>
          </w:p>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④资产账务管理合规，账实相符，计0.5分。</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0</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val="en-US" w:eastAsia="zh-CN"/>
              </w:rPr>
              <w:t>一是资产未贴标；二是存在资产未分类、资产丢失的情况</w:t>
            </w:r>
            <w:r>
              <w:rPr>
                <w:rFonts w:hint="default" w:ascii="Times New Roman" w:hAnsi="Times New Roman" w:eastAsia="宋体" w:cs="Times New Roman"/>
                <w:color w:val="000000"/>
                <w:sz w:val="18"/>
                <w:szCs w:val="18"/>
              </w:rPr>
              <w:t>，扣</w:t>
            </w:r>
            <w:r>
              <w:rPr>
                <w:rFonts w:hint="eastAsia" w:eastAsia="宋体" w:cs="Times New Roman"/>
                <w:color w:val="000000"/>
                <w:sz w:val="18"/>
                <w:szCs w:val="18"/>
                <w:lang w:val="en-US" w:eastAsia="zh-CN"/>
              </w:rPr>
              <w:t>2</w:t>
            </w:r>
            <w:r>
              <w:rPr>
                <w:rFonts w:hint="default" w:ascii="Times New Roman" w:hAnsi="Times New Roman" w:eastAsia="宋体" w:cs="Times New Roman"/>
                <w:color w:val="000000"/>
                <w:sz w:val="18"/>
                <w:szCs w:val="18"/>
                <w:lang w:val="en-US" w:eastAsia="zh-CN"/>
              </w:rPr>
              <w:t>分</w:t>
            </w:r>
            <w:r>
              <w:rPr>
                <w:rFonts w:hint="default" w:ascii="Times New Roman" w:hAnsi="Times New Roman" w:eastAsia="宋体" w:cs="Times New Roman"/>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jc w:val="center"/>
        </w:trPr>
        <w:tc>
          <w:tcPr>
            <w:tcW w:w="403" w:type="pct"/>
            <w:vMerge w:val="continue"/>
            <w:shd w:val="clear" w:color="auto" w:fill="auto"/>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326" w:type="pct"/>
            <w:vMerge w:val="continue"/>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固定资产利用率</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每低于100%一个百分点扣0.1分，扣完为止。</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jc w:val="center"/>
        </w:trPr>
        <w:tc>
          <w:tcPr>
            <w:tcW w:w="403" w:type="pct"/>
            <w:vMerge w:val="restar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产出</w:t>
            </w:r>
          </w:p>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w:t>
            </w:r>
            <w:r>
              <w:rPr>
                <w:rFonts w:hint="default" w:ascii="Times New Roman" w:hAnsi="Times New Roman" w:eastAsia="宋体" w:cs="Times New Roman"/>
                <w:color w:val="000000"/>
                <w:sz w:val="18"/>
                <w:szCs w:val="18"/>
                <w:lang w:val="en-US" w:eastAsia="zh-CN"/>
              </w:rPr>
              <w:t>30</w:t>
            </w:r>
            <w:r>
              <w:rPr>
                <w:rFonts w:hint="default" w:ascii="Times New Roman" w:hAnsi="Times New Roman" w:eastAsia="宋体" w:cs="Times New Roman"/>
                <w:color w:val="000000"/>
                <w:sz w:val="18"/>
                <w:szCs w:val="18"/>
              </w:rPr>
              <w:t>分）</w:t>
            </w:r>
          </w:p>
        </w:tc>
        <w:tc>
          <w:tcPr>
            <w:tcW w:w="326" w:type="pct"/>
            <w:vMerge w:val="restar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职责履行（</w:t>
            </w:r>
            <w:r>
              <w:rPr>
                <w:rFonts w:hint="default" w:ascii="Times New Roman" w:hAnsi="Times New Roman" w:eastAsia="宋体" w:cs="Times New Roman"/>
                <w:color w:val="000000"/>
                <w:sz w:val="18"/>
                <w:szCs w:val="18"/>
                <w:lang w:val="en-US" w:eastAsia="zh-CN"/>
              </w:rPr>
              <w:t>30</w:t>
            </w:r>
            <w:r>
              <w:rPr>
                <w:rFonts w:hint="default" w:ascii="Times New Roman" w:hAnsi="Times New Roman" w:eastAsia="宋体" w:cs="Times New Roman"/>
                <w:color w:val="000000"/>
                <w:sz w:val="18"/>
                <w:szCs w:val="18"/>
              </w:rPr>
              <w:t>分）</w:t>
            </w: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部门单位履职、运转</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6</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单位履职、运转正常，计</w:t>
            </w:r>
            <w:r>
              <w:rPr>
                <w:rFonts w:hint="default" w:ascii="Times New Roman" w:hAnsi="Times New Roman" w:eastAsia="宋体" w:cs="Times New Roman"/>
                <w:color w:val="000000"/>
                <w:sz w:val="18"/>
                <w:szCs w:val="18"/>
                <w:lang w:val="en-US" w:eastAsia="zh-CN"/>
              </w:rPr>
              <w:t>6</w:t>
            </w:r>
            <w:r>
              <w:rPr>
                <w:rFonts w:hint="default" w:ascii="Times New Roman" w:hAnsi="Times New Roman" w:eastAsia="宋体" w:cs="Times New Roman"/>
                <w:color w:val="000000"/>
                <w:sz w:val="18"/>
                <w:szCs w:val="18"/>
              </w:rPr>
              <w:t>分。</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6</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403" w:type="pct"/>
            <w:vMerge w:val="continue"/>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326" w:type="pct"/>
            <w:vMerge w:val="continue"/>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全区招商经费</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5</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val="en-US" w:eastAsia="zh-CN"/>
              </w:rPr>
              <w:t>外出招商考察学习差旅费、制作招商宣传手册、资料打印、客商来北塔洽谈招待餐费、住宿费，工作</w:t>
            </w:r>
            <w:r>
              <w:rPr>
                <w:rFonts w:hint="default" w:ascii="Times New Roman" w:hAnsi="Times New Roman" w:eastAsia="宋体" w:cs="Times New Roman"/>
                <w:color w:val="000000"/>
                <w:sz w:val="18"/>
                <w:szCs w:val="18"/>
              </w:rPr>
              <w:t>完成率100%，得满分；未达到按实际完成情况得分。</w:t>
            </w:r>
          </w:p>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指标分值=（实际完成额/计划完成额）×100%*指标标准分值。</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5</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403" w:type="pct"/>
            <w:vMerge w:val="continue"/>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326" w:type="pct"/>
            <w:vMerge w:val="continue"/>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农贸市场经费</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5</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val="en-US" w:eastAsia="zh-CN"/>
              </w:rPr>
              <w:t>创文固卫广告设计制作、资料打印、购买农残检测试剂、宣传资料制作，工作</w:t>
            </w:r>
            <w:r>
              <w:rPr>
                <w:rFonts w:hint="default" w:ascii="Times New Roman" w:hAnsi="Times New Roman" w:eastAsia="宋体" w:cs="Times New Roman"/>
                <w:color w:val="000000"/>
                <w:sz w:val="18"/>
                <w:szCs w:val="18"/>
              </w:rPr>
              <w:t>完成率100%，得满分；未达到按实际完成情况得分。</w:t>
            </w:r>
          </w:p>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指标分值=（实际完成额/计划完成额）×100%*指标标准分值。</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5</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403" w:type="pct"/>
            <w:vMerge w:val="continue"/>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326" w:type="pct"/>
            <w:vMerge w:val="continue"/>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公用支出项目</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5</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val="en-US" w:eastAsia="zh-CN"/>
              </w:rPr>
              <w:t>用于订购报刊、广告制作、缴纳水电费、购买日常用品</w:t>
            </w:r>
            <w:r>
              <w:rPr>
                <w:rFonts w:hint="default"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lang w:val="en-US" w:eastAsia="zh-CN"/>
              </w:rPr>
              <w:t>工作</w:t>
            </w:r>
            <w:r>
              <w:rPr>
                <w:rFonts w:hint="default" w:ascii="Times New Roman" w:hAnsi="Times New Roman" w:eastAsia="宋体" w:cs="Times New Roman"/>
                <w:color w:val="000000"/>
                <w:sz w:val="18"/>
                <w:szCs w:val="18"/>
              </w:rPr>
              <w:t>完成率100%，得满分；未达到按实际完成情况得分</w:t>
            </w:r>
            <w:r>
              <w:rPr>
                <w:rFonts w:hint="default"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指标分值=（实际完成额/计划完成额）×100%*指标标准分值。</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jc w:val="center"/>
        </w:trPr>
        <w:tc>
          <w:tcPr>
            <w:tcW w:w="403" w:type="pct"/>
            <w:vMerge w:val="continue"/>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326" w:type="pct"/>
            <w:vMerge w:val="continue"/>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val="en-US" w:eastAsia="zh-CN"/>
              </w:rPr>
              <w:t>工作完成</w:t>
            </w:r>
            <w:r>
              <w:rPr>
                <w:rFonts w:hint="default" w:ascii="Times New Roman" w:hAnsi="Times New Roman" w:eastAsia="宋体" w:cs="Times New Roman"/>
                <w:color w:val="000000"/>
                <w:sz w:val="18"/>
                <w:szCs w:val="18"/>
              </w:rPr>
              <w:t>及时性</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5</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在计划时间内</w:t>
            </w:r>
            <w:r>
              <w:rPr>
                <w:rFonts w:hint="default" w:ascii="Times New Roman" w:hAnsi="Times New Roman" w:eastAsia="宋体" w:cs="Times New Roman"/>
                <w:color w:val="000000"/>
                <w:sz w:val="18"/>
                <w:szCs w:val="18"/>
                <w:lang w:val="en-US" w:eastAsia="zh-CN"/>
              </w:rPr>
              <w:t>完成工作</w:t>
            </w:r>
            <w:r>
              <w:rPr>
                <w:rFonts w:hint="default" w:ascii="Times New Roman" w:hAnsi="Times New Roman" w:eastAsia="宋体" w:cs="Times New Roman"/>
                <w:color w:val="000000"/>
                <w:sz w:val="18"/>
                <w:szCs w:val="18"/>
              </w:rPr>
              <w:t>，得4分，未按时</w:t>
            </w:r>
            <w:r>
              <w:rPr>
                <w:rFonts w:hint="default" w:ascii="Times New Roman" w:hAnsi="Times New Roman" w:eastAsia="宋体" w:cs="Times New Roman"/>
                <w:color w:val="000000"/>
                <w:sz w:val="18"/>
                <w:szCs w:val="18"/>
                <w:lang w:val="en-US" w:eastAsia="zh-CN"/>
              </w:rPr>
              <w:t>完成</w:t>
            </w:r>
            <w:r>
              <w:rPr>
                <w:rFonts w:hint="default" w:ascii="Times New Roman" w:hAnsi="Times New Roman" w:eastAsia="宋体" w:cs="Times New Roman"/>
                <w:color w:val="000000"/>
                <w:sz w:val="18"/>
                <w:szCs w:val="18"/>
              </w:rPr>
              <w:t>，根据</w:t>
            </w:r>
            <w:r>
              <w:rPr>
                <w:rFonts w:hint="default" w:ascii="Times New Roman" w:hAnsi="Times New Roman" w:eastAsia="宋体" w:cs="Times New Roman"/>
                <w:color w:val="000000"/>
                <w:sz w:val="18"/>
                <w:szCs w:val="18"/>
                <w:lang w:val="en-US" w:eastAsia="zh-CN"/>
              </w:rPr>
              <w:t>完成</w:t>
            </w:r>
            <w:r>
              <w:rPr>
                <w:rFonts w:hint="default" w:ascii="Times New Roman" w:hAnsi="Times New Roman" w:eastAsia="宋体" w:cs="Times New Roman"/>
                <w:color w:val="000000"/>
                <w:sz w:val="18"/>
                <w:szCs w:val="18"/>
              </w:rPr>
              <w:t>时间酌情扣分。</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5</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403" w:type="pct"/>
            <w:vMerge w:val="continue"/>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326" w:type="pct"/>
            <w:vMerge w:val="continue"/>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val="en-US" w:eastAsia="zh-CN"/>
              </w:rPr>
              <w:t>各项工作</w:t>
            </w:r>
            <w:r>
              <w:rPr>
                <w:rFonts w:hint="default" w:ascii="Times New Roman" w:hAnsi="Times New Roman" w:eastAsia="宋体" w:cs="Times New Roman"/>
                <w:color w:val="000000"/>
                <w:sz w:val="18"/>
                <w:szCs w:val="18"/>
              </w:rPr>
              <w:t>成本节约率</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4</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成本节约率=[（计划成本-实际成本）/计划成本]×100%。成本节约率10%（不含）以上，得4分；成本节约率5%（不含）-10%（含）得3分，成本节约率5%（含）以下得2分。</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4</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403" w:type="pct"/>
            <w:vMerge w:val="restar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效果</w:t>
            </w:r>
          </w:p>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w:t>
            </w:r>
            <w:r>
              <w:rPr>
                <w:rFonts w:hint="default" w:ascii="Times New Roman" w:hAnsi="Times New Roman" w:eastAsia="宋体" w:cs="Times New Roman"/>
                <w:color w:val="000000"/>
                <w:sz w:val="18"/>
                <w:szCs w:val="18"/>
                <w:lang w:val="en-US" w:eastAsia="zh-CN"/>
              </w:rPr>
              <w:t>30</w:t>
            </w:r>
            <w:r>
              <w:rPr>
                <w:rFonts w:hint="default" w:ascii="Times New Roman" w:hAnsi="Times New Roman" w:eastAsia="宋体" w:cs="Times New Roman"/>
                <w:color w:val="000000"/>
                <w:sz w:val="18"/>
                <w:szCs w:val="18"/>
              </w:rPr>
              <w:t>分）</w:t>
            </w:r>
          </w:p>
        </w:tc>
        <w:tc>
          <w:tcPr>
            <w:tcW w:w="326" w:type="pct"/>
            <w:vMerge w:val="restar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职责效益（</w:t>
            </w:r>
            <w:r>
              <w:rPr>
                <w:rFonts w:hint="default" w:ascii="Times New Roman" w:hAnsi="Times New Roman" w:eastAsia="宋体" w:cs="Times New Roman"/>
                <w:color w:val="000000"/>
                <w:sz w:val="18"/>
                <w:szCs w:val="18"/>
                <w:lang w:val="en-US" w:eastAsia="zh-CN"/>
              </w:rPr>
              <w:t>30</w:t>
            </w:r>
            <w:r>
              <w:rPr>
                <w:rFonts w:hint="default" w:ascii="Times New Roman" w:hAnsi="Times New Roman" w:eastAsia="宋体" w:cs="Times New Roman"/>
                <w:color w:val="000000"/>
                <w:sz w:val="18"/>
                <w:szCs w:val="18"/>
              </w:rPr>
              <w:t>分）</w:t>
            </w: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可持续影响</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10</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val="en-US" w:eastAsia="zh-CN"/>
              </w:rPr>
              <w:t>考核单位工作的开展是否能降能节耗，制止资源浪费，有效利用资源，节约财政资金，提升服务质量，</w:t>
            </w:r>
            <w:r>
              <w:rPr>
                <w:rFonts w:hint="default" w:ascii="Times New Roman" w:hAnsi="Times New Roman" w:eastAsia="宋体" w:cs="Times New Roman"/>
                <w:color w:val="000000"/>
                <w:sz w:val="18"/>
                <w:szCs w:val="18"/>
              </w:rPr>
              <w:t>根据问卷调查统计结果，</w:t>
            </w:r>
            <w:r>
              <w:rPr>
                <w:rFonts w:hint="default" w:ascii="Times New Roman" w:hAnsi="Times New Roman" w:eastAsia="宋体" w:cs="Times New Roman"/>
                <w:color w:val="000000"/>
                <w:sz w:val="18"/>
                <w:szCs w:val="18"/>
                <w:lang w:val="en-US" w:eastAsia="zh-CN"/>
              </w:rPr>
              <w:t>结合单位工作开展情况</w:t>
            </w:r>
            <w:r>
              <w:rPr>
                <w:rFonts w:hint="default" w:ascii="Times New Roman" w:hAnsi="Times New Roman" w:eastAsia="宋体" w:cs="Times New Roman"/>
                <w:color w:val="000000"/>
                <w:sz w:val="18"/>
                <w:szCs w:val="18"/>
              </w:rPr>
              <w:t>，90%的</w:t>
            </w:r>
            <w:r>
              <w:rPr>
                <w:rFonts w:hint="default" w:ascii="Times New Roman" w:hAnsi="Times New Roman" w:eastAsia="宋体" w:cs="Times New Roman"/>
                <w:color w:val="000000"/>
                <w:sz w:val="18"/>
                <w:szCs w:val="18"/>
                <w:lang w:val="en-US" w:eastAsia="zh-CN"/>
              </w:rPr>
              <w:t>受益</w:t>
            </w:r>
            <w:r>
              <w:rPr>
                <w:rFonts w:hint="default" w:ascii="Times New Roman" w:hAnsi="Times New Roman" w:eastAsia="宋体" w:cs="Times New Roman"/>
                <w:color w:val="000000"/>
                <w:sz w:val="18"/>
                <w:szCs w:val="18"/>
              </w:rPr>
              <w:t>群众觉得效果显著得</w:t>
            </w:r>
            <w:r>
              <w:rPr>
                <w:rFonts w:hint="default" w:ascii="Times New Roman" w:hAnsi="Times New Roman" w:eastAsia="宋体" w:cs="Times New Roman"/>
                <w:color w:val="000000"/>
                <w:sz w:val="18"/>
                <w:szCs w:val="18"/>
                <w:lang w:val="en-US" w:eastAsia="zh-CN"/>
              </w:rPr>
              <w:t>10</w:t>
            </w:r>
            <w:r>
              <w:rPr>
                <w:rFonts w:hint="default" w:ascii="Times New Roman" w:hAnsi="Times New Roman" w:eastAsia="宋体" w:cs="Times New Roman"/>
                <w:color w:val="000000"/>
                <w:sz w:val="18"/>
                <w:szCs w:val="18"/>
              </w:rPr>
              <w:t>分。则每下降5%，扣1分，扣完为止。</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10</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403" w:type="pct"/>
            <w:vMerge w:val="continue"/>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326" w:type="pct"/>
            <w:vMerge w:val="continue"/>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社会效益</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10</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val="en-US" w:eastAsia="zh-CN"/>
              </w:rPr>
              <w:t>考核单位工作的开展是否能显著优化环境提升全区形象，</w:t>
            </w:r>
            <w:r>
              <w:rPr>
                <w:rFonts w:hint="default" w:ascii="Times New Roman" w:hAnsi="Times New Roman" w:eastAsia="宋体" w:cs="Times New Roman"/>
                <w:color w:val="000000"/>
                <w:sz w:val="18"/>
                <w:szCs w:val="18"/>
              </w:rPr>
              <w:t>根据问卷调查统计结果，</w:t>
            </w:r>
            <w:r>
              <w:rPr>
                <w:rFonts w:hint="default" w:ascii="Times New Roman" w:hAnsi="Times New Roman" w:eastAsia="宋体" w:cs="Times New Roman"/>
                <w:color w:val="000000"/>
                <w:sz w:val="18"/>
                <w:szCs w:val="18"/>
                <w:lang w:val="en-US" w:eastAsia="zh-CN"/>
              </w:rPr>
              <w:t>结合单位工作开展情况</w:t>
            </w:r>
            <w:r>
              <w:rPr>
                <w:rFonts w:hint="default" w:ascii="Times New Roman" w:hAnsi="Times New Roman" w:eastAsia="宋体" w:cs="Times New Roman"/>
                <w:color w:val="000000"/>
                <w:sz w:val="18"/>
                <w:szCs w:val="18"/>
              </w:rPr>
              <w:t>，90%的群众觉得效果显著得</w:t>
            </w:r>
            <w:r>
              <w:rPr>
                <w:rFonts w:hint="default" w:ascii="Times New Roman" w:hAnsi="Times New Roman" w:eastAsia="宋体" w:cs="Times New Roman"/>
                <w:color w:val="000000"/>
                <w:sz w:val="18"/>
                <w:szCs w:val="18"/>
                <w:lang w:val="en-US" w:eastAsia="zh-CN"/>
              </w:rPr>
              <w:t>10</w:t>
            </w:r>
            <w:r>
              <w:rPr>
                <w:rFonts w:hint="default" w:ascii="Times New Roman" w:hAnsi="Times New Roman" w:eastAsia="宋体" w:cs="Times New Roman"/>
                <w:color w:val="000000"/>
                <w:sz w:val="18"/>
                <w:szCs w:val="18"/>
              </w:rPr>
              <w:t>分。则每下降5%，扣1分，扣完为止。</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10</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403" w:type="pct"/>
            <w:vMerge w:val="continue"/>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326" w:type="pct"/>
            <w:vMerge w:val="continue"/>
            <w:vAlign w:val="center"/>
          </w:tcPr>
          <w:p>
            <w:pPr>
              <w:spacing w:line="240" w:lineRule="auto"/>
              <w:ind w:firstLine="0" w:firstLineChars="0"/>
              <w:rPr>
                <w:rFonts w:hint="default" w:ascii="Times New Roman" w:hAnsi="Times New Roman" w:eastAsia="宋体" w:cs="Times New Roman"/>
                <w:color w:val="000000"/>
                <w:sz w:val="18"/>
                <w:szCs w:val="18"/>
              </w:rPr>
            </w:pPr>
          </w:p>
        </w:tc>
        <w:tc>
          <w:tcPr>
            <w:tcW w:w="62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单位职工</w:t>
            </w:r>
            <w:r>
              <w:rPr>
                <w:rFonts w:hint="default" w:ascii="Times New Roman" w:hAnsi="Times New Roman" w:eastAsia="宋体" w:cs="Times New Roman"/>
                <w:color w:val="000000"/>
                <w:sz w:val="18"/>
                <w:szCs w:val="18"/>
                <w:lang w:val="en-US" w:eastAsia="zh-CN"/>
              </w:rPr>
              <w:t>及受益群众</w:t>
            </w:r>
            <w:r>
              <w:rPr>
                <w:rFonts w:hint="default" w:ascii="Times New Roman" w:hAnsi="Times New Roman" w:eastAsia="宋体" w:cs="Times New Roman"/>
                <w:color w:val="000000"/>
                <w:sz w:val="18"/>
                <w:szCs w:val="18"/>
              </w:rPr>
              <w:t>满意度</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10</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以调查问卷为依据。</w:t>
            </w:r>
            <w:r>
              <w:rPr>
                <w:rFonts w:hint="default" w:ascii="Times New Roman" w:hAnsi="Times New Roman" w:eastAsia="宋体" w:cs="Times New Roman"/>
                <w:color w:val="000000"/>
                <w:sz w:val="18"/>
                <w:szCs w:val="18"/>
                <w:lang w:val="en-US" w:eastAsia="zh-CN"/>
              </w:rPr>
              <w:t>单位职工及受益对象</w:t>
            </w:r>
            <w:r>
              <w:rPr>
                <w:rFonts w:hint="default" w:ascii="Times New Roman" w:hAnsi="Times New Roman" w:eastAsia="宋体" w:cs="Times New Roman"/>
                <w:color w:val="000000"/>
                <w:sz w:val="18"/>
                <w:szCs w:val="18"/>
              </w:rPr>
              <w:t>满意度≥95%计</w:t>
            </w:r>
            <w:r>
              <w:rPr>
                <w:rFonts w:hint="eastAsia" w:eastAsia="宋体" w:cs="Times New Roman"/>
                <w:color w:val="000000"/>
                <w:sz w:val="18"/>
                <w:szCs w:val="18"/>
                <w:lang w:val="en-US" w:eastAsia="zh-CN"/>
              </w:rPr>
              <w:t>10</w:t>
            </w:r>
            <w:r>
              <w:rPr>
                <w:rFonts w:hint="default" w:ascii="Times New Roman" w:hAnsi="Times New Roman" w:eastAsia="宋体" w:cs="Times New Roman"/>
                <w:color w:val="000000"/>
                <w:sz w:val="18"/>
                <w:szCs w:val="18"/>
              </w:rPr>
              <w:t>分：每低5%扣1分。满意度＜75%计0分。</w:t>
            </w: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10</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1354" w:type="pct"/>
            <w:gridSpan w:val="3"/>
            <w:vAlign w:val="center"/>
          </w:tcPr>
          <w:p>
            <w:pPr>
              <w:spacing w:line="240" w:lineRule="auto"/>
              <w:ind w:firstLine="0" w:firstLineChars="0"/>
              <w:jc w:val="center"/>
              <w:rPr>
                <w:rFonts w:hint="default" w:ascii="Times New Roman" w:hAnsi="Times New Roman" w:eastAsia="宋体" w:cs="Times New Roman"/>
                <w:color w:val="000000"/>
                <w:sz w:val="18"/>
                <w:szCs w:val="18"/>
                <w:lang w:eastAsia="zh-CN"/>
              </w:rPr>
            </w:pPr>
            <w:r>
              <w:rPr>
                <w:rFonts w:hint="default" w:eastAsia="宋体" w:cs="Times New Roman"/>
                <w:color w:val="000000"/>
                <w:sz w:val="18"/>
                <w:szCs w:val="18"/>
                <w:lang w:eastAsia="zh-CN"/>
              </w:rPr>
              <w:t>合计</w:t>
            </w:r>
          </w:p>
        </w:tc>
        <w:tc>
          <w:tcPr>
            <w:tcW w:w="354"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100</w:t>
            </w:r>
          </w:p>
        </w:tc>
        <w:tc>
          <w:tcPr>
            <w:tcW w:w="2352"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p>
        </w:tc>
        <w:tc>
          <w:tcPr>
            <w:tcW w:w="430" w:type="pct"/>
            <w:shd w:val="clear" w:color="auto" w:fill="auto"/>
            <w:vAlign w:val="center"/>
          </w:tcPr>
          <w:p>
            <w:pPr>
              <w:spacing w:line="240" w:lineRule="auto"/>
              <w:ind w:firstLine="0" w:firstLineChars="0"/>
              <w:jc w:val="center"/>
              <w:rPr>
                <w:rFonts w:hint="default" w:ascii="Times New Roman" w:hAnsi="Times New Roman" w:eastAsia="宋体" w:cs="Times New Roman"/>
                <w:color w:val="000000"/>
                <w:kern w:val="2"/>
                <w:sz w:val="18"/>
                <w:szCs w:val="18"/>
                <w:lang w:val="en-US" w:eastAsia="zh-CN" w:bidi="ar-SA"/>
              </w:rPr>
            </w:pPr>
            <w:r>
              <w:rPr>
                <w:rFonts w:hint="eastAsia" w:eastAsia="宋体" w:cs="Times New Roman"/>
                <w:color w:val="000000"/>
                <w:sz w:val="18"/>
                <w:szCs w:val="18"/>
                <w:lang w:val="en-US" w:eastAsia="zh-CN"/>
              </w:rPr>
              <w:t>93.00</w:t>
            </w:r>
          </w:p>
        </w:tc>
        <w:tc>
          <w:tcPr>
            <w:tcW w:w="508" w:type="pct"/>
            <w:shd w:val="clear" w:color="auto" w:fill="auto"/>
            <w:vAlign w:val="center"/>
          </w:tcPr>
          <w:p>
            <w:pPr>
              <w:spacing w:line="240" w:lineRule="auto"/>
              <w:ind w:firstLine="0" w:firstLineChars="0"/>
              <w:jc w:val="both"/>
              <w:rPr>
                <w:rFonts w:hint="default" w:ascii="Times New Roman" w:hAnsi="Times New Roman" w:eastAsia="宋体" w:cs="Times New Roman"/>
                <w:color w:val="000000"/>
                <w:sz w:val="18"/>
                <w:szCs w:val="18"/>
              </w:rPr>
            </w:pPr>
          </w:p>
        </w:tc>
      </w:tr>
    </w:tbl>
    <w:p>
      <w:pPr>
        <w:numPr>
          <w:ilvl w:val="0"/>
          <w:numId w:val="0"/>
        </w:numPr>
        <w:jc w:val="both"/>
        <w:rPr>
          <w:rFonts w:hint="default" w:ascii="Times New Roman" w:hAnsi="Times New Roman" w:eastAsia="仿宋" w:cs="Times New Roman"/>
          <w:b w:val="0"/>
          <w:bCs w:val="0"/>
          <w:sz w:val="31"/>
          <w:szCs w:val="31"/>
          <w:lang w:val="en-US" w:eastAsia="zh-CN"/>
        </w:rPr>
      </w:pPr>
    </w:p>
    <w:p>
      <w:pPr>
        <w:pStyle w:val="12"/>
        <w:rPr>
          <w:rFonts w:hint="default" w:ascii="Times New Roman" w:hAnsi="Times New Roman" w:eastAsia="仿宋" w:cs="Times New Roman"/>
          <w:b w:val="0"/>
          <w:bCs w:val="0"/>
          <w:sz w:val="31"/>
          <w:szCs w:val="31"/>
          <w:lang w:val="en-US" w:eastAsia="zh-CN"/>
        </w:rPr>
      </w:pPr>
    </w:p>
    <w:p>
      <w:pPr>
        <w:pStyle w:val="12"/>
        <w:rPr>
          <w:rFonts w:hint="default" w:ascii="Times New Roman" w:hAnsi="Times New Roman" w:eastAsia="仿宋" w:cs="Times New Roman"/>
          <w:b w:val="0"/>
          <w:bCs w:val="0"/>
          <w:sz w:val="31"/>
          <w:szCs w:val="31"/>
          <w:lang w:val="en-US" w:eastAsia="zh-CN"/>
        </w:rPr>
      </w:pPr>
    </w:p>
    <w:p>
      <w:pPr>
        <w:pStyle w:val="12"/>
        <w:rPr>
          <w:rFonts w:hint="default" w:ascii="Times New Roman" w:hAnsi="Times New Roman" w:eastAsia="仿宋" w:cs="Times New Roman"/>
          <w:b w:val="0"/>
          <w:bCs w:val="0"/>
          <w:sz w:val="31"/>
          <w:szCs w:val="31"/>
          <w:lang w:val="en-US" w:eastAsia="zh-CN"/>
        </w:rPr>
      </w:pPr>
    </w:p>
    <w:p>
      <w:pPr>
        <w:pStyle w:val="12"/>
        <w:ind w:left="0" w:leftChars="0" w:firstLine="0" w:firstLineChars="0"/>
        <w:rPr>
          <w:rFonts w:hint="eastAsia" w:ascii="Times New Roman" w:hAnsi="Times New Roman" w:cs="Times New Roman"/>
          <w:b w:val="0"/>
          <w:bCs w:val="0"/>
          <w:sz w:val="31"/>
          <w:szCs w:val="31"/>
          <w:lang w:val="en-US" w:eastAsia="zh-CN"/>
        </w:rPr>
      </w:pPr>
    </w:p>
    <w:p>
      <w:pPr>
        <w:ind w:firstLine="0" w:firstLineChars="0"/>
        <w:rPr>
          <w:rFonts w:hint="eastAsia" w:ascii="Times New Roman" w:hAnsi="Times New Roman" w:cs="Times New Roman"/>
          <w:b w:val="0"/>
          <w:bCs w:val="0"/>
          <w:sz w:val="31"/>
          <w:szCs w:val="31"/>
          <w:lang w:val="en-US" w:eastAsia="zh-CN"/>
        </w:rPr>
        <w:sectPr>
          <w:headerReference r:id="rId8" w:type="default"/>
          <w:footerReference r:id="rId9" w:type="default"/>
          <w:pgSz w:w="16838" w:h="11906" w:orient="landscape"/>
          <w:pgMar w:top="1389" w:right="986" w:bottom="1389" w:left="986" w:header="624"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ind w:firstLine="0" w:firstLineChars="0"/>
        <w:rPr>
          <w:rFonts w:hint="eastAsia" w:ascii="Times New Roman" w:hAnsi="Times New Roman" w:cs="Times New Roman"/>
          <w:b w:val="0"/>
          <w:bCs w:val="0"/>
          <w:sz w:val="31"/>
          <w:szCs w:val="31"/>
          <w:lang w:val="en-US" w:eastAsia="zh-CN"/>
        </w:rPr>
      </w:pPr>
      <w:r>
        <w:rPr>
          <w:rFonts w:hint="eastAsia" w:ascii="Times New Roman" w:hAnsi="Times New Roman" w:cs="Times New Roman"/>
          <w:b w:val="0"/>
          <w:bCs w:val="0"/>
          <w:sz w:val="31"/>
          <w:szCs w:val="31"/>
          <w:lang w:val="en-US" w:eastAsia="zh-CN"/>
        </w:rPr>
        <w:t>附件2：</w:t>
      </w:r>
    </w:p>
    <w:p>
      <w:pPr>
        <w:ind w:left="0" w:leftChars="0" w:firstLine="0" w:firstLineChars="0"/>
        <w:jc w:val="center"/>
        <w:rPr>
          <w:rFonts w:hint="default" w:ascii="Times New Roman" w:hAnsi="Times New Roman" w:eastAsia="方正小标宋_GBK" w:cs="Times New Roman"/>
          <w:lang w:val="en-US" w:eastAsia="zh-CN"/>
        </w:rPr>
      </w:pPr>
      <w:r>
        <w:rPr>
          <w:rFonts w:hint="default" w:ascii="Times New Roman" w:hAnsi="Times New Roman" w:eastAsia="方正小标宋_GBK" w:cs="Times New Roman"/>
          <w:lang w:val="en-US" w:eastAsia="zh-CN"/>
        </w:rPr>
        <w:t>2022年度邵阳市北塔区商务局部门整体支出基础数据表</w:t>
      </w:r>
    </w:p>
    <w:tbl>
      <w:tblPr>
        <w:tblStyle w:val="16"/>
        <w:tblW w:w="0" w:type="auto"/>
        <w:jc w:val="center"/>
        <w:tblLayout w:type="fixed"/>
        <w:tblCellMar>
          <w:top w:w="0" w:type="dxa"/>
          <w:left w:w="0" w:type="dxa"/>
          <w:bottom w:w="0" w:type="dxa"/>
          <w:right w:w="0" w:type="dxa"/>
        </w:tblCellMar>
      </w:tblPr>
      <w:tblGrid>
        <w:gridCol w:w="3258"/>
        <w:gridCol w:w="1737"/>
        <w:gridCol w:w="1737"/>
        <w:gridCol w:w="1984"/>
      </w:tblGrid>
      <w:tr>
        <w:tblPrEx>
          <w:tblCellMar>
            <w:top w:w="0" w:type="dxa"/>
            <w:left w:w="0" w:type="dxa"/>
            <w:bottom w:w="0" w:type="dxa"/>
            <w:right w:w="0" w:type="dxa"/>
          </w:tblCellMar>
        </w:tblPrEx>
        <w:trPr>
          <w:trHeight w:val="267" w:hRule="atLeast"/>
          <w:tblHeader/>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项目</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本年预算数</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本年实际数</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上年实际数</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一、基本支出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4,988,346.67</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4,988,346.67</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2,998,069.26</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1、人员经费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1,349,787.37</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1,349,787.37</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2,018,579.26</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2、公用经费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3,638,559.30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3,638,559.30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1,098,252.63</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二、项目支出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1,004,900.00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1,004,900.00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979,490.00</w:t>
            </w:r>
          </w:p>
        </w:tc>
      </w:tr>
      <w:tr>
        <w:tblPrEx>
          <w:tblCellMar>
            <w:top w:w="0" w:type="dxa"/>
            <w:left w:w="0" w:type="dxa"/>
            <w:bottom w:w="0" w:type="dxa"/>
            <w:right w:w="0" w:type="dxa"/>
          </w:tblCellMar>
        </w:tblPrEx>
        <w:trPr>
          <w:trHeight w:val="280"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1对企业补助支出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1,004,900.00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21"/>
                <w:szCs w:val="21"/>
                <w:u w:val="none"/>
                <w:lang w:val="en-US" w:eastAsia="zh-CN" w:bidi="ar-SA"/>
              </w:rPr>
            </w:pPr>
            <w:r>
              <w:rPr>
                <w:rStyle w:val="23"/>
                <w:rFonts w:hint="default" w:ascii="Times New Roman" w:hAnsi="Times New Roman" w:cs="Times New Roman" w:eastAsiaTheme="minorEastAsia"/>
                <w:sz w:val="21"/>
                <w:szCs w:val="21"/>
              </w:rPr>
              <w:t>1,004,900.00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511090</w:t>
            </w:r>
          </w:p>
        </w:tc>
      </w:tr>
      <w:tr>
        <w:tblPrEx>
          <w:tblCellMar>
            <w:top w:w="0" w:type="dxa"/>
            <w:left w:w="0" w:type="dxa"/>
            <w:bottom w:w="0" w:type="dxa"/>
            <w:right w:w="0" w:type="dxa"/>
          </w:tblCellMar>
        </w:tblPrEx>
        <w:trPr>
          <w:trHeight w:val="280"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2招商经费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118400</w:t>
            </w:r>
          </w:p>
        </w:tc>
      </w:tr>
      <w:tr>
        <w:tblPrEx>
          <w:tblCellMar>
            <w:top w:w="0" w:type="dxa"/>
            <w:left w:w="0" w:type="dxa"/>
            <w:bottom w:w="0" w:type="dxa"/>
            <w:right w:w="0" w:type="dxa"/>
          </w:tblCellMar>
        </w:tblPrEx>
        <w:trPr>
          <w:trHeight w:val="280"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3、市场管理</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350000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三、“三公经费”支出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5000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5000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6,914.15</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①公务接待费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5000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5000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6,914.15</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②车辆购置经费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 xml:space="preserve">  车辆运行经费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③出国出境经费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四、商品及服务支出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21"/>
                <w:szCs w:val="21"/>
                <w:u w:val="none"/>
                <w:lang w:val="en-US" w:eastAsia="zh-CN" w:bidi="ar-SA"/>
              </w:rPr>
            </w:pPr>
            <w:r>
              <w:rPr>
                <w:rStyle w:val="23"/>
                <w:rFonts w:hint="default" w:ascii="Times New Roman" w:hAnsi="Times New Roman" w:cs="Times New Roman" w:eastAsiaTheme="minorEastAsia"/>
                <w:sz w:val="21"/>
                <w:szCs w:val="21"/>
              </w:rPr>
              <w:t>3,638,559.30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3,638,559.30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1,098,252.63</w:t>
            </w:r>
          </w:p>
        </w:tc>
      </w:tr>
      <w:tr>
        <w:tblPrEx>
          <w:tblCellMar>
            <w:top w:w="0" w:type="dxa"/>
            <w:left w:w="0" w:type="dxa"/>
            <w:bottom w:w="0" w:type="dxa"/>
            <w:right w:w="0" w:type="dxa"/>
          </w:tblCellMar>
        </w:tblPrEx>
        <w:trPr>
          <w:trHeight w:val="34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1、办公费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21"/>
                <w:szCs w:val="21"/>
                <w:u w:val="none"/>
                <w:lang w:val="en-US" w:eastAsia="zh-CN" w:bidi="ar-SA"/>
              </w:rPr>
            </w:pPr>
            <w:r>
              <w:rPr>
                <w:rStyle w:val="23"/>
                <w:rFonts w:hint="default" w:ascii="Times New Roman" w:hAnsi="Times New Roman" w:cs="Times New Roman" w:eastAsiaTheme="minorEastAsia"/>
                <w:sz w:val="21"/>
                <w:szCs w:val="21"/>
              </w:rPr>
              <w:t>255,445.95</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255,445.95</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79,887.45</w:t>
            </w:r>
          </w:p>
        </w:tc>
      </w:tr>
      <w:tr>
        <w:tblPrEx>
          <w:tblCellMar>
            <w:top w:w="0" w:type="dxa"/>
            <w:left w:w="0" w:type="dxa"/>
            <w:bottom w:w="0" w:type="dxa"/>
            <w:right w:w="0" w:type="dxa"/>
          </w:tblCellMar>
        </w:tblPrEx>
        <w:trPr>
          <w:trHeight w:val="26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2、印刷费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21"/>
                <w:szCs w:val="21"/>
                <w:u w:val="none"/>
                <w:lang w:val="en-US" w:eastAsia="zh-CN" w:bidi="ar-SA"/>
              </w:rPr>
            </w:pPr>
            <w:r>
              <w:rPr>
                <w:rStyle w:val="23"/>
                <w:rFonts w:hint="default" w:ascii="Times New Roman" w:hAnsi="Times New Roman" w:cs="Times New Roman" w:eastAsiaTheme="minorEastAsia"/>
                <w:sz w:val="21"/>
                <w:szCs w:val="21"/>
              </w:rPr>
              <w:t>279,471.00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279,471.00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79,439.00</w:t>
            </w:r>
          </w:p>
        </w:tc>
      </w:tr>
      <w:tr>
        <w:tblPrEx>
          <w:tblCellMar>
            <w:top w:w="0" w:type="dxa"/>
            <w:left w:w="0" w:type="dxa"/>
            <w:bottom w:w="0" w:type="dxa"/>
            <w:right w:w="0" w:type="dxa"/>
          </w:tblCellMar>
        </w:tblPrEx>
        <w:trPr>
          <w:trHeight w:val="224"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3、差旅费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21"/>
                <w:szCs w:val="21"/>
                <w:u w:val="none"/>
                <w:lang w:val="en-US" w:eastAsia="zh-CN" w:bidi="ar-SA"/>
              </w:rPr>
            </w:pPr>
            <w:r>
              <w:rPr>
                <w:rStyle w:val="23"/>
                <w:rFonts w:hint="default" w:ascii="Times New Roman" w:hAnsi="Times New Roman" w:cs="Times New Roman" w:eastAsiaTheme="minorEastAsia"/>
                <w:sz w:val="21"/>
                <w:szCs w:val="21"/>
              </w:rPr>
              <w:t>16,621.00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16,621.00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49,734.00</w:t>
            </w:r>
          </w:p>
        </w:tc>
      </w:tr>
      <w:tr>
        <w:tblPrEx>
          <w:tblCellMar>
            <w:top w:w="0" w:type="dxa"/>
            <w:left w:w="0" w:type="dxa"/>
            <w:bottom w:w="0" w:type="dxa"/>
            <w:right w:w="0" w:type="dxa"/>
          </w:tblCellMar>
        </w:tblPrEx>
        <w:trPr>
          <w:trHeight w:val="34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4、会议费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21"/>
                <w:szCs w:val="21"/>
                <w:u w:val="none"/>
                <w:lang w:val="en-US" w:eastAsia="zh-CN" w:bidi="ar-SA"/>
              </w:rPr>
            </w:pPr>
            <w:r>
              <w:rPr>
                <w:rStyle w:val="23"/>
                <w:rFonts w:hint="default" w:ascii="Times New Roman" w:hAnsi="Times New Roman" w:cs="Times New Roman" w:eastAsiaTheme="minorEastAsia"/>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p>
        </w:tc>
      </w:tr>
      <w:tr>
        <w:tblPrEx>
          <w:tblCellMar>
            <w:top w:w="0" w:type="dxa"/>
            <w:left w:w="0" w:type="dxa"/>
            <w:bottom w:w="0" w:type="dxa"/>
            <w:right w:w="0" w:type="dxa"/>
          </w:tblCellMar>
        </w:tblPrEx>
        <w:trPr>
          <w:trHeight w:val="261"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5、培训费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21"/>
                <w:szCs w:val="21"/>
                <w:u w:val="none"/>
                <w:lang w:val="en-US" w:eastAsia="zh-CN" w:bidi="ar-SA"/>
              </w:rPr>
            </w:pPr>
            <w:r>
              <w:rPr>
                <w:rStyle w:val="23"/>
                <w:rFonts w:hint="default" w:ascii="Times New Roman" w:hAnsi="Times New Roman" w:cs="Times New Roman" w:eastAsiaTheme="minorEastAsia"/>
                <w:sz w:val="21"/>
                <w:szCs w:val="21"/>
              </w:rPr>
              <w:t>3,452.00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3,452.00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6、维修（护）费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21"/>
                <w:szCs w:val="21"/>
                <w:u w:val="none"/>
                <w:lang w:val="en-US" w:eastAsia="zh-CN" w:bidi="ar-SA"/>
              </w:rPr>
            </w:pPr>
            <w:r>
              <w:rPr>
                <w:rStyle w:val="23"/>
                <w:rFonts w:hint="default" w:ascii="Times New Roman" w:hAnsi="Times New Roman" w:cs="Times New Roman" w:eastAsiaTheme="minorEastAsia"/>
                <w:sz w:val="21"/>
                <w:szCs w:val="21"/>
              </w:rPr>
              <w:t>19,255.00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19,255.00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31,742.50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7、劳务费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288,545.00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288,545.00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257,000.00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8、其他交通费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66,345.00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66,345.00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65,698.00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五、政府采购金额</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92,004.00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六、机构人员</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1、三定机构数（个）</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7</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7</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lang w:val="en-US" w:eastAsia="zh-CN"/>
              </w:rPr>
              <w:t>7</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2、实际机构数(个）</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7</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7</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lang w:val="en-US" w:eastAsia="zh-CN"/>
              </w:rPr>
              <w:t>7</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3、人员编制数（人）</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rPr>
              <w:t>4、实际在职人员（人）</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lang w:val="en-US" w:eastAsia="zh-CN"/>
              </w:rPr>
            </w:pPr>
            <w:r>
              <w:rPr>
                <w:rStyle w:val="23"/>
                <w:rFonts w:hint="default" w:ascii="Times New Roman" w:hAnsi="Times New Roman" w:cs="Times New Roman" w:eastAsiaTheme="minorEastAsia"/>
                <w:sz w:val="21"/>
                <w:szCs w:val="21"/>
                <w:lang w:val="en-US" w:eastAsia="zh-CN"/>
              </w:rPr>
              <w:t>9</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Style w:val="23"/>
                <w:rFonts w:hint="default" w:ascii="Times New Roman" w:hAnsi="Times New Roman" w:cs="Times New Roman" w:eastAsiaTheme="minorEastAsia"/>
                <w:sz w:val="21"/>
                <w:szCs w:val="21"/>
              </w:rPr>
            </w:pPr>
            <w:r>
              <w:rPr>
                <w:rStyle w:val="23"/>
                <w:rFonts w:hint="default" w:ascii="Times New Roman" w:hAnsi="Times New Roman" w:cs="Times New Roman" w:eastAsiaTheme="minorEastAsia"/>
                <w:sz w:val="21"/>
                <w:szCs w:val="21"/>
                <w:lang w:val="en-US" w:eastAsia="zh-CN"/>
              </w:rPr>
              <w:t>8</w:t>
            </w:r>
          </w:p>
        </w:tc>
      </w:tr>
    </w:tbl>
    <w:p>
      <w:pPr>
        <w:pStyle w:val="12"/>
        <w:ind w:left="0" w:leftChars="0" w:firstLine="0" w:firstLineChars="0"/>
        <w:rPr>
          <w:rFonts w:hint="default" w:ascii="Times New Roman" w:hAnsi="Times New Roman" w:eastAsia="仿宋" w:cs="Times New Roman"/>
          <w:b w:val="0"/>
          <w:bCs w:val="0"/>
          <w:sz w:val="31"/>
          <w:szCs w:val="31"/>
          <w:lang w:val="en-US" w:eastAsia="zh-CN"/>
        </w:rPr>
      </w:pPr>
    </w:p>
    <w:sectPr>
      <w:headerReference r:id="rId10" w:type="default"/>
      <w:pgSz w:w="11906" w:h="16838"/>
      <w:pgMar w:top="986" w:right="1389" w:bottom="986" w:left="1389" w:header="227"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大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LargeGap" w:color="auto" w:sz="4" w:space="1"/>
      </w:pBdr>
      <w:tabs>
        <w:tab w:val="left" w:pos="420"/>
        <w:tab w:val="right" w:pos="9746"/>
      </w:tabs>
      <w:ind w:left="0" w:leftChars="0" w:firstLine="0" w:firstLineChars="0"/>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1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邵阳市北塔区商务局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LargeGap" w:color="auto" w:sz="4" w:space="1"/>
      </w:pBdr>
      <w:tabs>
        <w:tab w:val="left" w:pos="420"/>
        <w:tab w:val="right" w:pos="9746"/>
      </w:tabs>
      <w:ind w:left="0" w:leftChars="0" w:firstLine="0" w:firstLineChars="0"/>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14605" b="12700"/>
          <wp:docPr id="4"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邵阳市北塔区商务局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LargeGap" w:color="auto" w:sz="4" w:space="1"/>
      </w:pBdr>
      <w:tabs>
        <w:tab w:val="left" w:pos="420"/>
        <w:tab w:val="right" w:pos="9746"/>
      </w:tabs>
      <w:ind w:left="0" w:leftChars="0" w:firstLine="0" w:firstLineChars="0"/>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9"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邵阳市北塔区商务局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wZmM1NmQ5MmM2YjMyZmMwZTU5NWJjNzEzM2VlNGQifQ=="/>
  </w:docVars>
  <w:rsids>
    <w:rsidRoot w:val="00172A27"/>
    <w:rsid w:val="003449EF"/>
    <w:rsid w:val="003D21B2"/>
    <w:rsid w:val="00423C6D"/>
    <w:rsid w:val="00A83AD0"/>
    <w:rsid w:val="00B92181"/>
    <w:rsid w:val="00CD5F55"/>
    <w:rsid w:val="00D42B17"/>
    <w:rsid w:val="00D64AE1"/>
    <w:rsid w:val="01031033"/>
    <w:rsid w:val="01070A50"/>
    <w:rsid w:val="01141165"/>
    <w:rsid w:val="015107AC"/>
    <w:rsid w:val="015D63FC"/>
    <w:rsid w:val="01722330"/>
    <w:rsid w:val="019138A1"/>
    <w:rsid w:val="0194120E"/>
    <w:rsid w:val="01941529"/>
    <w:rsid w:val="01B54127"/>
    <w:rsid w:val="01DD36AA"/>
    <w:rsid w:val="01DE3C65"/>
    <w:rsid w:val="01FD29C4"/>
    <w:rsid w:val="01FD7E4B"/>
    <w:rsid w:val="02092C94"/>
    <w:rsid w:val="02117D9A"/>
    <w:rsid w:val="021653B1"/>
    <w:rsid w:val="024C0DD3"/>
    <w:rsid w:val="02533F0F"/>
    <w:rsid w:val="028C11CF"/>
    <w:rsid w:val="02A767F1"/>
    <w:rsid w:val="02B4470B"/>
    <w:rsid w:val="02B80216"/>
    <w:rsid w:val="02BD79F4"/>
    <w:rsid w:val="02D3485F"/>
    <w:rsid w:val="030A17AF"/>
    <w:rsid w:val="034C2738"/>
    <w:rsid w:val="035B53EC"/>
    <w:rsid w:val="037B7F18"/>
    <w:rsid w:val="039E5752"/>
    <w:rsid w:val="03A04F32"/>
    <w:rsid w:val="03C055D4"/>
    <w:rsid w:val="03CD3298"/>
    <w:rsid w:val="03EF5EB9"/>
    <w:rsid w:val="0486237A"/>
    <w:rsid w:val="049329AF"/>
    <w:rsid w:val="049F51EA"/>
    <w:rsid w:val="04A44EF6"/>
    <w:rsid w:val="04CB4231"/>
    <w:rsid w:val="04D46306"/>
    <w:rsid w:val="04EF3743"/>
    <w:rsid w:val="04F33A06"/>
    <w:rsid w:val="05310411"/>
    <w:rsid w:val="054F4E62"/>
    <w:rsid w:val="05A16753"/>
    <w:rsid w:val="05DC421B"/>
    <w:rsid w:val="05E30782"/>
    <w:rsid w:val="05FD4158"/>
    <w:rsid w:val="06021276"/>
    <w:rsid w:val="061D0ABC"/>
    <w:rsid w:val="0627193B"/>
    <w:rsid w:val="064249C6"/>
    <w:rsid w:val="064C13A1"/>
    <w:rsid w:val="06540256"/>
    <w:rsid w:val="0664493D"/>
    <w:rsid w:val="067032E2"/>
    <w:rsid w:val="067F3525"/>
    <w:rsid w:val="06BE710D"/>
    <w:rsid w:val="06DC2725"/>
    <w:rsid w:val="06ED486D"/>
    <w:rsid w:val="06F2601B"/>
    <w:rsid w:val="06F415AF"/>
    <w:rsid w:val="06FF4665"/>
    <w:rsid w:val="07283BBC"/>
    <w:rsid w:val="072B6F49"/>
    <w:rsid w:val="07342561"/>
    <w:rsid w:val="07667BB2"/>
    <w:rsid w:val="078828AD"/>
    <w:rsid w:val="07BE1E2B"/>
    <w:rsid w:val="082223BA"/>
    <w:rsid w:val="084C38DA"/>
    <w:rsid w:val="087A7807"/>
    <w:rsid w:val="08DF3674"/>
    <w:rsid w:val="08E41D65"/>
    <w:rsid w:val="09203EB9"/>
    <w:rsid w:val="09AF2373"/>
    <w:rsid w:val="0A41622F"/>
    <w:rsid w:val="0A4C309B"/>
    <w:rsid w:val="0A560A40"/>
    <w:rsid w:val="0A6C3DC0"/>
    <w:rsid w:val="0A93759F"/>
    <w:rsid w:val="0AB32F67"/>
    <w:rsid w:val="0AC2018B"/>
    <w:rsid w:val="0AD86622"/>
    <w:rsid w:val="0AEF054D"/>
    <w:rsid w:val="0AFA5870"/>
    <w:rsid w:val="0B440899"/>
    <w:rsid w:val="0B554854"/>
    <w:rsid w:val="0B8F4572"/>
    <w:rsid w:val="0BC33EB3"/>
    <w:rsid w:val="0BC419DA"/>
    <w:rsid w:val="0BD7170D"/>
    <w:rsid w:val="0C476893"/>
    <w:rsid w:val="0C48085D"/>
    <w:rsid w:val="0C5B40EC"/>
    <w:rsid w:val="0C607954"/>
    <w:rsid w:val="0C61547A"/>
    <w:rsid w:val="0C8373CF"/>
    <w:rsid w:val="0CB51A76"/>
    <w:rsid w:val="0D0522AA"/>
    <w:rsid w:val="0D461552"/>
    <w:rsid w:val="0D614217"/>
    <w:rsid w:val="0D84025B"/>
    <w:rsid w:val="0DB53CD0"/>
    <w:rsid w:val="0DF57489"/>
    <w:rsid w:val="0E625C06"/>
    <w:rsid w:val="0E83640A"/>
    <w:rsid w:val="0EAE1417"/>
    <w:rsid w:val="0F3E4E43"/>
    <w:rsid w:val="0F9D0EBF"/>
    <w:rsid w:val="0FAF0E26"/>
    <w:rsid w:val="0FD038C7"/>
    <w:rsid w:val="0FDD4B1F"/>
    <w:rsid w:val="0FE8038D"/>
    <w:rsid w:val="10262C63"/>
    <w:rsid w:val="105709C9"/>
    <w:rsid w:val="10B77D5F"/>
    <w:rsid w:val="10BA0895"/>
    <w:rsid w:val="10C84C25"/>
    <w:rsid w:val="10D64689"/>
    <w:rsid w:val="11075191"/>
    <w:rsid w:val="11145517"/>
    <w:rsid w:val="111D5D5A"/>
    <w:rsid w:val="111E1B8C"/>
    <w:rsid w:val="1162031D"/>
    <w:rsid w:val="11A036CE"/>
    <w:rsid w:val="11C815CF"/>
    <w:rsid w:val="123A47A4"/>
    <w:rsid w:val="125F76F2"/>
    <w:rsid w:val="12962DFA"/>
    <w:rsid w:val="12F47048"/>
    <w:rsid w:val="12FB1166"/>
    <w:rsid w:val="12FE566B"/>
    <w:rsid w:val="134F2A5F"/>
    <w:rsid w:val="13806B0C"/>
    <w:rsid w:val="13A30C34"/>
    <w:rsid w:val="13AD711E"/>
    <w:rsid w:val="13E21B19"/>
    <w:rsid w:val="142179C9"/>
    <w:rsid w:val="144831DD"/>
    <w:rsid w:val="14494352"/>
    <w:rsid w:val="14520243"/>
    <w:rsid w:val="148B578A"/>
    <w:rsid w:val="14A317A2"/>
    <w:rsid w:val="14A867BA"/>
    <w:rsid w:val="14E56EB1"/>
    <w:rsid w:val="156644E7"/>
    <w:rsid w:val="157601E9"/>
    <w:rsid w:val="158D5230"/>
    <w:rsid w:val="159927CF"/>
    <w:rsid w:val="15C56A7A"/>
    <w:rsid w:val="15D95C1C"/>
    <w:rsid w:val="15DF178B"/>
    <w:rsid w:val="15F72B28"/>
    <w:rsid w:val="162D4C24"/>
    <w:rsid w:val="16445B83"/>
    <w:rsid w:val="165A18B8"/>
    <w:rsid w:val="165A5414"/>
    <w:rsid w:val="167D1103"/>
    <w:rsid w:val="16A3500D"/>
    <w:rsid w:val="16C17241"/>
    <w:rsid w:val="16FB6BF7"/>
    <w:rsid w:val="170F4451"/>
    <w:rsid w:val="174001E4"/>
    <w:rsid w:val="176B182A"/>
    <w:rsid w:val="17740758"/>
    <w:rsid w:val="179A45B6"/>
    <w:rsid w:val="17A75370"/>
    <w:rsid w:val="17B7378B"/>
    <w:rsid w:val="17BA172D"/>
    <w:rsid w:val="17DE3E23"/>
    <w:rsid w:val="17DF2A99"/>
    <w:rsid w:val="17F17FFA"/>
    <w:rsid w:val="180C0990"/>
    <w:rsid w:val="18334F9A"/>
    <w:rsid w:val="183C062F"/>
    <w:rsid w:val="185A794E"/>
    <w:rsid w:val="185C1EE0"/>
    <w:rsid w:val="185E6EB6"/>
    <w:rsid w:val="18860743"/>
    <w:rsid w:val="18AE6DE7"/>
    <w:rsid w:val="18CC15ED"/>
    <w:rsid w:val="18E84F59"/>
    <w:rsid w:val="18EF453A"/>
    <w:rsid w:val="18FE477D"/>
    <w:rsid w:val="190C4F45"/>
    <w:rsid w:val="19502AFF"/>
    <w:rsid w:val="1969191D"/>
    <w:rsid w:val="196B4518"/>
    <w:rsid w:val="19856C4C"/>
    <w:rsid w:val="198A392A"/>
    <w:rsid w:val="19A20B4F"/>
    <w:rsid w:val="19B72B7E"/>
    <w:rsid w:val="19C5236C"/>
    <w:rsid w:val="1A00180A"/>
    <w:rsid w:val="1A0E09F0"/>
    <w:rsid w:val="1A516B2E"/>
    <w:rsid w:val="1AB1581F"/>
    <w:rsid w:val="1AC0098C"/>
    <w:rsid w:val="1AE05C5C"/>
    <w:rsid w:val="1AFD2812"/>
    <w:rsid w:val="1B0758FD"/>
    <w:rsid w:val="1B204EAB"/>
    <w:rsid w:val="1B813443"/>
    <w:rsid w:val="1BAC6712"/>
    <w:rsid w:val="1BCC0B62"/>
    <w:rsid w:val="1BDB0DA5"/>
    <w:rsid w:val="1C60574F"/>
    <w:rsid w:val="1C754516"/>
    <w:rsid w:val="1C874A89"/>
    <w:rsid w:val="1C96585A"/>
    <w:rsid w:val="1CAA0778"/>
    <w:rsid w:val="1CBF4223"/>
    <w:rsid w:val="1CC64099"/>
    <w:rsid w:val="1CE9788F"/>
    <w:rsid w:val="1D3A7D4E"/>
    <w:rsid w:val="1D496DC2"/>
    <w:rsid w:val="1DE63A32"/>
    <w:rsid w:val="1E073968"/>
    <w:rsid w:val="1E2E729A"/>
    <w:rsid w:val="1E591960"/>
    <w:rsid w:val="1E5D6DE0"/>
    <w:rsid w:val="1E5E4D57"/>
    <w:rsid w:val="1E69544E"/>
    <w:rsid w:val="1EC30786"/>
    <w:rsid w:val="1ED16490"/>
    <w:rsid w:val="1EF77EF6"/>
    <w:rsid w:val="1EFF4D1E"/>
    <w:rsid w:val="1F4D78E4"/>
    <w:rsid w:val="1F503DF8"/>
    <w:rsid w:val="1FA228EE"/>
    <w:rsid w:val="2040567B"/>
    <w:rsid w:val="20710D0B"/>
    <w:rsid w:val="21352A19"/>
    <w:rsid w:val="21747CC7"/>
    <w:rsid w:val="21985D98"/>
    <w:rsid w:val="21A26717"/>
    <w:rsid w:val="21C32917"/>
    <w:rsid w:val="21DA1AFF"/>
    <w:rsid w:val="21F04E7F"/>
    <w:rsid w:val="21FF14CD"/>
    <w:rsid w:val="223E5BEA"/>
    <w:rsid w:val="22433200"/>
    <w:rsid w:val="2267625F"/>
    <w:rsid w:val="22A85759"/>
    <w:rsid w:val="22B42350"/>
    <w:rsid w:val="22E76282"/>
    <w:rsid w:val="22E845A7"/>
    <w:rsid w:val="22EA7B20"/>
    <w:rsid w:val="22F10B70"/>
    <w:rsid w:val="2303007B"/>
    <w:rsid w:val="232B2612"/>
    <w:rsid w:val="232E5C5F"/>
    <w:rsid w:val="239758BD"/>
    <w:rsid w:val="23AF6E65"/>
    <w:rsid w:val="23E50309"/>
    <w:rsid w:val="24197AF2"/>
    <w:rsid w:val="24233E34"/>
    <w:rsid w:val="243A0633"/>
    <w:rsid w:val="2496290D"/>
    <w:rsid w:val="24B12ABC"/>
    <w:rsid w:val="24B228BF"/>
    <w:rsid w:val="25441520"/>
    <w:rsid w:val="254D7F7A"/>
    <w:rsid w:val="255965BC"/>
    <w:rsid w:val="25CB3C39"/>
    <w:rsid w:val="25D41548"/>
    <w:rsid w:val="25D66AB7"/>
    <w:rsid w:val="25E371D4"/>
    <w:rsid w:val="26095B77"/>
    <w:rsid w:val="26154EB4"/>
    <w:rsid w:val="264D28A0"/>
    <w:rsid w:val="26521602"/>
    <w:rsid w:val="265F2F65"/>
    <w:rsid w:val="26A338B2"/>
    <w:rsid w:val="26F70A5D"/>
    <w:rsid w:val="27201D62"/>
    <w:rsid w:val="27612030"/>
    <w:rsid w:val="27624C01"/>
    <w:rsid w:val="276F7F3A"/>
    <w:rsid w:val="278E3170"/>
    <w:rsid w:val="27A110F5"/>
    <w:rsid w:val="27AC7A9A"/>
    <w:rsid w:val="27D55D47"/>
    <w:rsid w:val="27E15995"/>
    <w:rsid w:val="27F07987"/>
    <w:rsid w:val="27FD4DB1"/>
    <w:rsid w:val="281D55C8"/>
    <w:rsid w:val="286A598B"/>
    <w:rsid w:val="28926C90"/>
    <w:rsid w:val="28CF4308"/>
    <w:rsid w:val="28DD7B11"/>
    <w:rsid w:val="29354D1A"/>
    <w:rsid w:val="293D2493"/>
    <w:rsid w:val="296F119F"/>
    <w:rsid w:val="29B641A3"/>
    <w:rsid w:val="29C94933"/>
    <w:rsid w:val="29FA2D3E"/>
    <w:rsid w:val="29FD282F"/>
    <w:rsid w:val="2A0732DC"/>
    <w:rsid w:val="2A0E1DA3"/>
    <w:rsid w:val="2A0F07CB"/>
    <w:rsid w:val="2A42251A"/>
    <w:rsid w:val="2A672779"/>
    <w:rsid w:val="2A7C19A5"/>
    <w:rsid w:val="2AC60E73"/>
    <w:rsid w:val="2ACF5971"/>
    <w:rsid w:val="2AD03A9F"/>
    <w:rsid w:val="2ADA66CC"/>
    <w:rsid w:val="2AF46052"/>
    <w:rsid w:val="2BC538CE"/>
    <w:rsid w:val="2BC64379"/>
    <w:rsid w:val="2BD903BF"/>
    <w:rsid w:val="2BF0285A"/>
    <w:rsid w:val="2C025EDA"/>
    <w:rsid w:val="2C2B7E03"/>
    <w:rsid w:val="2C6170A5"/>
    <w:rsid w:val="2C817A09"/>
    <w:rsid w:val="2C877DC8"/>
    <w:rsid w:val="2CCD473A"/>
    <w:rsid w:val="2CD8457F"/>
    <w:rsid w:val="2D293ED8"/>
    <w:rsid w:val="2D360531"/>
    <w:rsid w:val="2D4B16D2"/>
    <w:rsid w:val="2DD13DB6"/>
    <w:rsid w:val="2E283646"/>
    <w:rsid w:val="2EB3170E"/>
    <w:rsid w:val="2F0D5D93"/>
    <w:rsid w:val="2F406891"/>
    <w:rsid w:val="2F8E0CE8"/>
    <w:rsid w:val="2F8E4D56"/>
    <w:rsid w:val="2FD91648"/>
    <w:rsid w:val="2FE21531"/>
    <w:rsid w:val="2FE91CEC"/>
    <w:rsid w:val="30634296"/>
    <w:rsid w:val="30647164"/>
    <w:rsid w:val="306E0B42"/>
    <w:rsid w:val="30754EBE"/>
    <w:rsid w:val="307B199E"/>
    <w:rsid w:val="30A36FF1"/>
    <w:rsid w:val="30BC4A8F"/>
    <w:rsid w:val="30C23098"/>
    <w:rsid w:val="30EB45DA"/>
    <w:rsid w:val="30FF1132"/>
    <w:rsid w:val="30FF63EF"/>
    <w:rsid w:val="310D4304"/>
    <w:rsid w:val="312525F7"/>
    <w:rsid w:val="314D2F38"/>
    <w:rsid w:val="317E24A7"/>
    <w:rsid w:val="31952DD6"/>
    <w:rsid w:val="31AF08B2"/>
    <w:rsid w:val="31B732C3"/>
    <w:rsid w:val="31CC4FC0"/>
    <w:rsid w:val="31F7433A"/>
    <w:rsid w:val="325131C7"/>
    <w:rsid w:val="3253409F"/>
    <w:rsid w:val="325E6415"/>
    <w:rsid w:val="32803FFD"/>
    <w:rsid w:val="328A4FE6"/>
    <w:rsid w:val="32953ED5"/>
    <w:rsid w:val="32C75788"/>
    <w:rsid w:val="3321758E"/>
    <w:rsid w:val="3355548A"/>
    <w:rsid w:val="335A65FC"/>
    <w:rsid w:val="33916868"/>
    <w:rsid w:val="33CB74FA"/>
    <w:rsid w:val="342C7F98"/>
    <w:rsid w:val="344D7F0F"/>
    <w:rsid w:val="345E3ECA"/>
    <w:rsid w:val="346F60D7"/>
    <w:rsid w:val="34750972"/>
    <w:rsid w:val="34894BBA"/>
    <w:rsid w:val="34A02734"/>
    <w:rsid w:val="34B044FD"/>
    <w:rsid w:val="34DB19BE"/>
    <w:rsid w:val="34F82570"/>
    <w:rsid w:val="350031D3"/>
    <w:rsid w:val="352300D8"/>
    <w:rsid w:val="3546372A"/>
    <w:rsid w:val="355E0625"/>
    <w:rsid w:val="35B71AE4"/>
    <w:rsid w:val="35BE2E72"/>
    <w:rsid w:val="35D8677A"/>
    <w:rsid w:val="36080591"/>
    <w:rsid w:val="360B0496"/>
    <w:rsid w:val="36211653"/>
    <w:rsid w:val="36780E50"/>
    <w:rsid w:val="36BF4B72"/>
    <w:rsid w:val="36C62378"/>
    <w:rsid w:val="36D34080"/>
    <w:rsid w:val="36E355FB"/>
    <w:rsid w:val="36E91C82"/>
    <w:rsid w:val="36EE4191"/>
    <w:rsid w:val="36F92F47"/>
    <w:rsid w:val="37015CC6"/>
    <w:rsid w:val="374675C3"/>
    <w:rsid w:val="37555A58"/>
    <w:rsid w:val="376A752C"/>
    <w:rsid w:val="37CE75B8"/>
    <w:rsid w:val="3801173C"/>
    <w:rsid w:val="38031EDD"/>
    <w:rsid w:val="38033923"/>
    <w:rsid w:val="38042FDA"/>
    <w:rsid w:val="38051BB9"/>
    <w:rsid w:val="38080D1C"/>
    <w:rsid w:val="380D00E1"/>
    <w:rsid w:val="3819279E"/>
    <w:rsid w:val="38366EFB"/>
    <w:rsid w:val="383E029A"/>
    <w:rsid w:val="384B29B7"/>
    <w:rsid w:val="38BC1BDC"/>
    <w:rsid w:val="38C74734"/>
    <w:rsid w:val="38E87BBB"/>
    <w:rsid w:val="390239BE"/>
    <w:rsid w:val="390E32F6"/>
    <w:rsid w:val="3914549F"/>
    <w:rsid w:val="392D1322"/>
    <w:rsid w:val="39AB434B"/>
    <w:rsid w:val="39B4157B"/>
    <w:rsid w:val="39BD44BE"/>
    <w:rsid w:val="39E41149"/>
    <w:rsid w:val="39EB26A4"/>
    <w:rsid w:val="39FC6ECE"/>
    <w:rsid w:val="3A3F654C"/>
    <w:rsid w:val="3A5A25A6"/>
    <w:rsid w:val="3A726921"/>
    <w:rsid w:val="3AB962FE"/>
    <w:rsid w:val="3ACF5B21"/>
    <w:rsid w:val="3AD575DA"/>
    <w:rsid w:val="3AE27603"/>
    <w:rsid w:val="3AEE41FA"/>
    <w:rsid w:val="3B7010B2"/>
    <w:rsid w:val="3BAF0C04"/>
    <w:rsid w:val="3BCE5DD9"/>
    <w:rsid w:val="3BDD426E"/>
    <w:rsid w:val="3C030EA1"/>
    <w:rsid w:val="3C073192"/>
    <w:rsid w:val="3C0B3260"/>
    <w:rsid w:val="3C26744A"/>
    <w:rsid w:val="3C2C3893"/>
    <w:rsid w:val="3C430575"/>
    <w:rsid w:val="3C4349FB"/>
    <w:rsid w:val="3C5B6705"/>
    <w:rsid w:val="3CB472A8"/>
    <w:rsid w:val="3CC1149A"/>
    <w:rsid w:val="3CD46FE9"/>
    <w:rsid w:val="3CE44D6B"/>
    <w:rsid w:val="3D0D1C09"/>
    <w:rsid w:val="3D101FEB"/>
    <w:rsid w:val="3D1B75AF"/>
    <w:rsid w:val="3D251A29"/>
    <w:rsid w:val="3D281519"/>
    <w:rsid w:val="3D9A2417"/>
    <w:rsid w:val="3DE96EFA"/>
    <w:rsid w:val="3E1C107E"/>
    <w:rsid w:val="3E9A27AD"/>
    <w:rsid w:val="3EB9054F"/>
    <w:rsid w:val="3EC86B10"/>
    <w:rsid w:val="3ED41E38"/>
    <w:rsid w:val="3EEECE1A"/>
    <w:rsid w:val="3F3C0E6A"/>
    <w:rsid w:val="3F4F0FDF"/>
    <w:rsid w:val="3F9904AC"/>
    <w:rsid w:val="3FC714BD"/>
    <w:rsid w:val="3FF35426"/>
    <w:rsid w:val="40560AE5"/>
    <w:rsid w:val="409E1999"/>
    <w:rsid w:val="40CD48B8"/>
    <w:rsid w:val="40E340D5"/>
    <w:rsid w:val="40F005A0"/>
    <w:rsid w:val="41063629"/>
    <w:rsid w:val="414C1C7A"/>
    <w:rsid w:val="41582048"/>
    <w:rsid w:val="41653AC2"/>
    <w:rsid w:val="41A25F3E"/>
    <w:rsid w:val="41AC70DE"/>
    <w:rsid w:val="41B0748D"/>
    <w:rsid w:val="41F2582A"/>
    <w:rsid w:val="42EF1C2D"/>
    <w:rsid w:val="432B3B11"/>
    <w:rsid w:val="43503F67"/>
    <w:rsid w:val="43807133"/>
    <w:rsid w:val="43827BD5"/>
    <w:rsid w:val="438644B5"/>
    <w:rsid w:val="43B81849"/>
    <w:rsid w:val="44153056"/>
    <w:rsid w:val="44544A76"/>
    <w:rsid w:val="448E1010"/>
    <w:rsid w:val="449000D0"/>
    <w:rsid w:val="44E4666D"/>
    <w:rsid w:val="45AC4E6E"/>
    <w:rsid w:val="45B20519"/>
    <w:rsid w:val="45E13B6A"/>
    <w:rsid w:val="45F90867"/>
    <w:rsid w:val="460C7193"/>
    <w:rsid w:val="4642189D"/>
    <w:rsid w:val="467F03FC"/>
    <w:rsid w:val="46805F22"/>
    <w:rsid w:val="4683047E"/>
    <w:rsid w:val="469E1F35"/>
    <w:rsid w:val="472C1B4D"/>
    <w:rsid w:val="47484C91"/>
    <w:rsid w:val="47541888"/>
    <w:rsid w:val="47661AC2"/>
    <w:rsid w:val="479A2668"/>
    <w:rsid w:val="47AA2B40"/>
    <w:rsid w:val="47AC326C"/>
    <w:rsid w:val="47C415B1"/>
    <w:rsid w:val="487815A6"/>
    <w:rsid w:val="48DF33D4"/>
    <w:rsid w:val="492F31C0"/>
    <w:rsid w:val="49301E81"/>
    <w:rsid w:val="494557C4"/>
    <w:rsid w:val="49966F85"/>
    <w:rsid w:val="49C8593B"/>
    <w:rsid w:val="4A110D60"/>
    <w:rsid w:val="4A317C5F"/>
    <w:rsid w:val="4A7D10F6"/>
    <w:rsid w:val="4AAC42E7"/>
    <w:rsid w:val="4AD221CC"/>
    <w:rsid w:val="4AD64F49"/>
    <w:rsid w:val="4B9934BC"/>
    <w:rsid w:val="4BA234C7"/>
    <w:rsid w:val="4BC30D8B"/>
    <w:rsid w:val="4BE62CCB"/>
    <w:rsid w:val="4BEF12BE"/>
    <w:rsid w:val="4C34368B"/>
    <w:rsid w:val="4C5E0AB3"/>
    <w:rsid w:val="4CB701C3"/>
    <w:rsid w:val="4CBE72DA"/>
    <w:rsid w:val="4CD314A1"/>
    <w:rsid w:val="4CF542D3"/>
    <w:rsid w:val="4D021D86"/>
    <w:rsid w:val="4D066599"/>
    <w:rsid w:val="4D387556"/>
    <w:rsid w:val="4D9218E1"/>
    <w:rsid w:val="4DC64B62"/>
    <w:rsid w:val="4DC95567"/>
    <w:rsid w:val="4DD42A2F"/>
    <w:rsid w:val="4E2078E8"/>
    <w:rsid w:val="4E4C6AC5"/>
    <w:rsid w:val="4E5E7C38"/>
    <w:rsid w:val="4E685B94"/>
    <w:rsid w:val="4E8005CA"/>
    <w:rsid w:val="4EA03605"/>
    <w:rsid w:val="4EA74993"/>
    <w:rsid w:val="4F1813ED"/>
    <w:rsid w:val="4F226D6F"/>
    <w:rsid w:val="4F6E725F"/>
    <w:rsid w:val="4F713D48"/>
    <w:rsid w:val="4FC43C9F"/>
    <w:rsid w:val="4FCD4416"/>
    <w:rsid w:val="4FD176D0"/>
    <w:rsid w:val="4FE51205"/>
    <w:rsid w:val="4FF43314"/>
    <w:rsid w:val="5026374E"/>
    <w:rsid w:val="505910FD"/>
    <w:rsid w:val="505D1E8E"/>
    <w:rsid w:val="507E55A3"/>
    <w:rsid w:val="50877CF3"/>
    <w:rsid w:val="508D5E0B"/>
    <w:rsid w:val="509B1CB1"/>
    <w:rsid w:val="50B37D27"/>
    <w:rsid w:val="50BE1397"/>
    <w:rsid w:val="50C40DD7"/>
    <w:rsid w:val="50EA2AF2"/>
    <w:rsid w:val="510354D4"/>
    <w:rsid w:val="515D758B"/>
    <w:rsid w:val="518A2886"/>
    <w:rsid w:val="518A40F8"/>
    <w:rsid w:val="518E3BE9"/>
    <w:rsid w:val="51EE6435"/>
    <w:rsid w:val="5273781C"/>
    <w:rsid w:val="528D62B1"/>
    <w:rsid w:val="52C33D66"/>
    <w:rsid w:val="52F925D0"/>
    <w:rsid w:val="53114AD1"/>
    <w:rsid w:val="532E399E"/>
    <w:rsid w:val="53364538"/>
    <w:rsid w:val="53782DBB"/>
    <w:rsid w:val="54024923"/>
    <w:rsid w:val="5474356A"/>
    <w:rsid w:val="54C54DE0"/>
    <w:rsid w:val="54F503EE"/>
    <w:rsid w:val="552B0B4C"/>
    <w:rsid w:val="55364B38"/>
    <w:rsid w:val="555313D1"/>
    <w:rsid w:val="559534D4"/>
    <w:rsid w:val="55A84374"/>
    <w:rsid w:val="55AB1785"/>
    <w:rsid w:val="55E04545"/>
    <w:rsid w:val="55EA5046"/>
    <w:rsid w:val="561D19DF"/>
    <w:rsid w:val="56200FBF"/>
    <w:rsid w:val="563F3703"/>
    <w:rsid w:val="568832FC"/>
    <w:rsid w:val="56A44031"/>
    <w:rsid w:val="56A85AB0"/>
    <w:rsid w:val="56B714EC"/>
    <w:rsid w:val="56DC53F6"/>
    <w:rsid w:val="56FC2A7A"/>
    <w:rsid w:val="57047689"/>
    <w:rsid w:val="572333E8"/>
    <w:rsid w:val="57713D91"/>
    <w:rsid w:val="57727B09"/>
    <w:rsid w:val="579E28D1"/>
    <w:rsid w:val="57F77651"/>
    <w:rsid w:val="584056FE"/>
    <w:rsid w:val="584766AC"/>
    <w:rsid w:val="58580AAD"/>
    <w:rsid w:val="58887411"/>
    <w:rsid w:val="58F632BA"/>
    <w:rsid w:val="5915699E"/>
    <w:rsid w:val="594B0611"/>
    <w:rsid w:val="59653481"/>
    <w:rsid w:val="59C44A38"/>
    <w:rsid w:val="59D16D68"/>
    <w:rsid w:val="59DD570D"/>
    <w:rsid w:val="59EF5441"/>
    <w:rsid w:val="59FA694D"/>
    <w:rsid w:val="5A113609"/>
    <w:rsid w:val="5A8C6946"/>
    <w:rsid w:val="5AD85ED5"/>
    <w:rsid w:val="5AEB5C08"/>
    <w:rsid w:val="5AFB5A70"/>
    <w:rsid w:val="5B043B8C"/>
    <w:rsid w:val="5B0D5ABD"/>
    <w:rsid w:val="5B647A38"/>
    <w:rsid w:val="5B700A53"/>
    <w:rsid w:val="5B914A01"/>
    <w:rsid w:val="5B9F1014"/>
    <w:rsid w:val="5BF27270"/>
    <w:rsid w:val="5C0E0752"/>
    <w:rsid w:val="5C0F4C20"/>
    <w:rsid w:val="5C383A38"/>
    <w:rsid w:val="5CAB38A1"/>
    <w:rsid w:val="5CC02802"/>
    <w:rsid w:val="5CD21F84"/>
    <w:rsid w:val="5CD728E8"/>
    <w:rsid w:val="5D0E613A"/>
    <w:rsid w:val="5D4635C9"/>
    <w:rsid w:val="5D535CE6"/>
    <w:rsid w:val="5D746389"/>
    <w:rsid w:val="5D791FAA"/>
    <w:rsid w:val="5DAE574E"/>
    <w:rsid w:val="5DEA2501"/>
    <w:rsid w:val="5E331DA0"/>
    <w:rsid w:val="5E4D76A5"/>
    <w:rsid w:val="5E5166CA"/>
    <w:rsid w:val="5E780E5B"/>
    <w:rsid w:val="5EB50A07"/>
    <w:rsid w:val="5EC2182D"/>
    <w:rsid w:val="5EE412EC"/>
    <w:rsid w:val="5EE94600"/>
    <w:rsid w:val="5F357D99"/>
    <w:rsid w:val="5F36141C"/>
    <w:rsid w:val="5F447FDD"/>
    <w:rsid w:val="5F60062F"/>
    <w:rsid w:val="5F70492E"/>
    <w:rsid w:val="5F721217"/>
    <w:rsid w:val="5F8B1768"/>
    <w:rsid w:val="5F985888"/>
    <w:rsid w:val="5FC34395"/>
    <w:rsid w:val="5FF94923"/>
    <w:rsid w:val="602337DF"/>
    <w:rsid w:val="602C2F4B"/>
    <w:rsid w:val="605129B1"/>
    <w:rsid w:val="607641C6"/>
    <w:rsid w:val="60827C2A"/>
    <w:rsid w:val="60CA4515"/>
    <w:rsid w:val="61110B23"/>
    <w:rsid w:val="61164429"/>
    <w:rsid w:val="614C769B"/>
    <w:rsid w:val="6151078F"/>
    <w:rsid w:val="616D0E9D"/>
    <w:rsid w:val="617D1584"/>
    <w:rsid w:val="6181227D"/>
    <w:rsid w:val="61AD1E69"/>
    <w:rsid w:val="61D95824"/>
    <w:rsid w:val="61DA0784"/>
    <w:rsid w:val="61DF4F25"/>
    <w:rsid w:val="622639C9"/>
    <w:rsid w:val="623615CA"/>
    <w:rsid w:val="6239194F"/>
    <w:rsid w:val="623B528F"/>
    <w:rsid w:val="624E2A9B"/>
    <w:rsid w:val="62824F6D"/>
    <w:rsid w:val="62AF7F3F"/>
    <w:rsid w:val="62B337E3"/>
    <w:rsid w:val="62CF7BBD"/>
    <w:rsid w:val="63005E8E"/>
    <w:rsid w:val="630272DB"/>
    <w:rsid w:val="634702E2"/>
    <w:rsid w:val="63617B43"/>
    <w:rsid w:val="636522D0"/>
    <w:rsid w:val="63857C95"/>
    <w:rsid w:val="641E63C8"/>
    <w:rsid w:val="64550596"/>
    <w:rsid w:val="649102B0"/>
    <w:rsid w:val="64AC6408"/>
    <w:rsid w:val="64AD2180"/>
    <w:rsid w:val="64AF5EF8"/>
    <w:rsid w:val="64B17EC2"/>
    <w:rsid w:val="64BA66CA"/>
    <w:rsid w:val="64C34049"/>
    <w:rsid w:val="65513A47"/>
    <w:rsid w:val="658E038D"/>
    <w:rsid w:val="659C3ABC"/>
    <w:rsid w:val="659F2386"/>
    <w:rsid w:val="661F2C0A"/>
    <w:rsid w:val="661F4759"/>
    <w:rsid w:val="66402BC6"/>
    <w:rsid w:val="66417024"/>
    <w:rsid w:val="66835660"/>
    <w:rsid w:val="66D86EEC"/>
    <w:rsid w:val="67034F8B"/>
    <w:rsid w:val="67332E10"/>
    <w:rsid w:val="674C3ED2"/>
    <w:rsid w:val="67691A21"/>
    <w:rsid w:val="677B6565"/>
    <w:rsid w:val="678E6299"/>
    <w:rsid w:val="6795184E"/>
    <w:rsid w:val="679F2254"/>
    <w:rsid w:val="67A51EC1"/>
    <w:rsid w:val="67D320AA"/>
    <w:rsid w:val="67F500C6"/>
    <w:rsid w:val="68150176"/>
    <w:rsid w:val="683913C9"/>
    <w:rsid w:val="683A27FC"/>
    <w:rsid w:val="686D2352"/>
    <w:rsid w:val="686D4100"/>
    <w:rsid w:val="68B27D65"/>
    <w:rsid w:val="693E5A9D"/>
    <w:rsid w:val="695B664F"/>
    <w:rsid w:val="6986455F"/>
    <w:rsid w:val="698F62F8"/>
    <w:rsid w:val="69C2588F"/>
    <w:rsid w:val="69DF38CB"/>
    <w:rsid w:val="69FC6B39"/>
    <w:rsid w:val="6A190855"/>
    <w:rsid w:val="6A1D029D"/>
    <w:rsid w:val="6A2309CD"/>
    <w:rsid w:val="6A2C3B47"/>
    <w:rsid w:val="6A582B8E"/>
    <w:rsid w:val="6A615EE7"/>
    <w:rsid w:val="6A701C86"/>
    <w:rsid w:val="6AA933EA"/>
    <w:rsid w:val="6AAE4A0D"/>
    <w:rsid w:val="6B476E8A"/>
    <w:rsid w:val="6B5748D8"/>
    <w:rsid w:val="6B5C38F4"/>
    <w:rsid w:val="6B7B6B34"/>
    <w:rsid w:val="6B881251"/>
    <w:rsid w:val="6B916DF5"/>
    <w:rsid w:val="6B9B0F84"/>
    <w:rsid w:val="6BC229B5"/>
    <w:rsid w:val="6C103720"/>
    <w:rsid w:val="6C1C5489"/>
    <w:rsid w:val="6C2F7E97"/>
    <w:rsid w:val="6C3F5DB4"/>
    <w:rsid w:val="6C5A0E3F"/>
    <w:rsid w:val="6C64581A"/>
    <w:rsid w:val="6CC0205D"/>
    <w:rsid w:val="6CEC143C"/>
    <w:rsid w:val="6D09032B"/>
    <w:rsid w:val="6D0931DE"/>
    <w:rsid w:val="6D404752"/>
    <w:rsid w:val="6D6668C3"/>
    <w:rsid w:val="6D9051A0"/>
    <w:rsid w:val="6D9914F3"/>
    <w:rsid w:val="6DB279DA"/>
    <w:rsid w:val="6E393953"/>
    <w:rsid w:val="6E644211"/>
    <w:rsid w:val="6EA21699"/>
    <w:rsid w:val="6EAB7730"/>
    <w:rsid w:val="6F027AF7"/>
    <w:rsid w:val="6F044BF1"/>
    <w:rsid w:val="6F26325B"/>
    <w:rsid w:val="6F6B5112"/>
    <w:rsid w:val="6F6F69B0"/>
    <w:rsid w:val="6F9C351D"/>
    <w:rsid w:val="6FAA0C45"/>
    <w:rsid w:val="6FB940CF"/>
    <w:rsid w:val="6FE82393"/>
    <w:rsid w:val="700B6747"/>
    <w:rsid w:val="70801449"/>
    <w:rsid w:val="709F4389"/>
    <w:rsid w:val="70AE65AA"/>
    <w:rsid w:val="70B5428E"/>
    <w:rsid w:val="70D93F49"/>
    <w:rsid w:val="70E128AC"/>
    <w:rsid w:val="70E1634E"/>
    <w:rsid w:val="70FF2AA0"/>
    <w:rsid w:val="71107D1F"/>
    <w:rsid w:val="71316D8D"/>
    <w:rsid w:val="715F4802"/>
    <w:rsid w:val="71654D19"/>
    <w:rsid w:val="71904F75"/>
    <w:rsid w:val="71A768D5"/>
    <w:rsid w:val="71E66C33"/>
    <w:rsid w:val="71E95CD1"/>
    <w:rsid w:val="72205CFE"/>
    <w:rsid w:val="72336342"/>
    <w:rsid w:val="72676064"/>
    <w:rsid w:val="72842772"/>
    <w:rsid w:val="72844C7D"/>
    <w:rsid w:val="72A36BE8"/>
    <w:rsid w:val="72D54ABB"/>
    <w:rsid w:val="73193F46"/>
    <w:rsid w:val="731D4975"/>
    <w:rsid w:val="734903DF"/>
    <w:rsid w:val="73BE7F06"/>
    <w:rsid w:val="73CD3228"/>
    <w:rsid w:val="73E3796C"/>
    <w:rsid w:val="74134DFB"/>
    <w:rsid w:val="742D3D9C"/>
    <w:rsid w:val="7434641A"/>
    <w:rsid w:val="74387CB8"/>
    <w:rsid w:val="745B25CA"/>
    <w:rsid w:val="74A06616"/>
    <w:rsid w:val="74AE1D28"/>
    <w:rsid w:val="74C55995"/>
    <w:rsid w:val="74FD49B7"/>
    <w:rsid w:val="7586788F"/>
    <w:rsid w:val="75C86411"/>
    <w:rsid w:val="76165DD7"/>
    <w:rsid w:val="76237386"/>
    <w:rsid w:val="762B7F17"/>
    <w:rsid w:val="76317141"/>
    <w:rsid w:val="765B1A3C"/>
    <w:rsid w:val="76DB2A57"/>
    <w:rsid w:val="76DD68F5"/>
    <w:rsid w:val="77100A78"/>
    <w:rsid w:val="771147F0"/>
    <w:rsid w:val="7758241F"/>
    <w:rsid w:val="783B1B25"/>
    <w:rsid w:val="784328C1"/>
    <w:rsid w:val="786612EA"/>
    <w:rsid w:val="78DA1D7B"/>
    <w:rsid w:val="78F13662"/>
    <w:rsid w:val="793E7C5B"/>
    <w:rsid w:val="7955517B"/>
    <w:rsid w:val="79560DFC"/>
    <w:rsid w:val="79674B9C"/>
    <w:rsid w:val="797F027F"/>
    <w:rsid w:val="79905EA0"/>
    <w:rsid w:val="79AC1FDF"/>
    <w:rsid w:val="79B7167F"/>
    <w:rsid w:val="79BC1425"/>
    <w:rsid w:val="79F71A7C"/>
    <w:rsid w:val="7A140880"/>
    <w:rsid w:val="7A1C75A3"/>
    <w:rsid w:val="7A236D15"/>
    <w:rsid w:val="7A2E6992"/>
    <w:rsid w:val="7A394769"/>
    <w:rsid w:val="7A6A4943"/>
    <w:rsid w:val="7AE71AF0"/>
    <w:rsid w:val="7B413F7E"/>
    <w:rsid w:val="7B885D10"/>
    <w:rsid w:val="7BDA78A7"/>
    <w:rsid w:val="7BE74CFC"/>
    <w:rsid w:val="7BEE6B88"/>
    <w:rsid w:val="7BF7570B"/>
    <w:rsid w:val="7C2E345F"/>
    <w:rsid w:val="7C5424A5"/>
    <w:rsid w:val="7C5A2796"/>
    <w:rsid w:val="7C605268"/>
    <w:rsid w:val="7C6A0C2B"/>
    <w:rsid w:val="7CF46746"/>
    <w:rsid w:val="7D00333D"/>
    <w:rsid w:val="7DA55D0C"/>
    <w:rsid w:val="7DA939D5"/>
    <w:rsid w:val="7DB86548"/>
    <w:rsid w:val="7DD00F61"/>
    <w:rsid w:val="7E5D00E7"/>
    <w:rsid w:val="7E9F7825"/>
    <w:rsid w:val="7EB4618D"/>
    <w:rsid w:val="7EE84089"/>
    <w:rsid w:val="7F376DBE"/>
    <w:rsid w:val="7F7162F6"/>
    <w:rsid w:val="7F9A7019"/>
    <w:rsid w:val="7FB81CAD"/>
    <w:rsid w:val="7FC85D75"/>
    <w:rsid w:val="7FD5583B"/>
    <w:rsid w:val="7FDE196C"/>
    <w:rsid w:val="7FE138D8"/>
    <w:rsid w:val="7FE31449"/>
    <w:rsid w:val="7FE405C7"/>
    <w:rsid w:val="7FF52F01"/>
    <w:rsid w:val="BD6DBFFE"/>
    <w:rsid w:val="FFF95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ind w:firstLine="420" w:firstLineChars="200"/>
      <w:jc w:val="both"/>
    </w:pPr>
    <w:rPr>
      <w:rFonts w:ascii="Times New Roman" w:hAnsi="Times New Roman" w:eastAsia="仿宋" w:cstheme="minorBidi"/>
      <w:kern w:val="2"/>
      <w:sz w:val="32"/>
      <w:szCs w:val="24"/>
      <w:lang w:val="en-US" w:eastAsia="zh-CN" w:bidi="ar-SA"/>
    </w:rPr>
  </w:style>
  <w:style w:type="paragraph" w:styleId="3">
    <w:name w:val="heading 1"/>
    <w:basedOn w:val="1"/>
    <w:next w:val="1"/>
    <w:autoRedefine/>
    <w:qFormat/>
    <w:uiPriority w:val="0"/>
    <w:pPr>
      <w:keepNext/>
      <w:keepLines/>
      <w:spacing w:before="0" w:beforeLines="0" w:beforeAutospacing="0" w:after="0" w:afterLines="0" w:afterAutospacing="0" w:line="600" w:lineRule="exact"/>
      <w:ind w:firstLine="420" w:firstLineChars="200"/>
      <w:outlineLvl w:val="0"/>
    </w:pPr>
    <w:rPr>
      <w:rFonts w:eastAsia="黑体" w:asciiTheme="minorAscii" w:hAnsiTheme="minorAscii"/>
      <w:b/>
      <w:kern w:val="44"/>
      <w:sz w:val="32"/>
    </w:rPr>
  </w:style>
  <w:style w:type="paragraph" w:styleId="4">
    <w:name w:val="heading 2"/>
    <w:basedOn w:val="1"/>
    <w:next w:val="1"/>
    <w:autoRedefine/>
    <w:unhideWhenUsed/>
    <w:qFormat/>
    <w:uiPriority w:val="0"/>
    <w:pPr>
      <w:keepNext/>
      <w:keepLines/>
      <w:spacing w:before="0" w:beforeLines="0" w:beforeAutospacing="0" w:after="0" w:afterLines="0" w:afterAutospacing="0" w:line="600" w:lineRule="exact"/>
      <w:ind w:firstLine="420" w:firstLineChars="200"/>
      <w:outlineLvl w:val="1"/>
    </w:pPr>
    <w:rPr>
      <w:rFonts w:ascii="Arial" w:hAnsi="Arial" w:eastAsia="楷体"/>
      <w:b/>
    </w:rPr>
  </w:style>
  <w:style w:type="paragraph" w:styleId="5">
    <w:name w:val="heading 3"/>
    <w:basedOn w:val="1"/>
    <w:next w:val="1"/>
    <w:autoRedefine/>
    <w:unhideWhenUsed/>
    <w:qFormat/>
    <w:uiPriority w:val="0"/>
    <w:pPr>
      <w:keepNext w:val="0"/>
      <w:keepLines w:val="0"/>
      <w:spacing w:before="0" w:beforeLines="0" w:beforeAutospacing="0" w:after="0" w:afterLines="0" w:afterAutospacing="0" w:line="600" w:lineRule="exact"/>
      <w:outlineLvl w:val="2"/>
    </w:pPr>
    <w:rPr>
      <w:b/>
    </w:rPr>
  </w:style>
  <w:style w:type="character" w:default="1" w:styleId="18">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unhideWhenUsed/>
    <w:qFormat/>
    <w:uiPriority w:val="99"/>
    <w:pPr>
      <w:ind w:firstLine="420" w:firstLineChars="200"/>
    </w:pPr>
  </w:style>
  <w:style w:type="paragraph" w:styleId="6">
    <w:name w:val="Body Text"/>
    <w:basedOn w:val="1"/>
    <w:autoRedefine/>
    <w:unhideWhenUsed/>
    <w:qFormat/>
    <w:uiPriority w:val="99"/>
    <w:pPr>
      <w:spacing w:after="120"/>
    </w:pPr>
  </w:style>
  <w:style w:type="paragraph" w:styleId="7">
    <w:name w:val="Body Text Indent"/>
    <w:basedOn w:val="1"/>
    <w:autoRedefine/>
    <w:qFormat/>
    <w:uiPriority w:val="0"/>
    <w:pPr>
      <w:spacing w:after="120" w:afterLines="0" w:afterAutospacing="0"/>
      <w:ind w:left="420" w:leftChars="200"/>
    </w:pPr>
  </w:style>
  <w:style w:type="paragraph" w:styleId="8">
    <w:name w:val="toc 3"/>
    <w:basedOn w:val="1"/>
    <w:next w:val="1"/>
    <w:autoRedefine/>
    <w:qFormat/>
    <w:uiPriority w:val="0"/>
    <w:pPr>
      <w:ind w:left="840" w:leftChars="400"/>
    </w:p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next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autoRedefine/>
    <w:qFormat/>
    <w:uiPriority w:val="0"/>
  </w:style>
  <w:style w:type="paragraph" w:styleId="12">
    <w:name w:val="footnote text"/>
    <w:basedOn w:val="1"/>
    <w:autoRedefine/>
    <w:unhideWhenUsed/>
    <w:qFormat/>
    <w:uiPriority w:val="99"/>
    <w:pPr>
      <w:widowControl w:val="0"/>
      <w:snapToGrid w:val="0"/>
    </w:pPr>
    <w:rPr>
      <w:rFonts w:ascii="Calibri" w:hAnsi="Calibri" w:cs="Times New Roman"/>
      <w:kern w:val="2"/>
      <w:sz w:val="18"/>
      <w:szCs w:val="18"/>
    </w:rPr>
  </w:style>
  <w:style w:type="paragraph" w:styleId="13">
    <w:name w:val="toc 2"/>
    <w:basedOn w:val="1"/>
    <w:next w:val="1"/>
    <w:autoRedefine/>
    <w:qFormat/>
    <w:uiPriority w:val="0"/>
    <w:pPr>
      <w:ind w:left="420" w:leftChars="200"/>
    </w:pPr>
  </w:style>
  <w:style w:type="paragraph" w:styleId="1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5">
    <w:name w:val="Body Text First Indent 2"/>
    <w:basedOn w:val="7"/>
    <w:autoRedefine/>
    <w:qFormat/>
    <w:uiPriority w:val="0"/>
    <w:pPr>
      <w:ind w:firstLine="420" w:firstLineChars="200"/>
    </w:p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Table Normal"/>
    <w:autoRedefine/>
    <w:semiHidden/>
    <w:unhideWhenUsed/>
    <w:qFormat/>
    <w:uiPriority w:val="0"/>
    <w:tblPr>
      <w:tblCellMar>
        <w:top w:w="0" w:type="dxa"/>
        <w:left w:w="0" w:type="dxa"/>
        <w:bottom w:w="0" w:type="dxa"/>
        <w:right w:w="0" w:type="dxa"/>
      </w:tblCellMar>
    </w:tblPr>
  </w:style>
  <w:style w:type="paragraph" w:customStyle="1" w:styleId="20">
    <w:name w:val="WPSOffice手动目录 1"/>
    <w:autoRedefine/>
    <w:qFormat/>
    <w:uiPriority w:val="0"/>
    <w:pPr>
      <w:ind w:leftChars="0"/>
    </w:pPr>
    <w:rPr>
      <w:rFonts w:ascii="Times New Roman" w:hAnsi="Times New Roman" w:eastAsia="宋体" w:cs="Times New Roman"/>
      <w:sz w:val="20"/>
      <w:szCs w:val="20"/>
    </w:rPr>
  </w:style>
  <w:style w:type="paragraph" w:customStyle="1" w:styleId="21">
    <w:name w:val="WPSOffice手动目录 2"/>
    <w:autoRedefine/>
    <w:qFormat/>
    <w:uiPriority w:val="0"/>
    <w:pPr>
      <w:ind w:leftChars="200"/>
    </w:pPr>
    <w:rPr>
      <w:rFonts w:ascii="Times New Roman" w:hAnsi="Times New Roman" w:eastAsia="宋体" w:cs="Times New Roman"/>
      <w:sz w:val="20"/>
      <w:szCs w:val="20"/>
    </w:rPr>
  </w:style>
  <w:style w:type="paragraph" w:customStyle="1" w:styleId="22">
    <w:name w:val="WPSOffice手动目录 3"/>
    <w:autoRedefine/>
    <w:qFormat/>
    <w:uiPriority w:val="0"/>
    <w:pPr>
      <w:ind w:leftChars="400"/>
    </w:pPr>
    <w:rPr>
      <w:rFonts w:ascii="Times New Roman" w:hAnsi="Times New Roman" w:eastAsia="宋体" w:cs="Times New Roman"/>
      <w:sz w:val="20"/>
      <w:szCs w:val="20"/>
    </w:rPr>
  </w:style>
  <w:style w:type="character" w:customStyle="1" w:styleId="23">
    <w:name w:val="font21"/>
    <w:autoRedefine/>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8210</Words>
  <Characters>9206</Characters>
  <Lines>1</Lines>
  <Paragraphs>1</Paragraphs>
  <TotalTime>0</TotalTime>
  <ScaleCrop>false</ScaleCrop>
  <LinksUpToDate>false</LinksUpToDate>
  <CharactersWithSpaces>9468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2023-10-11T16:39:00Z</dcterms:created>
  <dc:creator>银鹏会计事务所</dc:creator>
  <cp:lastModifiedBy>财正</cp:lastModifiedBy>
  <dcterms:modified xsi:type="dcterms:W3CDTF">2023-12-16T02:09:42Z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9D946E614FD04251B2E653D8EFAE2B80_13</vt:lpwstr>
  </property>
</Properties>
</file>