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r>
        <w:rPr>
          <w:rFonts w:hint="eastAsia" w:ascii="Times New Roman Regular" w:hAnsi="Times New Roman Regular" w:eastAsia="方正小标宋_GBK" w:cs="Times New Roman Regular"/>
          <w:sz w:val="52"/>
          <w:szCs w:val="52"/>
          <w:lang w:val="en-US" w:eastAsia="zh-CN"/>
        </w:rPr>
        <w:t>2022</w:t>
      </w:r>
      <w:r>
        <w:rPr>
          <w:rFonts w:hint="default" w:ascii="Times New Roman Regular" w:hAnsi="Times New Roman Regular" w:eastAsia="方正小标宋_GBK" w:cs="Times New Roman Regular"/>
          <w:sz w:val="52"/>
          <w:szCs w:val="52"/>
        </w:rPr>
        <w:t>年度部门整体支出</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r>
        <w:rPr>
          <w:rFonts w:hint="default" w:ascii="Times New Roman Regular" w:hAnsi="Times New Roman Regular" w:eastAsia="方正小标宋_GBK" w:cs="Times New Roman Regular"/>
          <w:sz w:val="52"/>
          <w:szCs w:val="52"/>
        </w:rPr>
        <w:t>绩效自评报告</w:t>
      </w:r>
    </w:p>
    <w:p>
      <w:pPr>
        <w:pStyle w:val="5"/>
        <w:ind w:left="0" w:leftChars="0" w:firstLine="0" w:firstLineChars="0"/>
        <w:rPr>
          <w:rFonts w:hint="default"/>
        </w:rPr>
      </w:pPr>
    </w:p>
    <w:p>
      <w:pPr>
        <w:pStyle w:val="5"/>
        <w:ind w:left="0" w:leftChars="0" w:firstLine="0" w:firstLineChars="0"/>
        <w:rPr>
          <w:rFonts w:hint="default"/>
        </w:rPr>
      </w:pP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一、部门（单位）基本情况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邵阳市北塔区商务局(以下简称商务局)是区政府工作部门，为正科级，由邵阳市北塔区人民政府统一领导和管理。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1．主要职能。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4.推动商务领域信用建设，指导商业信用销售，建立市场诚信公共服务平台；按有关规定对特殊流通行业（不含典当、融资租赁和商业保理）进行监督管理。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7.贯彻执行国家对外技术贸易、出口管制以及鼓励技术和成套设备进出口的贸易政策，推进进出口贸易标准化工作；依法监督技术引进、设备进口、国家限制出口技术的工作。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8.牵头拟订服务贸易发展规划并开展相关工作；会同有关部门制定促进服务出口、服务外包的规划、政策并组织实施，推动服务外包平台建设。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贯彻执行我国多双边（含区域、自由贸易区）经贸合作战略和政策，推进我区与其他国家（地区）的经贸往来与投资贸易合作；牵头承担全区商务领域涉及世界贸易组织事务的相关工作，负责对外经济贸易协调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10.负责组织协调反倾销、反补贴、保障措施及其他与进出口公平贸易相关的工作，协助开展对外贸易调查和产业损害调查，指导协调产业安全应对工作。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指导全区招商引资和承接产业转移工作，拟订并组织实施招商引资和承接产业转移政策；依法核准重大外商投资项目的合同章程及法律特别规定的重大变更事项；依法监督检查外商投资企业执行有关法律法规规章、合同章程的情况并协调解决有关问题；规范招商引资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12.拟订并组织实施全区对外经济合作政策；管理和监督对外承包工程、劳务合作和境外就业等；对我区企业在境外投资开办企业和机构（金融企业除外）实施监督和管理工作。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13.负责全区对外援助项目，和接受多边对我区的无偿援助和赠款。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14.贯彻执行国家对香港、澳门特别行政区和台湾地区的经贸规划、政策，指导我区对港、澳、台地区贸易和经贸合作活动，协调港、澳、台商投资管理工作。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15.承担会展业促进与管理有关工作。指导和联系全区各类商贸行业协会、学会等社团组织工作。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16.承担全区商务系统统计及其信息发布工作，提供信息咨询服务，指导全区流通领域信息网络和电子商务建设。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17.承办区委和区政府交办的其他事项。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塔区商务局属公务员管理的行政单位，经费实行财政全额预算拨付；局机关内设机构5个：办公室、招商引资股、外经外贸股、内贸流通股、农贸市场管理股；领导职数为3名，其中局长1名、副局长2名。所属事业机构2个：北塔区投资促进事务中心，为区商务局机关所属的副科级公益一类全额拨款事业单位，核定事业编制2名；北塔区市场服务中心，为区商务局所属的股级公益一类全额拨款事业单位，核定事业编制3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截止2022年12月31日，我单位在职人数9人，其中行政人员3人，事业人员6人。</w:t>
      </w: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二、部门（单位）预算收支及执行情况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系保障我局机构正常运转、完成日常工作任务而发生的人员支出和公用支出，包括用于在职和离退休人员基本工资、津贴补贴等人员经费以及办公费、印刷费、水电费、办公设备购置等日常公用经费。2022年我局基本支出498.83万元，比上年同口径增加296.98万元，增长147.12%，主要原因为本年度招商、市场管理列为基本支出，且新冠疫情防控经费较上年大幅增加。其中：工资福利支出103.59万元，商品和服务支出362.39万元，对个人和家庭的补助31.38万元，资本性支出1.47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（二）专项支出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系我局对企业补助而发生的支出。2022年我局组织实施专项项目经费当年实际收入100.49万元，其中包括上年结转和结余万元，预算安排项目经费15万元。项目支出100.49万元（其中：对企业补助支出100.49万元，资本性支出0万元），比上年同口径增加2.54万，提高2.59%。主要原因是对企业奖励补助支出较上年大幅增加。</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三、部门（单位）整体支出绩效情况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default" w:ascii="Times New Roman Regular" w:hAnsi="Times New Roman Regular" w:eastAsia="楷体_GB2312" w:cs="Times New Roman Regular"/>
          <w:b/>
          <w:sz w:val="32"/>
          <w:szCs w:val="32"/>
        </w:rPr>
        <w:t>（一）履职完成情况：</w:t>
      </w:r>
      <w:r>
        <w:rPr>
          <w:rFonts w:hint="eastAsia" w:ascii="仿宋" w:hAnsi="仿宋" w:eastAsia="仿宋" w:cs="仿宋"/>
          <w:sz w:val="32"/>
          <w:szCs w:val="32"/>
          <w:lang w:val="en-US" w:eastAsia="zh-CN"/>
        </w:rPr>
        <w:t>2022年，我局充分履行职责职能，严格执行各项管理制度，经济、社会等效益显著、社会公众满意度上升，较好地完成了全年工作目标。商务工作各项经济指标稳中向好；全力保障市场供应；招商引资提质增效；创文固卫稳步推进；强化安全生产监管，扎实推进平安创建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（二）项目及资金各环节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  分，自评结果为优秀。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lang w:val="en-US" w:eastAsia="zh-CN"/>
        </w:rPr>
        <w:t>三）</w:t>
      </w:r>
      <w:r>
        <w:rPr>
          <w:rFonts w:hint="default" w:ascii="Times New Roman Regular" w:hAnsi="Times New Roman Regular" w:eastAsia="仿宋_GB2312" w:cs="Times New Roman Regular"/>
          <w:b/>
          <w:bCs/>
          <w:sz w:val="32"/>
          <w:szCs w:val="32"/>
        </w:rPr>
        <w:t>“三公经费”</w:t>
      </w:r>
      <w:r>
        <w:rPr>
          <w:rFonts w:hint="eastAsia" w:ascii="Times New Roman Regular" w:hAnsi="Times New Roman Regular" w:eastAsia="仿宋_GB2312" w:cs="Times New Roman Regular"/>
          <w:b/>
          <w:bCs/>
          <w:sz w:val="32"/>
          <w:szCs w:val="32"/>
          <w:lang w:val="en-US" w:eastAsia="zh-CN"/>
        </w:rPr>
        <w:t>方面</w:t>
      </w:r>
      <w:r>
        <w:rPr>
          <w:rFonts w:hint="eastAsia" w:ascii="Times New Roman Regular" w:hAnsi="Times New Roman Regular" w:eastAsia="仿宋_GB2312" w:cs="Times New Roman Regular"/>
          <w:sz w:val="32"/>
          <w:szCs w:val="32"/>
          <w:lang w:val="en-US" w:eastAsia="zh-CN"/>
        </w:rPr>
        <w:t>。</w:t>
      </w:r>
      <w:r>
        <w:rPr>
          <w:rFonts w:hint="eastAsia" w:ascii="仿宋" w:hAnsi="仿宋" w:eastAsia="仿宋" w:cs="仿宋"/>
          <w:sz w:val="32"/>
          <w:szCs w:val="32"/>
          <w:lang w:val="en-US" w:eastAsia="zh-CN"/>
        </w:rPr>
        <w:t>2022年“三公”经费实际开支总额0.5万元。其中：因公出国（境）费支出本年未发生。公务用车购置及运行维护费实际开支0万元（公务用车购置费未发生，公务用车运行维护费0万元），公务用车保有量0辆；公务接待费实际开支0.5万元，公务接待8批次45人次。2021年“三公”经费实际开支总额比2021年同口径减少0.19，下降27.68%。原因为遵守中央八项规定、省委九项规定，厉行节约,压缩招待开支。</w:t>
      </w:r>
      <w:r>
        <w:rPr>
          <w:rFonts w:hint="default" w:ascii="Times New Roman Regular" w:hAnsi="Times New Roman Regular" w:eastAsia="仿宋_GB2312" w:cs="Times New Roman Regular"/>
          <w:b/>
          <w:bCs/>
          <w:sz w:val="32"/>
          <w:szCs w:val="32"/>
        </w:rPr>
        <w:t>公用经费</w:t>
      </w:r>
      <w:r>
        <w:rPr>
          <w:rFonts w:hint="eastAsia" w:ascii="Times New Roman Regular" w:hAnsi="Times New Roman Regular" w:eastAsia="仿宋_GB2312" w:cs="Times New Roman Regular"/>
          <w:b/>
          <w:bCs/>
          <w:sz w:val="32"/>
          <w:szCs w:val="32"/>
          <w:lang w:val="en-US" w:eastAsia="zh-CN"/>
        </w:rPr>
        <w:t>方面。</w:t>
      </w:r>
      <w:r>
        <w:rPr>
          <w:rFonts w:hint="eastAsia" w:ascii="Times New Roman Regular" w:hAnsi="Times New Roman Regular" w:eastAsia="仿宋_GB2312" w:cs="Times New Roman Regular"/>
          <w:sz w:val="32"/>
          <w:szCs w:val="32"/>
          <w:lang w:val="en-US" w:eastAsia="zh-CN"/>
        </w:rPr>
        <w:t>2022年度商务和服务支出363.86万元，较上年增加271.82万元，增长295.36%，</w:t>
      </w:r>
      <w:r>
        <w:rPr>
          <w:rFonts w:hint="eastAsia" w:ascii="仿宋" w:hAnsi="仿宋" w:eastAsia="仿宋" w:cs="仿宋"/>
          <w:sz w:val="32"/>
          <w:szCs w:val="32"/>
          <w:lang w:val="en-US" w:eastAsia="zh-CN"/>
        </w:rPr>
        <w:t>主要原因为本年度招商、市场管理列为基本支出，且新冠疫情防控经费较上年大幅增加。</w:t>
      </w:r>
      <w:r>
        <w:rPr>
          <w:rFonts w:hint="default" w:ascii="Times New Roman Regular" w:hAnsi="Times New Roman Regular" w:eastAsia="仿宋_GB2312" w:cs="Times New Roman Regular"/>
          <w:b/>
          <w:bCs/>
          <w:sz w:val="32"/>
          <w:szCs w:val="32"/>
        </w:rPr>
        <w:t>资产管理</w:t>
      </w:r>
      <w:r>
        <w:rPr>
          <w:rFonts w:hint="eastAsia" w:ascii="Times New Roman Regular" w:hAnsi="Times New Roman Regular" w:eastAsia="仿宋_GB2312" w:cs="Times New Roman Regular"/>
          <w:b/>
          <w:bCs/>
          <w:sz w:val="32"/>
          <w:szCs w:val="32"/>
          <w:lang w:val="en-US" w:eastAsia="zh-CN"/>
        </w:rPr>
        <w:t>方面。</w:t>
      </w: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截至2022年12月31日，我局资产净值为6.38万元，主要由以下部分构成：流动资产0万元,占资产总额的0,主要为银行存款及其他应收款等;固定资产7.95万元,占资产总额的100%，主要为办公设备。 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640" w:firstLineChars="200"/>
        <w:jc w:val="left"/>
        <w:rPr>
          <w:rFonts w:hint="default" w:ascii="Times New Roman Regular" w:hAnsi="Times New Roman Regular" w:eastAsia="仿宋_GB2312" w:cs="Times New Roman Regular"/>
          <w:sz w:val="32"/>
          <w:szCs w:val="32"/>
        </w:rPr>
      </w:pP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四、存在的问题及原因分析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存在年中调整预算，追加经费的问题;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存在部分预算支出经费有结余的问题。</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五、下一步改进措施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科学合理编制预算，加强预算执行的准确性，开展好支出绩效管理工作，不断提升绩效管理水平。</w:t>
      </w:r>
    </w:p>
    <w:p>
      <w:pPr>
        <w:pStyle w:val="5"/>
        <w:rPr>
          <w:rFonts w:hint="default"/>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六、部门（单位）整体支出绩效自评结果拟应用和公开情况</w:t>
      </w:r>
    </w:p>
    <w:p>
      <w:pPr>
        <w:pStyle w:val="6"/>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报告附</w:t>
      </w:r>
      <w:r>
        <w:rPr>
          <w:rFonts w:hint="eastAsia" w:ascii="Times New Roman Regular" w:hAnsi="Times New Roman Regular" w:eastAsia="仿宋_GB2312" w:cs="Times New Roman Regular"/>
          <w:sz w:val="32"/>
          <w:szCs w:val="32"/>
          <w:lang w:val="en-US" w:eastAsia="zh-CN"/>
        </w:rPr>
        <w:t>以下</w:t>
      </w:r>
      <w:r>
        <w:rPr>
          <w:rFonts w:hint="default" w:ascii="Times New Roman Regular" w:hAnsi="Times New Roman Regular" w:eastAsia="仿宋_GB2312" w:cs="Times New Roman Regular"/>
          <w:sz w:val="32"/>
          <w:szCs w:val="32"/>
        </w:rPr>
        <w:t>表格：</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1.整体支出绩效评价基础数据表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2.整体支出绩效自评表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cs="Times New Roman Regular"/>
        </w:rPr>
        <w:sectPr>
          <w:pgSz w:w="11906" w:h="16838"/>
          <w:pgMar w:top="2098" w:right="1588" w:bottom="1985" w:left="1588" w:header="851" w:footer="1531" w:gutter="0"/>
          <w:pgNumType w:fmt="numberInDash"/>
          <w:cols w:space="720" w:num="1"/>
          <w:docGrid w:type="linesAndChars" w:linePitch="312" w:charSpace="0"/>
        </w:sectPr>
      </w:pPr>
      <w:r>
        <w:rPr>
          <w:rFonts w:hint="default" w:ascii="Times New Roman Regular" w:hAnsi="Times New Roman Regular" w:eastAsia="仿宋_GB2312" w:cs="Times New Roman Regular"/>
          <w:sz w:val="32"/>
          <w:szCs w:val="32"/>
        </w:rPr>
        <w:t>3.项目支出绩效自评表（一个一级项目支出一张表）</w:t>
      </w:r>
    </w:p>
    <w:p>
      <w:pPr>
        <w:pStyle w:val="6"/>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sz w:val="32"/>
          <w:szCs w:val="32"/>
        </w:rPr>
      </w:pPr>
      <w:r>
        <w:rPr>
          <w:rFonts w:hint="default" w:ascii="Times New Roman Regular" w:hAnsi="Times New Roman Regular" w:eastAsia="仿宋_GB2312" w:cs="Times New Roman Regular"/>
          <w:color w:val="000000"/>
          <w:sz w:val="32"/>
          <w:szCs w:val="32"/>
        </w:rPr>
        <w:t>基础数据表</w:t>
      </w:r>
    </w:p>
    <w:p>
      <w:pPr>
        <w:keepNext w:val="0"/>
        <w:keepLines w:val="0"/>
        <w:pageBreakBefore w:val="0"/>
        <w:shd w:val="clear" w:color="auto" w:fill="FFFFFF"/>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bCs/>
          <w:sz w:val="36"/>
          <w:szCs w:val="36"/>
        </w:rPr>
      </w:pPr>
      <w:r>
        <w:rPr>
          <w:rFonts w:hint="default" w:ascii="Times New Roman Regular" w:hAnsi="Times New Roman Regular" w:eastAsia="方正小标宋_GBK" w:cs="Times New Roman Regular"/>
          <w:bCs/>
          <w:sz w:val="36"/>
          <w:szCs w:val="36"/>
        </w:rPr>
        <w:t>部门（单位）整体支出基础数据表</w:t>
      </w:r>
    </w:p>
    <w:tbl>
      <w:tblPr>
        <w:tblStyle w:val="8"/>
        <w:tblW w:w="0" w:type="auto"/>
        <w:jc w:val="center"/>
        <w:tblLayout w:type="fixed"/>
        <w:tblCellMar>
          <w:top w:w="0" w:type="dxa"/>
          <w:left w:w="0" w:type="dxa"/>
          <w:bottom w:w="0" w:type="dxa"/>
          <w:right w:w="0" w:type="dxa"/>
        </w:tblCellMar>
      </w:tblPr>
      <w:tblGrid>
        <w:gridCol w:w="3258"/>
        <w:gridCol w:w="1737"/>
        <w:gridCol w:w="1737"/>
        <w:gridCol w:w="1984"/>
      </w:tblGrid>
      <w:tr>
        <w:tblPrEx>
          <w:tblCellMar>
            <w:top w:w="0" w:type="dxa"/>
            <w:left w:w="0" w:type="dxa"/>
            <w:bottom w:w="0" w:type="dxa"/>
            <w:right w:w="0" w:type="dxa"/>
          </w:tblCellMar>
        </w:tblPrEx>
        <w:trPr>
          <w:gridAfter w:val="1"/>
          <w:wAfter w:w="1984" w:type="dxa"/>
          <w:trHeight w:val="285" w:hRule="atLeast"/>
          <w:tblHeader/>
          <w:jc w:val="center"/>
        </w:trPr>
        <w:tc>
          <w:tcPr>
            <w:tcW w:w="3258"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单位名称：</w:t>
            </w:r>
          </w:p>
        </w:tc>
        <w:tc>
          <w:tcPr>
            <w:tcW w:w="1737" w:type="dxa"/>
            <w:tcBorders>
              <w:bottom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737"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267" w:hRule="atLeast"/>
          <w:tblHeader/>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项目</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本年预算数</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本年实际数</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上年实际数</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一、基本支出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4,988,346.67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4,988,346.67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Fonts w:hint="eastAsia"/>
              </w:rPr>
              <w:t>2,998,069.26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1、人员经费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Fonts w:hint="eastAsia"/>
              </w:rPr>
              <w:t>1,349,787.37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Fonts w:hint="eastAsia"/>
              </w:rPr>
              <w:t>1,349,787.37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Fonts w:hint="eastAsia"/>
              </w:rPr>
              <w:t>2,018,579.26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2、公用经费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Fonts w:hint="eastAsia"/>
              </w:rPr>
              <w:t>3,638,559.30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Fonts w:hint="eastAsia"/>
              </w:rPr>
              <w:t>3,638,559.30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Fonts w:hint="eastAsia"/>
              </w:rPr>
              <w:t>1,098,252.63</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二、项目支出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1,004,900.00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1,004,900.00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979,490.00</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1对企业补助支出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1,004,900.00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1,004,900.00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511090</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2招商经费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118400</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3、市场管理</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350000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三、“三公经费”支出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5000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5000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6,914.15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①公务接待费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5000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5000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6,914.15</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②车辆购置经费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xml:space="preserve">  车辆运行经费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③出国出境经费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四、商品及服务支出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3,638,559.30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3,638,559.30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1,098,252.63</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1、办公费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255,445.95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255,445.95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79,887.45</w:t>
            </w:r>
          </w:p>
        </w:tc>
      </w:tr>
      <w:tr>
        <w:tblPrEx>
          <w:tblCellMar>
            <w:top w:w="0" w:type="dxa"/>
            <w:left w:w="0" w:type="dxa"/>
            <w:bottom w:w="0" w:type="dxa"/>
            <w:right w:w="0" w:type="dxa"/>
          </w:tblCellMar>
        </w:tblPrEx>
        <w:trPr>
          <w:trHeight w:val="26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2、印刷费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279,471.00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279,471.00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79,439.00</w:t>
            </w:r>
          </w:p>
        </w:tc>
      </w:tr>
      <w:tr>
        <w:tblPrEx>
          <w:tblCellMar>
            <w:top w:w="0" w:type="dxa"/>
            <w:left w:w="0" w:type="dxa"/>
            <w:bottom w:w="0" w:type="dxa"/>
            <w:right w:w="0" w:type="dxa"/>
          </w:tblCellMar>
        </w:tblPrEx>
        <w:trPr>
          <w:trHeight w:val="224"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3、差旅费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16,621.00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16,621.00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49,734.00</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4、会议费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eastAsia"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261"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5、培训费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3,452.00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3,452.00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6、维修（护）费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kern w:val="2"/>
                <w:sz w:val="21"/>
                <w:szCs w:val="21"/>
                <w:u w:val="none"/>
                <w:lang w:val="en-US" w:eastAsia="zh-CN" w:bidi="ar-SA"/>
              </w:rPr>
            </w:pPr>
            <w:r>
              <w:rPr>
                <w:rStyle w:val="11"/>
                <w:rFonts w:hint="default" w:ascii="Times New Roman Regular" w:hAnsi="Times New Roman Regular" w:eastAsia="仿宋_GB2312" w:cs="Times New Roman Regular"/>
                <w:sz w:val="21"/>
                <w:szCs w:val="21"/>
              </w:rPr>
              <w:t>　19,255.00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19,255.00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31,742.50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7、劳务费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288,545.00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288,545.00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257,000.00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8、其他交通费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66,345.00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66,345.00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65,698.00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五、政府采购金额</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92,004.00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六、机构人员</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1、三定机构数（个）</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eastAsia" w:ascii="Times New Roman Regular" w:hAnsi="Times New Roman Regular" w:eastAsia="仿宋_GB2312" w:cs="Times New Roman Regular"/>
                <w:sz w:val="21"/>
                <w:szCs w:val="21"/>
                <w:lang w:val="en-US" w:eastAsia="zh-CN"/>
              </w:rPr>
              <w:t>7</w:t>
            </w: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2、实际机构数(个）</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eastAsia" w:ascii="Times New Roman Regular" w:hAnsi="Times New Roman Regular" w:eastAsia="仿宋_GB2312" w:cs="Times New Roman Regular"/>
                <w:sz w:val="21"/>
                <w:szCs w:val="21"/>
                <w:lang w:val="en-US" w:eastAsia="zh-CN"/>
              </w:rPr>
              <w:t>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eastAsia" w:ascii="Times New Roman Regular" w:hAnsi="Times New Roman Regular" w:eastAsia="仿宋_GB2312" w:cs="Times New Roman Regular"/>
                <w:sz w:val="21"/>
                <w:szCs w:val="21"/>
                <w:lang w:val="en-US" w:eastAsia="zh-CN"/>
              </w:rPr>
              <w:t>7</w:t>
            </w: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3、人员编制数（人）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4、实际在职人员（人）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1"/>
                <w:rFonts w:hint="default" w:ascii="Times New Roman Regular" w:hAnsi="Times New Roman Regular" w:eastAsia="仿宋_GB2312" w:cs="Times New Roman Regular"/>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1"/>
                <w:rFonts w:hint="eastAsia" w:ascii="Times New Roman Regular" w:hAnsi="Times New Roman Regular" w:eastAsia="仿宋_GB2312" w:cs="Times New Roman Regular"/>
                <w:sz w:val="21"/>
                <w:szCs w:val="21"/>
                <w:lang w:val="en-US" w:eastAsia="zh-CN"/>
              </w:rPr>
            </w:pPr>
            <w:r>
              <w:rPr>
                <w:rStyle w:val="11"/>
                <w:rFonts w:hint="default" w:ascii="Times New Roman Regular" w:hAnsi="Times New Roman Regular" w:eastAsia="仿宋_GB2312" w:cs="Times New Roman Regular"/>
                <w:sz w:val="21"/>
                <w:szCs w:val="21"/>
              </w:rPr>
              <w:t>　</w:t>
            </w:r>
            <w:r>
              <w:rPr>
                <w:rStyle w:val="11"/>
                <w:rFonts w:hint="eastAsia" w:ascii="Times New Roman Regular" w:hAnsi="Times New Roman Regular" w:eastAsia="仿宋_GB2312" w:cs="Times New Roman Regular"/>
                <w:sz w:val="21"/>
                <w:szCs w:val="21"/>
                <w:lang w:val="en-US" w:eastAsia="zh-CN"/>
              </w:rPr>
              <w:t>9</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1"/>
                <w:rFonts w:hint="default" w:ascii="Times New Roman Regular" w:hAnsi="Times New Roman Regular" w:eastAsia="仿宋_GB2312" w:cs="Times New Roman Regular"/>
                <w:sz w:val="21"/>
                <w:szCs w:val="21"/>
              </w:rPr>
            </w:pPr>
            <w:r>
              <w:rPr>
                <w:rStyle w:val="11"/>
                <w:rFonts w:hint="eastAsia" w:ascii="Times New Roman Regular" w:hAnsi="Times New Roman Regular" w:eastAsia="仿宋_GB2312" w:cs="Times New Roman Regular"/>
                <w:sz w:val="21"/>
                <w:szCs w:val="21"/>
                <w:lang w:val="en-US" w:eastAsia="zh-CN"/>
              </w:rPr>
              <w:t>8</w:t>
            </w:r>
            <w:r>
              <w:rPr>
                <w:rStyle w:val="11"/>
                <w:rFonts w:hint="default" w:ascii="Times New Roman Regular" w:hAnsi="Times New Roman Regular" w:eastAsia="仿宋_GB2312" w:cs="Times New Roman Regular"/>
                <w:sz w:val="21"/>
                <w:szCs w:val="21"/>
              </w:rPr>
              <w:t>　</w:t>
            </w:r>
          </w:p>
        </w:tc>
      </w:tr>
    </w:tbl>
    <w:p>
      <w:pPr>
        <w:keepNext w:val="0"/>
        <w:keepLines w:val="0"/>
        <w:pageBreakBefore w:val="0"/>
        <w:kinsoku/>
        <w:overflowPunct/>
        <w:topLinePunct w:val="0"/>
        <w:autoSpaceDE/>
        <w:autoSpaceDN/>
        <w:bidi w:val="0"/>
        <w:adjustRightInd/>
        <w:snapToGrid/>
        <w:spacing w:line="640" w:lineRule="exact"/>
        <w:ind w:firstLine="420" w:firstLineChars="200"/>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填报人：                        联系电话：</w:t>
      </w:r>
    </w:p>
    <w:p>
      <w:pPr>
        <w:keepNext w:val="0"/>
        <w:keepLines w:val="0"/>
        <w:pageBreakBefore w:val="0"/>
        <w:kinsoku/>
        <w:overflowPunct/>
        <w:topLinePunct w:val="0"/>
        <w:autoSpaceDE/>
        <w:autoSpaceDN/>
        <w:bidi w:val="0"/>
        <w:adjustRightInd/>
        <w:snapToGrid/>
        <w:spacing w:line="640" w:lineRule="exact"/>
        <w:ind w:firstLine="420" w:firstLineChars="200"/>
        <w:rPr>
          <w:rStyle w:val="11"/>
          <w:rFonts w:hint="default" w:ascii="Times New Roman Regular" w:hAnsi="Times New Roman Regular" w:eastAsia="仿宋_GB2312" w:cs="Times New Roman Regular"/>
          <w:sz w:val="21"/>
          <w:szCs w:val="21"/>
        </w:rPr>
      </w:pPr>
      <w:r>
        <w:rPr>
          <w:rStyle w:val="11"/>
          <w:rFonts w:hint="default" w:ascii="Times New Roman Regular" w:hAnsi="Times New Roman Regular" w:eastAsia="仿宋_GB2312" w:cs="Times New Roman Regular"/>
          <w:sz w:val="21"/>
          <w:szCs w:val="21"/>
        </w:rPr>
        <w:t>备注：以上数据统计依据决算数据填报</w:t>
      </w:r>
    </w:p>
    <w:p>
      <w:pPr>
        <w:widowControl/>
        <w:ind w:left="93"/>
        <w:jc w:val="center"/>
        <w:rPr>
          <w:rFonts w:hint="eastAsia" w:ascii="宋体" w:hAnsi="宋体" w:cs="宋体"/>
          <w:bCs/>
          <w:kern w:val="0"/>
          <w:sz w:val="32"/>
          <w:szCs w:val="32"/>
        </w:rPr>
      </w:pPr>
      <w:r>
        <w:rPr>
          <w:rFonts w:hint="default" w:ascii="Times New Roman Regular" w:hAnsi="Times New Roman Regular" w:cs="Times New Roman Regular"/>
        </w:rPr>
        <w:br w:type="page"/>
      </w: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restart"/>
            <w:noWrap w:val="0"/>
            <w:vAlign w:val="center"/>
          </w:tcPr>
          <w:p>
            <w:pPr>
              <w:widowControl/>
              <w:jc w:val="center"/>
              <w:rPr>
                <w:rFonts w:hint="eastAsia" w:ascii="仿宋_GB2312" w:hAnsi="宋体" w:eastAsia="仿宋_GB2312" w:cs="宋体"/>
                <w:kern w:val="0"/>
                <w:sz w:val="20"/>
                <w:szCs w:val="20"/>
              </w:rPr>
            </w:pPr>
          </w:p>
        </w:tc>
        <w:tc>
          <w:tcPr>
            <w:tcW w:w="429" w:type="dxa"/>
            <w:vMerge w:val="restart"/>
            <w:noWrap w:val="0"/>
            <w:vAlign w:val="center"/>
          </w:tcPr>
          <w:p>
            <w:pPr>
              <w:widowControl/>
              <w:jc w:val="center"/>
              <w:rPr>
                <w:rFonts w:hint="eastAsia" w:ascii="仿宋_GB2312" w:hAnsi="宋体" w:eastAsia="仿宋_GB2312" w:cs="宋体"/>
                <w:kern w:val="0"/>
                <w:sz w:val="20"/>
                <w:szCs w:val="20"/>
              </w:rPr>
            </w:pPr>
          </w:p>
        </w:tc>
        <w:tc>
          <w:tcPr>
            <w:tcW w:w="567" w:type="dxa"/>
            <w:vMerge w:val="restart"/>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bookmarkStart w:id="0" w:name="_GoBack"/>
            <w:bookmarkEnd w:id="0"/>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w:t>
            </w:r>
            <w:r>
              <w:rPr>
                <w:rFonts w:hint="eastAsia" w:ascii="宋体" w:hAnsi="宋体" w:cs="宋体"/>
                <w:kern w:val="0"/>
                <w:sz w:val="24"/>
                <w:szCs w:val="24"/>
                <w:lang w:val="en-US" w:eastAsia="zh-CN"/>
              </w:rPr>
              <w:t>2</w:t>
            </w:r>
          </w:p>
        </w:tc>
      </w:tr>
    </w:tbl>
    <w:p>
      <w:pPr>
        <w:pStyle w:val="6"/>
        <w:keepNext w:val="0"/>
        <w:keepLines w:val="0"/>
        <w:pageBreakBefore w:val="0"/>
        <w:kinsoku/>
        <w:overflowPunct/>
        <w:topLinePunct w:val="0"/>
        <w:autoSpaceDE/>
        <w:autoSpaceDN/>
        <w:bidi w:val="0"/>
        <w:adjustRightInd/>
        <w:snapToGrid/>
        <w:spacing w:line="6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_GBK">
    <w:altName w:val="微软雅黑"/>
    <w:panose1 w:val="00000000000000000000"/>
    <w:charset w:val="00"/>
    <w:family w:val="script"/>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C7C3889"/>
    <w:rsid w:val="1A681208"/>
    <w:rsid w:val="1F7E51E9"/>
    <w:rsid w:val="226B5B2A"/>
    <w:rsid w:val="26DF0E72"/>
    <w:rsid w:val="278C70EF"/>
    <w:rsid w:val="33E947FE"/>
    <w:rsid w:val="39FF2A65"/>
    <w:rsid w:val="3A496638"/>
    <w:rsid w:val="40BE466E"/>
    <w:rsid w:val="43AC6BC4"/>
    <w:rsid w:val="47A75775"/>
    <w:rsid w:val="533E1E00"/>
    <w:rsid w:val="633F4B95"/>
    <w:rsid w:val="6869180E"/>
    <w:rsid w:val="68925483"/>
    <w:rsid w:val="6AB50F36"/>
    <w:rsid w:val="6B5118F8"/>
    <w:rsid w:val="6B7A436A"/>
    <w:rsid w:val="701D5D19"/>
    <w:rsid w:val="714C33A2"/>
    <w:rsid w:val="7CFC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楷体"/>
      <w:b/>
      <w:sz w:val="32"/>
      <w:szCs w:val="22"/>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仿宋"/>
      <w:b/>
      <w:sz w:val="30"/>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toc 1"/>
    <w:basedOn w:val="1"/>
    <w:next w:val="1"/>
    <w:qFormat/>
    <w:uiPriority w:val="0"/>
  </w:style>
  <w:style w:type="paragraph" w:styleId="7">
    <w:name w:val="Normal (Web)"/>
    <w:basedOn w:val="1"/>
    <w:qFormat/>
    <w:uiPriority w:val="0"/>
    <w:rPr>
      <w:sz w:val="24"/>
    </w:rPr>
  </w:style>
  <w:style w:type="paragraph" w:customStyle="1" w:styleId="10">
    <w:name w:val="样式1"/>
    <w:basedOn w:val="1"/>
    <w:next w:val="1"/>
    <w:qFormat/>
    <w:uiPriority w:val="0"/>
    <w:pPr>
      <w:keepNext/>
      <w:keepLines/>
      <w:spacing w:beforeLines="0" w:afterLines="0" w:line="360" w:lineRule="auto"/>
      <w:ind w:firstLine="482" w:firstLineChars="200"/>
      <w:outlineLvl w:val="0"/>
    </w:pPr>
    <w:rPr>
      <w:rFonts w:hint="eastAsia" w:ascii="Times New Roman" w:hAnsi="Times New Roman" w:eastAsia="黑体"/>
      <w:b/>
      <w:kern w:val="44"/>
      <w:sz w:val="32"/>
      <w:szCs w:val="22"/>
    </w:rPr>
  </w:style>
  <w:style w:type="character" w:customStyle="1" w:styleId="11">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4336</Words>
  <Characters>4934</Characters>
  <Lines>0</Lines>
  <Paragraphs>0</Paragraphs>
  <TotalTime>2</TotalTime>
  <ScaleCrop>false</ScaleCrop>
  <LinksUpToDate>false</LinksUpToDate>
  <CharactersWithSpaces>5396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2022-12-12T00:58:00Z</dcterms:created>
  <dc:creator>HW</dc:creator>
  <cp:lastModifiedBy>Administrator</cp:lastModifiedBy>
  <dcterms:modified xsi:type="dcterms:W3CDTF">2023-12-13T09:13:53Z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122F64D139244C80862FB2635AD0B8CC_13</vt:lpwstr>
  </property>
</Properties>
</file>