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pPr>
      <w:r>
        <w:rPr>
          <w:rFonts w:hint="eastAsia" w:ascii="宋体" w:hAnsi="宋体" w:eastAsia="宋体" w:cs="宋体"/>
          <w:color w:val="444444"/>
          <w:sz w:val="28"/>
          <w:szCs w:val="28"/>
          <w:shd w:val="clear" w:color="040000" w:fill="FFFFFF"/>
        </w:rPr>
        <w:t> </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pPr>
      <w:r>
        <w:rPr>
          <w:rFonts w:hint="eastAsia" w:ascii="宋体" w:hAnsi="宋体" w:eastAsia="宋体" w:cs="宋体"/>
          <w:color w:val="444444"/>
          <w:kern w:val="0"/>
          <w:sz w:val="28"/>
          <w:szCs w:val="28"/>
          <w:shd w:val="clear" w:color="050000" w:fill="FFFFFF"/>
        </w:rPr>
        <w:t>第五部分</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pPr>
      <w:r>
        <w:rPr>
          <w:rFonts w:hint="eastAsia" w:ascii="宋体" w:hAnsi="宋体" w:eastAsia="宋体" w:cs="宋体"/>
          <w:color w:val="444444"/>
          <w:sz w:val="28"/>
          <w:szCs w:val="28"/>
          <w:shd w:val="clear" w:color="040000" w:fill="FFFFFF"/>
        </w:rPr>
        <w:t> </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pPr>
      <w:r>
        <w:rPr>
          <w:rFonts w:hint="eastAsia" w:ascii="宋体" w:hAnsi="宋体" w:eastAsia="宋体" w:cs="宋体"/>
          <w:color w:val="444444"/>
          <w:kern w:val="0"/>
          <w:sz w:val="28"/>
          <w:szCs w:val="28"/>
          <w:shd w:val="clear" w:color="050000" w:fill="FFFFFF"/>
        </w:rPr>
        <w:t>附件</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sz w:val="28"/>
          <w:szCs w:val="28"/>
          <w:shd w:val="clear" w:color="040000" w:fill="FFFFFF"/>
        </w:rPr>
        <w:t> </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883" w:firstLineChars="200"/>
        <w:jc w:val="both"/>
        <w:rPr>
          <w:rFonts w:hint="eastAsia" w:ascii="宋体" w:hAnsi="宋体" w:eastAsia="宋体" w:cs="宋体"/>
          <w:sz w:val="44"/>
          <w:szCs w:val="44"/>
          <w:lang w:eastAsia="zh-CN"/>
        </w:rPr>
      </w:pPr>
      <w:r>
        <w:rPr>
          <w:rFonts w:hint="eastAsia" w:ascii="宋体" w:hAnsi="宋体" w:eastAsia="宋体" w:cs="宋体"/>
          <w:b/>
          <w:bCs/>
          <w:color w:val="444444"/>
          <w:sz w:val="44"/>
          <w:szCs w:val="44"/>
          <w:shd w:val="clear" w:color="060000" w:fill="FFFFFF"/>
        </w:rPr>
        <w:t>2021年度部门整体支出绩效评价报告</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sz w:val="28"/>
          <w:szCs w:val="28"/>
        </w:rPr>
      </w:pPr>
      <w:r>
        <w:rPr>
          <w:rFonts w:hint="eastAsia" w:ascii="宋体" w:hAnsi="宋体" w:eastAsia="宋体" w:cs="宋体"/>
          <w:color w:val="444444"/>
          <w:kern w:val="0"/>
          <w:sz w:val="28"/>
          <w:szCs w:val="28"/>
          <w:shd w:val="clear" w:color="050000" w:fill="FFFFFF"/>
        </w:rPr>
        <w:t>一、部门概况</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（一）基本情况</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（1）主要职能</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cs="宋体"/>
          <w:color w:val="444444"/>
          <w:kern w:val="0"/>
          <w:sz w:val="28"/>
          <w:szCs w:val="28"/>
          <w:shd w:val="clear" w:color="050000" w:fill="FFFFFF"/>
          <w:lang w:val="en-US" w:eastAsia="zh-CN"/>
        </w:rPr>
      </w:pPr>
      <w:r>
        <w:rPr>
          <w:rFonts w:hint="eastAsia" w:ascii="宋体" w:hAnsi="宋体" w:cs="宋体"/>
          <w:color w:val="444444"/>
          <w:kern w:val="0"/>
          <w:sz w:val="28"/>
          <w:szCs w:val="28"/>
          <w:shd w:val="clear" w:color="050000" w:fill="FFFFFF"/>
          <w:lang w:val="en-US" w:eastAsia="zh-CN"/>
        </w:rPr>
        <w:t xml:space="preserve">  1、贯彻执行有关失业保险的政策法规，拟制全区失业保险工作规划和实施方案；负责全区失业保险工作的组织协调；承担全区失业保险经办、统筹、制度落实等事务性工作；承担失业保险收支、拨付经办业务流程、技术标准的拟定并组织实施相关事务性工作；负责失业保险基金财务管理及各项失业保险财务、统计及其他报表的汇总上报；负责区级失业保险调剂金的筹集、上解、下拨事务性工作；为编制失业保险基金预决算草案提供服务保障。</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280" w:firstLineChars="100"/>
        <w:jc w:val="left"/>
        <w:rPr>
          <w:rFonts w:hint="eastAsia" w:ascii="宋体" w:hAnsi="宋体" w:eastAsia="宋体" w:cs="宋体"/>
          <w:color w:val="444444"/>
          <w:kern w:val="0"/>
          <w:sz w:val="28"/>
          <w:szCs w:val="28"/>
          <w:shd w:val="clear" w:color="050000" w:fill="FFFFFF"/>
          <w:lang w:val="en-US" w:eastAsia="zh-CN"/>
        </w:rPr>
      </w:pPr>
      <w:r>
        <w:rPr>
          <w:rFonts w:hint="eastAsia" w:ascii="宋体" w:hAnsi="宋体" w:cs="宋体"/>
          <w:color w:val="444444"/>
          <w:kern w:val="0"/>
          <w:sz w:val="28"/>
          <w:szCs w:val="28"/>
          <w:shd w:val="clear" w:color="050000" w:fill="FFFFFF"/>
          <w:lang w:val="en-US" w:eastAsia="zh-CN"/>
        </w:rPr>
        <w:t>2、为工伤认定调查提供技术支持和服务保障；负责工伤保险政策咨询、服务。完成区人社局交办的其他工作。</w:t>
      </w:r>
    </w:p>
    <w:p>
      <w:pPr>
        <w:pStyle w:val="4"/>
        <w:widowControl/>
        <w:numPr>
          <w:ilvl w:val="0"/>
          <w:numId w:val="1"/>
        </w:numPr>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机构情况</w:t>
      </w:r>
    </w:p>
    <w:p>
      <w:pPr>
        <w:pStyle w:val="4"/>
        <w:widowControl/>
        <w:numPr>
          <w:ilvl w:val="0"/>
          <w:numId w:val="0"/>
        </w:numPr>
        <w:pBdr>
          <w:top w:val="none" w:color="auto" w:sz="0" w:space="0"/>
          <w:left w:val="none" w:color="auto" w:sz="0" w:space="0"/>
          <w:bottom w:val="none" w:color="auto" w:sz="0" w:space="0"/>
          <w:right w:val="none" w:color="auto" w:sz="0" w:space="0"/>
        </w:pBdr>
        <w:spacing w:before="0" w:beforeAutospacing="0" w:after="300" w:afterAutospacing="0" w:line="600" w:lineRule="atLeast"/>
        <w:ind w:right="0" w:firstLine="280" w:firstLineChars="10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纳入202</w:t>
      </w:r>
      <w:r>
        <w:rPr>
          <w:rFonts w:hint="eastAsia" w:ascii="宋体" w:hAnsi="宋体" w:cs="宋体"/>
          <w:color w:val="444444"/>
          <w:kern w:val="0"/>
          <w:sz w:val="28"/>
          <w:szCs w:val="28"/>
          <w:shd w:val="clear" w:color="050000" w:fill="FFFFFF"/>
          <w:lang w:val="en-US" w:eastAsia="zh-CN"/>
        </w:rPr>
        <w:t>1</w:t>
      </w:r>
      <w:r>
        <w:rPr>
          <w:rFonts w:hint="eastAsia" w:ascii="宋体" w:hAnsi="宋体" w:eastAsia="宋体" w:cs="宋体"/>
          <w:color w:val="444444"/>
          <w:kern w:val="0"/>
          <w:sz w:val="28"/>
          <w:szCs w:val="28"/>
          <w:shd w:val="clear" w:color="050000" w:fill="FFFFFF"/>
        </w:rPr>
        <w:t>年部门</w:t>
      </w:r>
      <w:r>
        <w:rPr>
          <w:rFonts w:hint="eastAsia" w:ascii="宋体" w:hAnsi="宋体" w:cs="宋体"/>
          <w:color w:val="444444"/>
          <w:kern w:val="0"/>
          <w:sz w:val="28"/>
          <w:szCs w:val="28"/>
          <w:shd w:val="clear" w:color="050000" w:fill="FFFFFF"/>
          <w:lang w:eastAsia="zh-CN"/>
        </w:rPr>
        <w:t>决算</w:t>
      </w:r>
      <w:r>
        <w:rPr>
          <w:rFonts w:hint="eastAsia" w:ascii="宋体" w:hAnsi="宋体" w:eastAsia="宋体" w:cs="宋体"/>
          <w:color w:val="444444"/>
          <w:kern w:val="0"/>
          <w:sz w:val="28"/>
          <w:szCs w:val="28"/>
          <w:shd w:val="clear" w:color="050000" w:fill="FFFFFF"/>
        </w:rPr>
        <w:t>编报的单位1个，包含北塔区工伤失业保险中心，本部门无内设机构。</w:t>
      </w:r>
    </w:p>
    <w:p>
      <w:pPr>
        <w:pStyle w:val="4"/>
        <w:widowControl/>
        <w:numPr>
          <w:ilvl w:val="0"/>
          <w:numId w:val="2"/>
        </w:numPr>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人员情况</w:t>
      </w:r>
    </w:p>
    <w:p>
      <w:pPr>
        <w:pStyle w:val="4"/>
        <w:widowControl/>
        <w:numPr>
          <w:ilvl w:val="0"/>
          <w:numId w:val="0"/>
        </w:numPr>
        <w:pBdr>
          <w:top w:val="none" w:color="auto" w:sz="0" w:space="0"/>
          <w:left w:val="none" w:color="auto" w:sz="0" w:space="0"/>
          <w:bottom w:val="none" w:color="auto" w:sz="0" w:space="0"/>
          <w:right w:val="none" w:color="auto" w:sz="0" w:space="0"/>
        </w:pBdr>
        <w:spacing w:before="0" w:beforeAutospacing="0" w:after="300" w:afterAutospacing="0" w:line="600" w:lineRule="atLeast"/>
        <w:ind w:right="0"/>
        <w:jc w:val="left"/>
        <w:rPr>
          <w:rFonts w:hint="eastAsia" w:ascii="宋体" w:hAnsi="宋体" w:eastAsia="宋体" w:cs="宋体"/>
          <w:color w:val="444444"/>
          <w:kern w:val="0"/>
          <w:sz w:val="28"/>
          <w:szCs w:val="28"/>
          <w:shd w:val="clear" w:color="050000" w:fill="FFFFFF"/>
        </w:rPr>
      </w:pPr>
      <w:r>
        <w:rPr>
          <w:rFonts w:hint="eastAsia" w:ascii="宋体" w:hAnsi="宋体" w:cs="宋体"/>
          <w:color w:val="444444"/>
          <w:kern w:val="0"/>
          <w:sz w:val="28"/>
          <w:szCs w:val="28"/>
          <w:shd w:val="clear" w:color="050000" w:fill="FFFFFF"/>
          <w:lang w:val="en-US" w:eastAsia="zh-CN"/>
        </w:rPr>
        <w:t xml:space="preserve"> </w:t>
      </w:r>
      <w:r>
        <w:rPr>
          <w:rFonts w:hint="eastAsia" w:ascii="宋体" w:hAnsi="宋体" w:eastAsia="宋体" w:cs="宋体"/>
          <w:color w:val="444444"/>
          <w:kern w:val="0"/>
          <w:sz w:val="28"/>
          <w:szCs w:val="28"/>
          <w:shd w:val="clear" w:color="050000" w:fill="FFFFFF"/>
        </w:rPr>
        <w:t>北塔区工伤失业保险中心行政编制人数2人。实有人数7人，其中在职2人，离退休1人，其他人员4人。</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sz w:val="28"/>
          <w:szCs w:val="28"/>
        </w:rPr>
      </w:pPr>
      <w:r>
        <w:rPr>
          <w:rFonts w:hint="eastAsia" w:ascii="宋体" w:hAnsi="宋体" w:eastAsia="宋体" w:cs="宋体"/>
          <w:color w:val="444444"/>
          <w:kern w:val="0"/>
          <w:sz w:val="28"/>
          <w:szCs w:val="28"/>
          <w:shd w:val="clear" w:color="050000" w:fill="FFFFFF"/>
        </w:rPr>
        <w:t>二、部门整体支出管理及使用情况</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sz w:val="28"/>
          <w:szCs w:val="28"/>
        </w:rPr>
      </w:pPr>
      <w:r>
        <w:rPr>
          <w:rFonts w:hint="eastAsia" w:ascii="宋体" w:hAnsi="宋体" w:eastAsia="宋体" w:cs="宋体"/>
          <w:color w:val="444444"/>
          <w:kern w:val="0"/>
          <w:sz w:val="28"/>
          <w:szCs w:val="28"/>
          <w:shd w:val="clear" w:color="050000" w:fill="FFFFFF"/>
        </w:rPr>
        <w:t>（一）基本支出</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sz w:val="28"/>
          <w:szCs w:val="28"/>
        </w:rPr>
      </w:pPr>
      <w:r>
        <w:rPr>
          <w:rFonts w:hint="eastAsia" w:ascii="宋体" w:hAnsi="宋体" w:eastAsia="宋体" w:cs="宋体"/>
          <w:color w:val="444444"/>
          <w:kern w:val="0"/>
          <w:sz w:val="28"/>
          <w:szCs w:val="28"/>
          <w:shd w:val="clear" w:color="050000" w:fill="FFFFFF"/>
        </w:rPr>
        <w:t>基本支出系保障我</w:t>
      </w:r>
      <w:r>
        <w:rPr>
          <w:rFonts w:hint="eastAsia" w:ascii="宋体" w:hAnsi="宋体" w:cs="宋体"/>
          <w:color w:val="444444"/>
          <w:kern w:val="0"/>
          <w:sz w:val="28"/>
          <w:szCs w:val="28"/>
          <w:shd w:val="clear" w:color="050000" w:fill="FFFFFF"/>
          <w:lang w:eastAsia="zh-CN"/>
        </w:rPr>
        <w:t>单位</w:t>
      </w:r>
      <w:r>
        <w:rPr>
          <w:rFonts w:hint="eastAsia" w:ascii="宋体" w:hAnsi="宋体" w:eastAsia="宋体" w:cs="宋体"/>
          <w:color w:val="444444"/>
          <w:kern w:val="0"/>
          <w:sz w:val="28"/>
          <w:szCs w:val="28"/>
          <w:shd w:val="clear" w:color="050000" w:fill="FFFFFF"/>
        </w:rPr>
        <w:t>机构正常运转、完成日常工作任务而发生的人员支出和公用支出，包括用于在职和离退休人员基本工资、津贴补贴等人员经费以及办公费、印刷费、水电费、办公设备购置等日常公用经费。2021年我</w:t>
      </w:r>
      <w:r>
        <w:rPr>
          <w:rFonts w:hint="eastAsia" w:ascii="宋体" w:hAnsi="宋体" w:cs="宋体"/>
          <w:color w:val="444444"/>
          <w:kern w:val="0"/>
          <w:sz w:val="28"/>
          <w:szCs w:val="28"/>
          <w:shd w:val="clear" w:color="050000" w:fill="FFFFFF"/>
          <w:lang w:eastAsia="zh-CN"/>
        </w:rPr>
        <w:t>单位</w:t>
      </w:r>
      <w:r>
        <w:rPr>
          <w:rFonts w:hint="eastAsia" w:ascii="宋体" w:hAnsi="宋体" w:eastAsia="宋体" w:cs="宋体"/>
          <w:color w:val="444444"/>
          <w:kern w:val="0"/>
          <w:sz w:val="28"/>
          <w:szCs w:val="28"/>
          <w:shd w:val="clear" w:color="050000" w:fill="FFFFFF"/>
        </w:rPr>
        <w:t>基本支出</w:t>
      </w:r>
      <w:r>
        <w:rPr>
          <w:rFonts w:hint="eastAsia" w:ascii="宋体" w:hAnsi="宋体" w:cs="宋体"/>
          <w:color w:val="444444"/>
          <w:kern w:val="0"/>
          <w:sz w:val="28"/>
          <w:szCs w:val="28"/>
          <w:shd w:val="clear" w:color="050000" w:fill="FFFFFF"/>
          <w:lang w:val="en-US" w:eastAsia="zh-CN"/>
        </w:rPr>
        <w:t>25.59</w:t>
      </w:r>
      <w:r>
        <w:rPr>
          <w:rFonts w:hint="eastAsia" w:ascii="宋体" w:hAnsi="宋体" w:eastAsia="宋体" w:cs="宋体"/>
          <w:color w:val="444444"/>
          <w:kern w:val="0"/>
          <w:sz w:val="28"/>
          <w:szCs w:val="28"/>
          <w:shd w:val="clear" w:color="050000" w:fill="FFFFFF"/>
        </w:rPr>
        <w:t>万元，比上年同口径</w:t>
      </w:r>
      <w:r>
        <w:rPr>
          <w:rFonts w:hint="eastAsia" w:ascii="宋体" w:hAnsi="宋体" w:cs="宋体"/>
          <w:color w:val="444444"/>
          <w:kern w:val="0"/>
          <w:sz w:val="28"/>
          <w:szCs w:val="28"/>
          <w:shd w:val="clear" w:color="050000" w:fill="FFFFFF"/>
          <w:lang w:val="en-US" w:eastAsia="zh-CN"/>
        </w:rPr>
        <w:t>减少0.79</w:t>
      </w:r>
      <w:r>
        <w:rPr>
          <w:rFonts w:hint="eastAsia" w:ascii="宋体" w:hAnsi="宋体" w:eastAsia="宋体" w:cs="宋体"/>
          <w:color w:val="444444"/>
          <w:kern w:val="0"/>
          <w:sz w:val="28"/>
          <w:szCs w:val="28"/>
          <w:shd w:val="clear" w:color="050000" w:fill="FFFFFF"/>
        </w:rPr>
        <w:t>万元，</w:t>
      </w:r>
      <w:r>
        <w:rPr>
          <w:rFonts w:hint="eastAsia" w:ascii="宋体" w:hAnsi="宋体" w:cs="宋体"/>
          <w:color w:val="444444"/>
          <w:kern w:val="0"/>
          <w:sz w:val="28"/>
          <w:szCs w:val="28"/>
          <w:shd w:val="clear" w:color="050000" w:fill="FFFFFF"/>
          <w:lang w:val="en-US" w:eastAsia="zh-CN"/>
        </w:rPr>
        <w:t>下降2.99</w:t>
      </w:r>
      <w:r>
        <w:rPr>
          <w:rFonts w:hint="eastAsia" w:ascii="宋体" w:hAnsi="宋体" w:eastAsia="宋体" w:cs="宋体"/>
          <w:color w:val="444444"/>
          <w:kern w:val="0"/>
          <w:sz w:val="28"/>
          <w:szCs w:val="28"/>
          <w:shd w:val="clear" w:color="050000" w:fill="FFFFFF"/>
        </w:rPr>
        <w:t>%。其中：工资福利支出</w:t>
      </w:r>
      <w:r>
        <w:rPr>
          <w:rFonts w:hint="eastAsia" w:ascii="宋体" w:hAnsi="宋体" w:cs="宋体"/>
          <w:color w:val="444444"/>
          <w:kern w:val="0"/>
          <w:sz w:val="28"/>
          <w:szCs w:val="28"/>
          <w:shd w:val="clear" w:color="050000" w:fill="FFFFFF"/>
          <w:lang w:val="en-US" w:eastAsia="zh-CN"/>
        </w:rPr>
        <w:t>20.8</w:t>
      </w:r>
      <w:r>
        <w:rPr>
          <w:rFonts w:hint="eastAsia" w:ascii="宋体" w:hAnsi="宋体" w:eastAsia="宋体" w:cs="宋体"/>
          <w:color w:val="444444"/>
          <w:kern w:val="0"/>
          <w:sz w:val="28"/>
          <w:szCs w:val="28"/>
          <w:shd w:val="clear" w:color="050000" w:fill="FFFFFF"/>
        </w:rPr>
        <w:t>万元，商品和服务支出</w:t>
      </w:r>
      <w:r>
        <w:rPr>
          <w:rFonts w:hint="eastAsia" w:ascii="宋体" w:hAnsi="宋体" w:cs="宋体"/>
          <w:color w:val="444444"/>
          <w:kern w:val="0"/>
          <w:sz w:val="28"/>
          <w:szCs w:val="28"/>
          <w:shd w:val="clear" w:color="050000" w:fill="FFFFFF"/>
          <w:lang w:val="en-US" w:eastAsia="zh-CN"/>
        </w:rPr>
        <w:t>4.59</w:t>
      </w:r>
      <w:r>
        <w:rPr>
          <w:rFonts w:hint="eastAsia" w:ascii="宋体" w:hAnsi="宋体" w:eastAsia="宋体" w:cs="宋体"/>
          <w:color w:val="444444"/>
          <w:kern w:val="0"/>
          <w:sz w:val="28"/>
          <w:szCs w:val="28"/>
          <w:shd w:val="clear" w:color="050000" w:fill="FFFFFF"/>
        </w:rPr>
        <w:t>万元，对个人和家庭的补助</w:t>
      </w:r>
      <w:r>
        <w:rPr>
          <w:rFonts w:hint="eastAsia" w:ascii="宋体" w:hAnsi="宋体" w:cs="宋体"/>
          <w:color w:val="444444"/>
          <w:kern w:val="0"/>
          <w:sz w:val="28"/>
          <w:szCs w:val="28"/>
          <w:shd w:val="clear" w:color="050000" w:fill="FFFFFF"/>
          <w:lang w:val="en-US" w:eastAsia="zh-CN"/>
        </w:rPr>
        <w:t>0.2</w:t>
      </w:r>
      <w:r>
        <w:rPr>
          <w:rFonts w:hint="eastAsia" w:ascii="宋体" w:hAnsi="宋体" w:eastAsia="宋体" w:cs="宋体"/>
          <w:color w:val="444444"/>
          <w:kern w:val="0"/>
          <w:sz w:val="28"/>
          <w:szCs w:val="28"/>
          <w:shd w:val="clear" w:color="050000" w:fill="FFFFFF"/>
        </w:rPr>
        <w:t>万元。</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sz w:val="28"/>
          <w:szCs w:val="28"/>
        </w:rPr>
      </w:pPr>
      <w:r>
        <w:rPr>
          <w:rFonts w:hint="eastAsia" w:ascii="宋体" w:hAnsi="宋体" w:eastAsia="宋体" w:cs="宋体"/>
          <w:color w:val="444444"/>
          <w:kern w:val="0"/>
          <w:sz w:val="28"/>
          <w:szCs w:val="28"/>
          <w:shd w:val="clear" w:color="050000" w:fill="FFFFFF"/>
        </w:rPr>
        <w:t>2021年“三公”经费实际开支总额</w:t>
      </w:r>
      <w:r>
        <w:rPr>
          <w:rFonts w:hint="eastAsia" w:ascii="宋体" w:hAnsi="宋体" w:cs="宋体"/>
          <w:color w:val="444444"/>
          <w:kern w:val="0"/>
          <w:sz w:val="28"/>
          <w:szCs w:val="28"/>
          <w:shd w:val="clear" w:color="050000" w:fill="FFFFFF"/>
          <w:lang w:val="en-US" w:eastAsia="zh-CN"/>
        </w:rPr>
        <w:t>0</w:t>
      </w:r>
      <w:r>
        <w:rPr>
          <w:rFonts w:hint="eastAsia" w:ascii="宋体" w:hAnsi="宋体" w:eastAsia="宋体" w:cs="宋体"/>
          <w:color w:val="444444"/>
          <w:kern w:val="0"/>
          <w:sz w:val="28"/>
          <w:szCs w:val="28"/>
          <w:shd w:val="clear" w:color="050000" w:fill="FFFFFF"/>
        </w:rPr>
        <w:t>万元。其中：因公出国（境）费支出本年未发生。公务用车购置及运行维护费</w:t>
      </w:r>
      <w:r>
        <w:rPr>
          <w:rFonts w:hint="eastAsia" w:ascii="宋体" w:hAnsi="宋体" w:cs="宋体"/>
          <w:color w:val="444444"/>
          <w:kern w:val="0"/>
          <w:sz w:val="28"/>
          <w:szCs w:val="28"/>
          <w:shd w:val="clear" w:color="050000" w:fill="FFFFFF"/>
          <w:lang w:val="en-US" w:eastAsia="zh-CN"/>
        </w:rPr>
        <w:t>本年未发生</w:t>
      </w:r>
      <w:r>
        <w:rPr>
          <w:rFonts w:hint="eastAsia" w:ascii="宋体" w:hAnsi="宋体" w:eastAsia="宋体" w:cs="宋体"/>
          <w:color w:val="444444"/>
          <w:kern w:val="0"/>
          <w:sz w:val="28"/>
          <w:szCs w:val="28"/>
          <w:shd w:val="clear" w:color="050000" w:fill="FFFFFF"/>
        </w:rPr>
        <w:t>（公务用车购置费未发生，公务用车运行维护费未发生），公务用车保有量</w:t>
      </w:r>
      <w:r>
        <w:rPr>
          <w:rFonts w:hint="eastAsia" w:ascii="宋体" w:hAnsi="宋体" w:cs="宋体"/>
          <w:color w:val="444444"/>
          <w:kern w:val="0"/>
          <w:sz w:val="28"/>
          <w:szCs w:val="28"/>
          <w:shd w:val="clear" w:color="050000" w:fill="FFFFFF"/>
          <w:lang w:val="en-US" w:eastAsia="zh-CN"/>
        </w:rPr>
        <w:t>0</w:t>
      </w:r>
      <w:r>
        <w:rPr>
          <w:rFonts w:hint="eastAsia" w:ascii="宋体" w:hAnsi="宋体" w:eastAsia="宋体" w:cs="宋体"/>
          <w:color w:val="444444"/>
          <w:kern w:val="0"/>
          <w:sz w:val="28"/>
          <w:szCs w:val="28"/>
          <w:shd w:val="clear" w:color="050000" w:fill="FFFFFF"/>
        </w:rPr>
        <w:t>辆；公务接待费实际开支</w:t>
      </w:r>
      <w:r>
        <w:rPr>
          <w:rFonts w:hint="eastAsia" w:ascii="宋体" w:hAnsi="宋体" w:cs="宋体"/>
          <w:color w:val="444444"/>
          <w:kern w:val="0"/>
          <w:sz w:val="28"/>
          <w:szCs w:val="28"/>
          <w:shd w:val="clear" w:color="050000" w:fill="FFFFFF"/>
          <w:lang w:val="en-US" w:eastAsia="zh-CN"/>
        </w:rPr>
        <w:t>0</w:t>
      </w:r>
      <w:r>
        <w:rPr>
          <w:rFonts w:hint="eastAsia" w:ascii="宋体" w:hAnsi="宋体" w:eastAsia="宋体" w:cs="宋体"/>
          <w:color w:val="444444"/>
          <w:kern w:val="0"/>
          <w:sz w:val="28"/>
          <w:szCs w:val="28"/>
          <w:shd w:val="clear" w:color="050000" w:fill="FFFFFF"/>
        </w:rPr>
        <w:t>万元，公务接待</w:t>
      </w:r>
      <w:r>
        <w:rPr>
          <w:rFonts w:hint="eastAsia" w:ascii="宋体" w:hAnsi="宋体" w:cs="宋体"/>
          <w:color w:val="444444"/>
          <w:kern w:val="0"/>
          <w:sz w:val="28"/>
          <w:szCs w:val="28"/>
          <w:shd w:val="clear" w:color="050000" w:fill="FFFFFF"/>
          <w:lang w:val="en-US" w:eastAsia="zh-CN"/>
        </w:rPr>
        <w:t>0</w:t>
      </w:r>
      <w:r>
        <w:rPr>
          <w:rFonts w:hint="eastAsia" w:ascii="宋体" w:hAnsi="宋体" w:eastAsia="宋体" w:cs="宋体"/>
          <w:color w:val="444444"/>
          <w:kern w:val="0"/>
          <w:sz w:val="28"/>
          <w:szCs w:val="28"/>
          <w:shd w:val="clear" w:color="050000" w:fill="FFFFFF"/>
        </w:rPr>
        <w:t>批次</w:t>
      </w:r>
      <w:r>
        <w:rPr>
          <w:rFonts w:hint="eastAsia" w:ascii="宋体" w:hAnsi="宋体" w:cs="宋体"/>
          <w:color w:val="444444"/>
          <w:kern w:val="0"/>
          <w:sz w:val="28"/>
          <w:szCs w:val="28"/>
          <w:shd w:val="clear" w:color="050000" w:fill="FFFFFF"/>
          <w:lang w:val="en-US" w:eastAsia="zh-CN"/>
        </w:rPr>
        <w:t>0</w:t>
      </w:r>
      <w:r>
        <w:rPr>
          <w:rFonts w:hint="eastAsia" w:ascii="宋体" w:hAnsi="宋体" w:eastAsia="宋体" w:cs="宋体"/>
          <w:color w:val="444444"/>
          <w:kern w:val="0"/>
          <w:sz w:val="28"/>
          <w:szCs w:val="28"/>
          <w:shd w:val="clear" w:color="050000" w:fill="FFFFFF"/>
        </w:rPr>
        <w:t>人次。2021年“三公”经费实际开支总额比2020年同口径</w:t>
      </w:r>
      <w:r>
        <w:rPr>
          <w:rFonts w:hint="eastAsia" w:ascii="宋体" w:hAnsi="宋体" w:cs="宋体"/>
          <w:color w:val="444444"/>
          <w:kern w:val="0"/>
          <w:sz w:val="28"/>
          <w:szCs w:val="28"/>
          <w:shd w:val="clear" w:color="050000" w:fill="FFFFFF"/>
          <w:lang w:eastAsia="zh-CN"/>
        </w:rPr>
        <w:t>一致，没有发生</w:t>
      </w:r>
      <w:r>
        <w:rPr>
          <w:rFonts w:hint="eastAsia" w:ascii="宋体" w:hAnsi="宋体" w:eastAsia="宋体" w:cs="宋体"/>
          <w:color w:val="444444"/>
          <w:kern w:val="0"/>
          <w:sz w:val="28"/>
          <w:szCs w:val="28"/>
          <w:shd w:val="clear" w:color="050000" w:fill="FFFFFF"/>
        </w:rPr>
        <w:t>“三公”经费实际开支</w:t>
      </w:r>
      <w:r>
        <w:rPr>
          <w:rFonts w:hint="eastAsia" w:ascii="宋体" w:hAnsi="宋体" w:cs="宋体"/>
          <w:color w:val="444444"/>
          <w:kern w:val="0"/>
          <w:sz w:val="28"/>
          <w:szCs w:val="28"/>
          <w:shd w:val="clear" w:color="050000" w:fill="FFFFFF"/>
          <w:lang w:eastAsia="zh-CN"/>
        </w:rPr>
        <w:t>。</w:t>
      </w:r>
      <w:r>
        <w:rPr>
          <w:rFonts w:hint="eastAsia" w:ascii="宋体" w:hAnsi="宋体" w:eastAsia="宋体" w:cs="宋体"/>
          <w:color w:val="444444"/>
          <w:kern w:val="0"/>
          <w:sz w:val="28"/>
          <w:szCs w:val="28"/>
          <w:shd w:val="clear" w:color="050000" w:fill="FFFFFF"/>
        </w:rPr>
        <w:t>因为</w:t>
      </w:r>
      <w:r>
        <w:rPr>
          <w:rFonts w:hint="eastAsia" w:ascii="宋体" w:hAnsi="宋体" w:eastAsia="宋体" w:cs="宋体"/>
          <w:color w:val="444444"/>
          <w:kern w:val="0"/>
          <w:sz w:val="28"/>
          <w:szCs w:val="28"/>
          <w:shd w:val="clear" w:color="050000" w:fill="FFFFFF"/>
          <w:lang w:val="en-US" w:eastAsia="zh-CN"/>
        </w:rPr>
        <w:t>我</w:t>
      </w:r>
      <w:r>
        <w:rPr>
          <w:rFonts w:hint="eastAsia" w:ascii="宋体" w:hAnsi="宋体" w:cs="宋体"/>
          <w:color w:val="444444"/>
          <w:kern w:val="0"/>
          <w:sz w:val="28"/>
          <w:szCs w:val="28"/>
          <w:shd w:val="clear" w:color="050000" w:fill="FFFFFF"/>
          <w:lang w:val="en-US" w:eastAsia="zh-CN"/>
        </w:rPr>
        <w:t>单位</w:t>
      </w:r>
      <w:r>
        <w:rPr>
          <w:rFonts w:hint="eastAsia" w:ascii="宋体" w:hAnsi="宋体" w:eastAsia="宋体" w:cs="宋体"/>
          <w:color w:val="444444"/>
          <w:kern w:val="0"/>
          <w:sz w:val="28"/>
          <w:szCs w:val="28"/>
          <w:shd w:val="clear" w:color="050000" w:fill="FFFFFF"/>
          <w:lang w:val="en-US" w:eastAsia="zh-CN"/>
        </w:rPr>
        <w:t>按照中央、省委、省政府要求，厉行节约，继续严控“三公”经费。</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sz w:val="28"/>
          <w:szCs w:val="28"/>
        </w:rPr>
      </w:pPr>
      <w:r>
        <w:rPr>
          <w:rFonts w:hint="eastAsia" w:ascii="宋体" w:hAnsi="宋体" w:eastAsia="宋体" w:cs="宋体"/>
          <w:color w:val="444444"/>
          <w:kern w:val="0"/>
          <w:sz w:val="28"/>
          <w:szCs w:val="28"/>
          <w:shd w:val="clear" w:color="050000" w:fill="FFFFFF"/>
        </w:rPr>
        <w:t>（二）专项支出</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 1、专项资金安排落实等情况分析。项目支出</w:t>
      </w:r>
      <w:r>
        <w:rPr>
          <w:rFonts w:hint="eastAsia" w:ascii="宋体" w:hAnsi="宋体" w:cs="宋体"/>
          <w:color w:val="444444"/>
          <w:kern w:val="0"/>
          <w:sz w:val="28"/>
          <w:szCs w:val="28"/>
          <w:shd w:val="clear" w:color="050000" w:fill="FFFFFF"/>
          <w:lang w:val="en-US" w:eastAsia="zh-CN"/>
        </w:rPr>
        <w:t>0</w:t>
      </w:r>
      <w:r>
        <w:rPr>
          <w:rFonts w:hint="eastAsia" w:ascii="宋体" w:hAnsi="宋体" w:eastAsia="宋体" w:cs="宋体"/>
          <w:color w:val="444444"/>
          <w:kern w:val="0"/>
          <w:sz w:val="28"/>
          <w:szCs w:val="28"/>
          <w:shd w:val="clear" w:color="050000" w:fill="FFFFFF"/>
        </w:rPr>
        <w:t>万元，其中，商品服务支出</w:t>
      </w:r>
      <w:r>
        <w:rPr>
          <w:rFonts w:hint="eastAsia" w:ascii="宋体" w:hAnsi="宋体" w:cs="宋体"/>
          <w:color w:val="444444"/>
          <w:kern w:val="0"/>
          <w:sz w:val="28"/>
          <w:szCs w:val="28"/>
          <w:shd w:val="clear" w:color="050000" w:fill="FFFFFF"/>
          <w:lang w:val="en-US" w:eastAsia="zh-CN"/>
        </w:rPr>
        <w:t>0</w:t>
      </w:r>
      <w:r>
        <w:rPr>
          <w:rFonts w:hint="eastAsia" w:ascii="宋体" w:hAnsi="宋体" w:eastAsia="宋体" w:cs="宋体"/>
          <w:color w:val="444444"/>
          <w:kern w:val="0"/>
          <w:sz w:val="28"/>
          <w:szCs w:val="28"/>
          <w:shd w:val="clear" w:color="050000" w:fill="FFFFFF"/>
        </w:rPr>
        <w:t>万元，对个人和家庭补助0万元，资本性支出0万元。比上年同口径</w:t>
      </w:r>
      <w:r>
        <w:rPr>
          <w:rFonts w:hint="eastAsia" w:ascii="宋体" w:hAnsi="宋体" w:cs="宋体"/>
          <w:color w:val="444444"/>
          <w:kern w:val="0"/>
          <w:sz w:val="28"/>
          <w:szCs w:val="28"/>
          <w:shd w:val="clear" w:color="050000" w:fill="FFFFFF"/>
          <w:lang w:eastAsia="zh-CN"/>
        </w:rPr>
        <w:t>相比一致，没有发生项目支出</w:t>
      </w:r>
      <w:r>
        <w:rPr>
          <w:rFonts w:hint="eastAsia" w:ascii="宋体" w:hAnsi="宋体" w:eastAsia="宋体" w:cs="宋体"/>
          <w:color w:val="444444"/>
          <w:kern w:val="0"/>
          <w:sz w:val="28"/>
          <w:szCs w:val="28"/>
          <w:shd w:val="clear" w:color="050000" w:fill="FFFFFF"/>
        </w:rPr>
        <w:t>。主要原因</w:t>
      </w:r>
      <w:r>
        <w:rPr>
          <w:rFonts w:hint="eastAsia" w:ascii="宋体" w:hAnsi="宋体" w:cs="宋体"/>
          <w:color w:val="444444"/>
          <w:kern w:val="0"/>
          <w:sz w:val="28"/>
          <w:szCs w:val="28"/>
          <w:shd w:val="clear" w:color="050000" w:fill="FFFFFF"/>
          <w:lang w:val="en-US" w:eastAsia="zh-CN"/>
        </w:rPr>
        <w:t>是</w:t>
      </w:r>
      <w:r>
        <w:rPr>
          <w:rFonts w:hint="eastAsia" w:ascii="宋体" w:hAnsi="宋体" w:eastAsia="宋体" w:cs="宋体"/>
          <w:color w:val="444444"/>
          <w:kern w:val="0"/>
          <w:sz w:val="28"/>
          <w:szCs w:val="28"/>
          <w:shd w:val="clear" w:color="050000" w:fill="FFFFFF"/>
        </w:rPr>
        <w:t>严格管理，规范支出，节约支出。</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 </w:t>
      </w:r>
      <w:r>
        <w:rPr>
          <w:rFonts w:hint="eastAsia" w:ascii="宋体" w:hAnsi="宋体" w:cs="宋体"/>
          <w:color w:val="444444"/>
          <w:kern w:val="0"/>
          <w:sz w:val="28"/>
          <w:szCs w:val="28"/>
          <w:shd w:val="clear" w:color="050000" w:fill="FFFFFF"/>
          <w:lang w:val="en-US" w:eastAsia="zh-CN"/>
        </w:rPr>
        <w:t>2</w:t>
      </w:r>
      <w:r>
        <w:rPr>
          <w:rFonts w:hint="eastAsia" w:ascii="宋体" w:hAnsi="宋体" w:eastAsia="宋体" w:cs="宋体"/>
          <w:color w:val="444444"/>
          <w:kern w:val="0"/>
          <w:sz w:val="28"/>
          <w:szCs w:val="28"/>
          <w:shd w:val="clear" w:color="050000" w:fill="FFFFFF"/>
        </w:rPr>
        <w:t>、专项管理情况分析。根据《预算法》、《行政单位会计制度》等法律和财政部及省财政厅有关财务规章的规定，严格专项资金的审核与支出。</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sz w:val="28"/>
          <w:szCs w:val="28"/>
        </w:rPr>
      </w:pPr>
      <w:r>
        <w:rPr>
          <w:rFonts w:hint="eastAsia" w:ascii="宋体" w:hAnsi="宋体" w:eastAsia="宋体" w:cs="宋体"/>
          <w:color w:val="444444"/>
          <w:kern w:val="0"/>
          <w:sz w:val="28"/>
          <w:szCs w:val="28"/>
          <w:shd w:val="clear" w:color="050000" w:fill="FFFFFF"/>
        </w:rPr>
        <w:t>三、资产管理情况</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color="050000" w:fill="FFFFFF"/>
          <w:lang w:val="en-US" w:eastAsia="zh-CN"/>
        </w:rPr>
      </w:pPr>
      <w:r>
        <w:rPr>
          <w:rFonts w:hint="eastAsia" w:ascii="宋体" w:hAnsi="宋体" w:eastAsia="宋体" w:cs="宋体"/>
          <w:color w:val="444444"/>
          <w:kern w:val="0"/>
          <w:sz w:val="28"/>
          <w:szCs w:val="28"/>
          <w:shd w:val="clear" w:color="050000" w:fill="FFFFFF"/>
          <w:lang w:val="en-US" w:eastAsia="zh-CN"/>
        </w:rPr>
        <w:t>我</w:t>
      </w:r>
      <w:r>
        <w:rPr>
          <w:rFonts w:hint="eastAsia" w:ascii="宋体" w:hAnsi="宋体" w:cs="宋体"/>
          <w:color w:val="444444"/>
          <w:kern w:val="0"/>
          <w:sz w:val="28"/>
          <w:szCs w:val="28"/>
          <w:shd w:val="clear" w:color="050000" w:fill="FFFFFF"/>
          <w:lang w:val="en-US" w:eastAsia="zh-CN"/>
        </w:rPr>
        <w:t>单位</w:t>
      </w:r>
      <w:r>
        <w:rPr>
          <w:rFonts w:hint="eastAsia" w:ascii="宋体" w:hAnsi="宋体" w:eastAsia="宋体" w:cs="宋体"/>
          <w:color w:val="444444"/>
          <w:kern w:val="0"/>
          <w:sz w:val="28"/>
          <w:szCs w:val="28"/>
          <w:shd w:val="clear" w:color="050000" w:fill="FFFFFF"/>
          <w:lang w:val="en-US" w:eastAsia="zh-CN"/>
        </w:rPr>
        <w:t>资产管理由办公室负责，资产采购按程序实行报批采购，统一在政采云平台下单，采购后登记入账，录入资产信息系统，再派发到</w:t>
      </w:r>
      <w:r>
        <w:rPr>
          <w:rFonts w:hint="eastAsia" w:ascii="宋体" w:hAnsi="宋体" w:cs="宋体"/>
          <w:color w:val="444444"/>
          <w:kern w:val="0"/>
          <w:sz w:val="28"/>
          <w:szCs w:val="28"/>
          <w:shd w:val="clear" w:color="050000" w:fill="FFFFFF"/>
          <w:lang w:val="en-US" w:eastAsia="zh-CN"/>
        </w:rPr>
        <w:t>用人手上</w:t>
      </w:r>
      <w:r>
        <w:rPr>
          <w:rFonts w:hint="eastAsia" w:ascii="宋体" w:hAnsi="宋体" w:eastAsia="宋体" w:cs="宋体"/>
          <w:color w:val="444444"/>
          <w:kern w:val="0"/>
          <w:sz w:val="28"/>
          <w:szCs w:val="28"/>
          <w:shd w:val="clear" w:color="050000" w:fill="FFFFFF"/>
          <w:lang w:val="en-US" w:eastAsia="zh-CN"/>
        </w:rPr>
        <w:t>。一是我</w:t>
      </w:r>
      <w:r>
        <w:rPr>
          <w:rFonts w:hint="eastAsia" w:ascii="宋体" w:hAnsi="宋体" w:cs="宋体"/>
          <w:color w:val="444444"/>
          <w:kern w:val="0"/>
          <w:sz w:val="28"/>
          <w:szCs w:val="28"/>
          <w:shd w:val="clear" w:color="050000" w:fill="FFFFFF"/>
          <w:lang w:val="en-US" w:eastAsia="zh-CN"/>
        </w:rPr>
        <w:t>单位</w:t>
      </w:r>
      <w:r>
        <w:rPr>
          <w:rFonts w:hint="eastAsia" w:ascii="宋体" w:hAnsi="宋体" w:eastAsia="宋体" w:cs="宋体"/>
          <w:color w:val="444444"/>
          <w:kern w:val="0"/>
          <w:sz w:val="28"/>
          <w:szCs w:val="28"/>
          <w:shd w:val="clear" w:color="050000" w:fill="FFFFFF"/>
          <w:lang w:val="en-US" w:eastAsia="zh-CN"/>
        </w:rPr>
        <w:t>资产管理和使用坚持统一政策、统一领导、分级管理、责任到人、物尽其用的原则。二是运用资产信息管理系统加强资产管理</w:t>
      </w:r>
      <w:r>
        <w:rPr>
          <w:rFonts w:hint="eastAsia" w:ascii="宋体" w:hAnsi="宋体" w:cs="宋体"/>
          <w:color w:val="444444"/>
          <w:kern w:val="0"/>
          <w:sz w:val="28"/>
          <w:szCs w:val="28"/>
          <w:shd w:val="clear" w:color="050000" w:fill="FFFFFF"/>
          <w:lang w:val="en-US" w:eastAsia="zh-CN"/>
        </w:rPr>
        <w:t>，</w:t>
      </w:r>
      <w:r>
        <w:rPr>
          <w:rFonts w:hint="eastAsia" w:ascii="宋体" w:hAnsi="宋体" w:eastAsia="宋体" w:cs="宋体"/>
          <w:color w:val="444444"/>
          <w:kern w:val="0"/>
          <w:sz w:val="28"/>
          <w:szCs w:val="28"/>
          <w:shd w:val="clear" w:color="050000" w:fill="FFFFFF"/>
          <w:lang w:val="en-US" w:eastAsia="zh-CN"/>
        </w:rPr>
        <w:t>并指定专人负责管理。三是每年组织一次固定资产资产清查工作，使固定资产检查常态化，确保账、卡、实相符。四是根据《湖南省财政厅关于做好行政事业性国有资产月报试编工作的通知》文件要求，每月及时通过财政部统一报表系统上报资产月报电子数据，每年编制一次固定资产年报</w:t>
      </w:r>
      <w:r>
        <w:rPr>
          <w:rFonts w:hint="eastAsia" w:ascii="宋体" w:hAnsi="宋体" w:cs="宋体"/>
          <w:color w:val="444444"/>
          <w:kern w:val="0"/>
          <w:sz w:val="28"/>
          <w:szCs w:val="28"/>
          <w:shd w:val="clear" w:color="050000" w:fill="FFFFFF"/>
          <w:lang w:val="en-US" w:eastAsia="zh-CN"/>
        </w:rPr>
        <w:t>。</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截至2021年12月31日，</w:t>
      </w:r>
      <w:r>
        <w:rPr>
          <w:rFonts w:hint="eastAsia" w:ascii="宋体" w:hAnsi="宋体" w:cs="宋体"/>
          <w:color w:val="444444"/>
          <w:kern w:val="0"/>
          <w:sz w:val="28"/>
          <w:szCs w:val="28"/>
          <w:shd w:val="clear" w:color="050000" w:fill="FFFFFF"/>
          <w:lang w:val="en-US" w:eastAsia="zh-CN"/>
        </w:rPr>
        <w:t>我单位</w:t>
      </w:r>
      <w:r>
        <w:rPr>
          <w:rFonts w:hint="eastAsia" w:ascii="宋体" w:hAnsi="宋体" w:eastAsia="宋体" w:cs="宋体"/>
          <w:color w:val="444444"/>
          <w:kern w:val="0"/>
          <w:sz w:val="28"/>
          <w:szCs w:val="28"/>
          <w:shd w:val="clear" w:color="050000" w:fill="FFFFFF"/>
        </w:rPr>
        <w:t>资产总额为</w:t>
      </w:r>
      <w:r>
        <w:rPr>
          <w:rFonts w:hint="eastAsia" w:ascii="宋体" w:hAnsi="宋体" w:cs="宋体"/>
          <w:color w:val="444444"/>
          <w:kern w:val="0"/>
          <w:sz w:val="28"/>
          <w:szCs w:val="28"/>
          <w:shd w:val="clear" w:color="050000" w:fill="FFFFFF"/>
          <w:lang w:val="en-US" w:eastAsia="zh-CN"/>
        </w:rPr>
        <w:t>11.05</w:t>
      </w:r>
      <w:r>
        <w:rPr>
          <w:rFonts w:hint="eastAsia" w:ascii="宋体" w:hAnsi="宋体" w:eastAsia="宋体" w:cs="宋体"/>
          <w:color w:val="444444"/>
          <w:kern w:val="0"/>
          <w:sz w:val="28"/>
          <w:szCs w:val="28"/>
          <w:shd w:val="clear" w:color="050000" w:fill="FFFFFF"/>
        </w:rPr>
        <w:t>万元，主要由以下部分构成：流动资产</w:t>
      </w:r>
      <w:r>
        <w:rPr>
          <w:rFonts w:hint="eastAsia" w:ascii="宋体" w:hAnsi="宋体" w:cs="宋体"/>
          <w:color w:val="444444"/>
          <w:kern w:val="0"/>
          <w:sz w:val="28"/>
          <w:szCs w:val="28"/>
          <w:shd w:val="clear" w:color="050000" w:fill="FFFFFF"/>
          <w:lang w:val="en-US" w:eastAsia="zh-CN"/>
        </w:rPr>
        <w:t>0</w:t>
      </w:r>
      <w:r>
        <w:rPr>
          <w:rFonts w:hint="eastAsia" w:ascii="宋体" w:hAnsi="宋体" w:eastAsia="宋体" w:cs="宋体"/>
          <w:color w:val="444444"/>
          <w:kern w:val="0"/>
          <w:sz w:val="28"/>
          <w:szCs w:val="28"/>
          <w:shd w:val="clear" w:color="050000" w:fill="FFFFFF"/>
        </w:rPr>
        <w:t>万元,占资产总额的</w:t>
      </w:r>
      <w:r>
        <w:rPr>
          <w:rFonts w:hint="eastAsia" w:ascii="宋体" w:hAnsi="宋体" w:cs="宋体"/>
          <w:color w:val="444444"/>
          <w:kern w:val="0"/>
          <w:sz w:val="28"/>
          <w:szCs w:val="28"/>
          <w:shd w:val="clear" w:color="050000" w:fill="FFFFFF"/>
          <w:lang w:val="en-US" w:eastAsia="zh-CN"/>
        </w:rPr>
        <w:t>0</w:t>
      </w:r>
      <w:r>
        <w:rPr>
          <w:rFonts w:hint="eastAsia" w:ascii="宋体" w:hAnsi="宋体" w:eastAsia="宋体" w:cs="宋体"/>
          <w:color w:val="444444"/>
          <w:kern w:val="0"/>
          <w:sz w:val="28"/>
          <w:szCs w:val="28"/>
          <w:shd w:val="clear" w:color="050000" w:fill="FFFFFF"/>
        </w:rPr>
        <w:t>%,主要为银行存款及其他应收款等;固定资产</w:t>
      </w:r>
      <w:r>
        <w:rPr>
          <w:rFonts w:hint="eastAsia" w:ascii="宋体" w:hAnsi="宋体" w:cs="宋体"/>
          <w:color w:val="444444"/>
          <w:kern w:val="0"/>
          <w:sz w:val="28"/>
          <w:szCs w:val="28"/>
          <w:shd w:val="clear" w:color="050000" w:fill="FFFFFF"/>
          <w:lang w:val="en-US" w:eastAsia="zh-CN"/>
        </w:rPr>
        <w:t>11.05</w:t>
      </w:r>
      <w:r>
        <w:rPr>
          <w:rFonts w:hint="eastAsia" w:ascii="宋体" w:hAnsi="宋体" w:eastAsia="宋体" w:cs="宋体"/>
          <w:color w:val="444444"/>
          <w:kern w:val="0"/>
          <w:sz w:val="28"/>
          <w:szCs w:val="28"/>
          <w:shd w:val="clear" w:color="050000" w:fill="FFFFFF"/>
        </w:rPr>
        <w:t>万元,占资产总额的</w:t>
      </w:r>
      <w:r>
        <w:rPr>
          <w:rFonts w:hint="eastAsia" w:ascii="宋体" w:hAnsi="宋体" w:cs="宋体"/>
          <w:color w:val="444444"/>
          <w:kern w:val="0"/>
          <w:sz w:val="28"/>
          <w:szCs w:val="28"/>
          <w:shd w:val="clear" w:color="050000" w:fill="FFFFFF"/>
          <w:lang w:val="en-US" w:eastAsia="zh-CN"/>
        </w:rPr>
        <w:t>100</w:t>
      </w:r>
      <w:r>
        <w:rPr>
          <w:rFonts w:hint="eastAsia" w:ascii="宋体" w:hAnsi="宋体" w:eastAsia="宋体" w:cs="宋体"/>
          <w:color w:val="444444"/>
          <w:kern w:val="0"/>
          <w:sz w:val="28"/>
          <w:szCs w:val="28"/>
          <w:shd w:val="clear" w:color="050000" w:fill="FFFFFF"/>
        </w:rPr>
        <w:t>%，主要包括办公设备等。 </w:t>
      </w:r>
    </w:p>
    <w:p>
      <w:pPr>
        <w:pStyle w:val="4"/>
        <w:widowControl/>
        <w:numPr>
          <w:ilvl w:val="0"/>
          <w:numId w:val="3"/>
        </w:numPr>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部门整体支出绩效情况</w:t>
      </w:r>
    </w:p>
    <w:p>
      <w:pPr>
        <w:pStyle w:val="4"/>
        <w:widowControl/>
        <w:numPr>
          <w:ilvl w:val="0"/>
          <w:numId w:val="4"/>
        </w:numPr>
        <w:pBdr>
          <w:top w:val="none" w:color="auto" w:sz="0" w:space="0"/>
          <w:left w:val="none" w:color="auto" w:sz="0" w:space="0"/>
          <w:bottom w:val="none" w:color="auto" w:sz="0" w:space="0"/>
          <w:right w:val="none" w:color="auto" w:sz="0" w:space="0"/>
        </w:pBdr>
        <w:spacing w:before="0" w:beforeAutospacing="0" w:after="300" w:afterAutospacing="0" w:line="600" w:lineRule="atLeast"/>
        <w:ind w:right="0" w:firstLine="560" w:firstLineChars="200"/>
        <w:jc w:val="left"/>
        <w:rPr>
          <w:rFonts w:hint="eastAsia" w:ascii="宋体" w:hAnsi="宋体" w:cs="宋体"/>
          <w:color w:val="444444"/>
          <w:kern w:val="0"/>
          <w:sz w:val="28"/>
          <w:szCs w:val="28"/>
          <w:shd w:val="clear" w:color="050000" w:fill="FFFFFF"/>
          <w:lang w:eastAsia="zh-CN"/>
        </w:rPr>
      </w:pPr>
      <w:r>
        <w:rPr>
          <w:rFonts w:hint="eastAsia" w:ascii="宋体" w:hAnsi="宋体" w:eastAsia="宋体" w:cs="宋体"/>
          <w:color w:val="444444"/>
          <w:kern w:val="0"/>
          <w:sz w:val="28"/>
          <w:szCs w:val="28"/>
          <w:shd w:val="clear" w:color="050000" w:fill="FFFFFF"/>
        </w:rPr>
        <w:t>征缴、扩面工作。</w:t>
      </w:r>
      <w:r>
        <w:rPr>
          <w:rFonts w:hint="eastAsia" w:ascii="宋体" w:hAnsi="宋体" w:cs="宋体"/>
          <w:color w:val="444444"/>
          <w:kern w:val="0"/>
          <w:sz w:val="28"/>
          <w:szCs w:val="28"/>
          <w:shd w:val="clear" w:color="050000" w:fill="FFFFFF"/>
          <w:lang w:val="en-US" w:eastAsia="zh-CN"/>
        </w:rPr>
        <w:t>2021年，全年</w:t>
      </w:r>
      <w:r>
        <w:rPr>
          <w:rFonts w:hint="eastAsia" w:ascii="宋体" w:hAnsi="宋体" w:eastAsia="宋体" w:cs="宋体"/>
          <w:color w:val="444444"/>
          <w:kern w:val="0"/>
          <w:sz w:val="28"/>
          <w:szCs w:val="28"/>
          <w:shd w:val="clear" w:color="050000" w:fill="FFFFFF"/>
        </w:rPr>
        <w:t>基金征缴收入73.59万元。有169 家</w:t>
      </w:r>
      <w:r>
        <w:rPr>
          <w:rFonts w:hint="eastAsia" w:ascii="宋体" w:hAnsi="宋体" w:cs="宋体"/>
          <w:color w:val="444444"/>
          <w:kern w:val="0"/>
          <w:sz w:val="28"/>
          <w:szCs w:val="28"/>
          <w:shd w:val="clear" w:color="050000" w:fill="FFFFFF"/>
          <w:lang w:eastAsia="zh-CN"/>
        </w:rPr>
        <w:t>单位</w:t>
      </w:r>
      <w:r>
        <w:rPr>
          <w:rFonts w:hint="eastAsia" w:ascii="宋体" w:hAnsi="宋体" w:eastAsia="宋体" w:cs="宋体"/>
          <w:color w:val="444444"/>
          <w:kern w:val="0"/>
          <w:sz w:val="28"/>
          <w:szCs w:val="28"/>
          <w:shd w:val="clear" w:color="050000" w:fill="FFFFFF"/>
        </w:rPr>
        <w:t>参保</w:t>
      </w:r>
      <w:r>
        <w:rPr>
          <w:rFonts w:hint="eastAsia" w:ascii="宋体" w:hAnsi="宋体" w:cs="宋体"/>
          <w:color w:val="444444"/>
          <w:kern w:val="0"/>
          <w:sz w:val="28"/>
          <w:szCs w:val="28"/>
          <w:shd w:val="clear" w:color="050000" w:fill="FFFFFF"/>
          <w:lang w:eastAsia="zh-CN"/>
        </w:rPr>
        <w:t>缴纳失业保险，</w:t>
      </w:r>
      <w:r>
        <w:rPr>
          <w:rFonts w:hint="eastAsia" w:ascii="宋体" w:hAnsi="宋体" w:eastAsia="宋体" w:cs="宋体"/>
          <w:color w:val="444444"/>
          <w:kern w:val="0"/>
          <w:sz w:val="28"/>
          <w:szCs w:val="28"/>
          <w:shd w:val="clear" w:color="050000" w:fill="FFFFFF"/>
        </w:rPr>
        <w:t>其中本年新增参保单位42 家</w:t>
      </w:r>
      <w:r>
        <w:rPr>
          <w:rFonts w:hint="eastAsia" w:ascii="宋体" w:hAnsi="宋体" w:cs="宋体"/>
          <w:color w:val="444444"/>
          <w:kern w:val="0"/>
          <w:sz w:val="28"/>
          <w:szCs w:val="28"/>
          <w:shd w:val="clear" w:color="050000" w:fill="FFFFFF"/>
          <w:lang w:eastAsia="zh-CN"/>
        </w:rPr>
        <w:t>，</w:t>
      </w:r>
      <w:r>
        <w:rPr>
          <w:rFonts w:hint="eastAsia" w:ascii="宋体" w:hAnsi="宋体" w:eastAsia="宋体" w:cs="宋体"/>
          <w:color w:val="444444"/>
          <w:kern w:val="0"/>
          <w:sz w:val="28"/>
          <w:szCs w:val="28"/>
          <w:shd w:val="clear" w:color="050000" w:fill="FFFFFF"/>
        </w:rPr>
        <w:t>参保单位增长率达25%，新增参保人数 369 人</w:t>
      </w:r>
      <w:r>
        <w:rPr>
          <w:rFonts w:hint="eastAsia" w:ascii="宋体" w:hAnsi="宋体" w:cs="宋体"/>
          <w:color w:val="444444"/>
          <w:kern w:val="0"/>
          <w:sz w:val="28"/>
          <w:szCs w:val="28"/>
          <w:shd w:val="clear" w:color="050000" w:fill="FFFFFF"/>
          <w:lang w:eastAsia="zh-CN"/>
        </w:rPr>
        <w:t>，</w:t>
      </w:r>
      <w:r>
        <w:rPr>
          <w:rFonts w:hint="eastAsia" w:ascii="宋体" w:hAnsi="宋体" w:eastAsia="宋体" w:cs="宋体"/>
          <w:color w:val="444444"/>
          <w:kern w:val="0"/>
          <w:sz w:val="28"/>
          <w:szCs w:val="28"/>
          <w:shd w:val="clear" w:color="050000" w:fill="FFFFFF"/>
        </w:rPr>
        <w:t>现参保总人数 3715人，正常缴费2525人</w:t>
      </w:r>
      <w:r>
        <w:rPr>
          <w:rFonts w:hint="eastAsia" w:ascii="宋体" w:hAnsi="宋体" w:cs="宋体"/>
          <w:color w:val="444444"/>
          <w:kern w:val="0"/>
          <w:sz w:val="28"/>
          <w:szCs w:val="28"/>
          <w:shd w:val="clear" w:color="050000" w:fill="FFFFFF"/>
          <w:lang w:eastAsia="zh-CN"/>
        </w:rPr>
        <w:t>。</w:t>
      </w:r>
    </w:p>
    <w:p>
      <w:pPr>
        <w:pStyle w:val="4"/>
        <w:widowControl/>
        <w:numPr>
          <w:numId w:val="0"/>
        </w:numPr>
        <w:pBdr>
          <w:top w:val="none" w:color="auto" w:sz="0" w:space="0"/>
          <w:left w:val="none" w:color="auto" w:sz="0" w:space="0"/>
          <w:bottom w:val="none" w:color="auto" w:sz="0" w:space="0"/>
          <w:right w:val="none" w:color="auto" w:sz="0" w:space="0"/>
        </w:pBdr>
        <w:spacing w:before="0" w:beforeAutospacing="0" w:after="300" w:afterAutospacing="0" w:line="600" w:lineRule="atLeast"/>
        <w:ind w:right="0" w:rightChars="0" w:firstLine="560" w:firstLineChars="200"/>
        <w:jc w:val="left"/>
        <w:rPr>
          <w:rFonts w:hint="eastAsia" w:ascii="宋体" w:hAnsi="宋体" w:eastAsia="宋体" w:cs="宋体"/>
          <w:color w:val="444444"/>
          <w:kern w:val="0"/>
          <w:sz w:val="28"/>
          <w:szCs w:val="28"/>
          <w:shd w:val="clear" w:color="050000" w:fill="FFFFFF"/>
          <w:lang w:eastAsia="zh-CN"/>
        </w:rPr>
      </w:pPr>
      <w:r>
        <w:rPr>
          <w:rFonts w:hint="eastAsia" w:ascii="宋体" w:hAnsi="宋体" w:eastAsia="宋体" w:cs="宋体"/>
          <w:color w:val="444444"/>
          <w:kern w:val="0"/>
          <w:sz w:val="28"/>
          <w:szCs w:val="28"/>
          <w:shd w:val="clear" w:color="050000" w:fill="FFFFFF"/>
        </w:rPr>
        <w:t>2、待遇发放工作。</w:t>
      </w:r>
      <w:r>
        <w:rPr>
          <w:rFonts w:hint="eastAsia" w:ascii="宋体" w:hAnsi="宋体" w:cs="宋体"/>
          <w:color w:val="444444"/>
          <w:kern w:val="0"/>
          <w:sz w:val="28"/>
          <w:szCs w:val="28"/>
          <w:shd w:val="clear" w:color="050000" w:fill="FFFFFF"/>
          <w:lang w:val="en-US" w:eastAsia="zh-CN"/>
        </w:rPr>
        <w:t>2021年，</w:t>
      </w:r>
      <w:r>
        <w:rPr>
          <w:rFonts w:hint="eastAsia" w:ascii="宋体" w:hAnsi="宋体" w:eastAsia="宋体" w:cs="宋体"/>
          <w:color w:val="444444"/>
          <w:kern w:val="0"/>
          <w:sz w:val="28"/>
          <w:szCs w:val="28"/>
          <w:shd w:val="clear" w:color="050000" w:fill="FFFFFF"/>
        </w:rPr>
        <w:t>待遇发放工作实现了银社直连，</w:t>
      </w:r>
      <w:r>
        <w:rPr>
          <w:rFonts w:hint="eastAsia" w:ascii="宋体" w:hAnsi="宋体" w:cs="宋体"/>
          <w:color w:val="444444"/>
          <w:kern w:val="0"/>
          <w:sz w:val="28"/>
          <w:szCs w:val="28"/>
          <w:shd w:val="clear" w:color="050000" w:fill="FFFFFF"/>
          <w:lang w:eastAsia="zh-CN"/>
        </w:rPr>
        <w:t>取消了多年的手工发放业务，</w:t>
      </w:r>
      <w:r>
        <w:rPr>
          <w:rFonts w:hint="eastAsia" w:ascii="宋体" w:hAnsi="宋体" w:eastAsia="宋体" w:cs="宋体"/>
          <w:color w:val="444444"/>
          <w:kern w:val="0"/>
          <w:sz w:val="28"/>
          <w:szCs w:val="28"/>
          <w:shd w:val="clear" w:color="050000" w:fill="FFFFFF"/>
        </w:rPr>
        <w:t>通过</w:t>
      </w:r>
      <w:r>
        <w:rPr>
          <w:rFonts w:hint="eastAsia" w:ascii="宋体" w:hAnsi="宋体" w:cs="宋体"/>
          <w:color w:val="444444"/>
          <w:kern w:val="0"/>
          <w:sz w:val="28"/>
          <w:szCs w:val="28"/>
          <w:shd w:val="clear" w:color="050000" w:fill="FFFFFF"/>
          <w:lang w:eastAsia="zh-CN"/>
        </w:rPr>
        <w:t>业务系统与</w:t>
      </w:r>
      <w:r>
        <w:rPr>
          <w:rFonts w:hint="eastAsia" w:ascii="宋体" w:hAnsi="宋体" w:eastAsia="宋体" w:cs="宋体"/>
          <w:color w:val="444444"/>
          <w:kern w:val="0"/>
          <w:sz w:val="28"/>
          <w:szCs w:val="28"/>
          <w:shd w:val="clear" w:color="050000" w:fill="FFFFFF"/>
        </w:rPr>
        <w:t>银行</w:t>
      </w:r>
      <w:r>
        <w:rPr>
          <w:rFonts w:hint="eastAsia" w:ascii="宋体" w:hAnsi="宋体" w:cs="宋体"/>
          <w:color w:val="444444"/>
          <w:kern w:val="0"/>
          <w:sz w:val="28"/>
          <w:szCs w:val="28"/>
          <w:shd w:val="clear" w:color="050000" w:fill="FFFFFF"/>
          <w:lang w:eastAsia="zh-CN"/>
        </w:rPr>
        <w:t>对接，直接</w:t>
      </w:r>
      <w:r>
        <w:rPr>
          <w:rFonts w:hint="eastAsia" w:ascii="宋体" w:hAnsi="宋体" w:eastAsia="宋体" w:cs="宋体"/>
          <w:color w:val="444444"/>
          <w:kern w:val="0"/>
          <w:sz w:val="28"/>
          <w:szCs w:val="28"/>
          <w:shd w:val="clear" w:color="050000" w:fill="FFFFFF"/>
        </w:rPr>
        <w:t>按月足额将失业保险待遇发放到失业人员账户，确保了失业人员失业期间的基本生活，维护了社会稳定。</w:t>
      </w:r>
      <w:r>
        <w:rPr>
          <w:rFonts w:hint="eastAsia" w:ascii="宋体" w:hAnsi="宋体" w:cs="宋体"/>
          <w:color w:val="444444"/>
          <w:kern w:val="0"/>
          <w:sz w:val="28"/>
          <w:szCs w:val="28"/>
          <w:shd w:val="clear" w:color="050000" w:fill="FFFFFF"/>
          <w:lang w:eastAsia="zh-CN"/>
        </w:rPr>
        <w:t>全年共</w:t>
      </w:r>
      <w:r>
        <w:rPr>
          <w:rFonts w:hint="eastAsia" w:ascii="宋体" w:hAnsi="宋体" w:eastAsia="宋体" w:cs="宋体"/>
          <w:color w:val="444444"/>
          <w:kern w:val="0"/>
          <w:sz w:val="28"/>
          <w:szCs w:val="28"/>
          <w:shd w:val="clear" w:color="050000" w:fill="FFFFFF"/>
        </w:rPr>
        <w:t>发放失业</w:t>
      </w:r>
      <w:r>
        <w:rPr>
          <w:rFonts w:hint="eastAsia" w:ascii="宋体" w:hAnsi="宋体" w:cs="宋体"/>
          <w:color w:val="444444"/>
          <w:kern w:val="0"/>
          <w:sz w:val="28"/>
          <w:szCs w:val="28"/>
          <w:shd w:val="clear" w:color="050000" w:fill="FFFFFF"/>
          <w:lang w:eastAsia="zh-CN"/>
        </w:rPr>
        <w:t>人员失业</w:t>
      </w:r>
      <w:r>
        <w:rPr>
          <w:rFonts w:hint="eastAsia" w:ascii="宋体" w:hAnsi="宋体" w:eastAsia="宋体" w:cs="宋体"/>
          <w:color w:val="444444"/>
          <w:kern w:val="0"/>
          <w:sz w:val="28"/>
          <w:szCs w:val="28"/>
          <w:shd w:val="clear" w:color="050000" w:fill="FFFFFF"/>
        </w:rPr>
        <w:t>保险</w:t>
      </w:r>
      <w:r>
        <w:rPr>
          <w:rFonts w:hint="eastAsia" w:ascii="宋体" w:hAnsi="宋体" w:cs="宋体"/>
          <w:color w:val="444444"/>
          <w:kern w:val="0"/>
          <w:sz w:val="28"/>
          <w:szCs w:val="28"/>
          <w:shd w:val="clear" w:color="050000" w:fill="FFFFFF"/>
          <w:lang w:eastAsia="zh-CN"/>
        </w:rPr>
        <w:t>金</w:t>
      </w:r>
      <w:r>
        <w:rPr>
          <w:rFonts w:hint="eastAsia" w:ascii="宋体" w:hAnsi="宋体" w:eastAsia="宋体" w:cs="宋体"/>
          <w:color w:val="444444"/>
          <w:kern w:val="0"/>
          <w:sz w:val="28"/>
          <w:szCs w:val="28"/>
          <w:shd w:val="clear" w:color="050000" w:fill="FFFFFF"/>
        </w:rPr>
        <w:t>37.55万元、失业补助金2.79万元，</w:t>
      </w:r>
      <w:r>
        <w:rPr>
          <w:rFonts w:hint="eastAsia" w:ascii="宋体" w:hAnsi="宋体" w:cs="宋体"/>
          <w:color w:val="444444"/>
          <w:kern w:val="0"/>
          <w:sz w:val="28"/>
          <w:szCs w:val="28"/>
          <w:shd w:val="clear" w:color="050000" w:fill="FFFFFF"/>
          <w:lang w:eastAsia="zh-CN"/>
        </w:rPr>
        <w:t>为失业人员</w:t>
      </w:r>
      <w:r>
        <w:rPr>
          <w:rFonts w:hint="eastAsia" w:ascii="宋体" w:hAnsi="宋体" w:eastAsia="宋体" w:cs="宋体"/>
          <w:color w:val="444444"/>
          <w:kern w:val="0"/>
          <w:sz w:val="28"/>
          <w:szCs w:val="28"/>
          <w:shd w:val="clear" w:color="050000" w:fill="FFFFFF"/>
        </w:rPr>
        <w:t>代缴医疗保险费3.95万元</w:t>
      </w:r>
      <w:r>
        <w:rPr>
          <w:rFonts w:hint="eastAsia" w:ascii="宋体" w:hAnsi="宋体" w:cs="宋体"/>
          <w:color w:val="444444"/>
          <w:kern w:val="0"/>
          <w:sz w:val="28"/>
          <w:szCs w:val="28"/>
          <w:shd w:val="clear" w:color="050000" w:fill="FFFFFF"/>
          <w:lang w:eastAsia="zh-CN"/>
        </w:rPr>
        <w:t>，发放</w:t>
      </w:r>
      <w:r>
        <w:rPr>
          <w:rFonts w:hint="eastAsia" w:ascii="宋体" w:hAnsi="宋体" w:eastAsia="宋体" w:cs="宋体"/>
          <w:color w:val="444444"/>
          <w:kern w:val="0"/>
          <w:sz w:val="28"/>
          <w:szCs w:val="28"/>
          <w:shd w:val="clear" w:color="050000" w:fill="FFFFFF"/>
        </w:rPr>
        <w:t>技能提升补贴0.25万元。稳岗返还</w:t>
      </w:r>
      <w:r>
        <w:rPr>
          <w:rFonts w:hint="eastAsia" w:ascii="宋体" w:hAnsi="宋体" w:cs="宋体"/>
          <w:color w:val="444444"/>
          <w:kern w:val="0"/>
          <w:sz w:val="28"/>
          <w:szCs w:val="28"/>
          <w:shd w:val="clear" w:color="050000" w:fill="FFFFFF"/>
          <w:lang w:eastAsia="zh-CN"/>
        </w:rPr>
        <w:t>实行“免申即享”，直接发放企业稳岗返还</w:t>
      </w:r>
      <w:r>
        <w:rPr>
          <w:rFonts w:hint="eastAsia" w:ascii="宋体" w:hAnsi="宋体" w:eastAsia="宋体" w:cs="宋体"/>
          <w:color w:val="444444"/>
          <w:kern w:val="0"/>
          <w:sz w:val="28"/>
          <w:szCs w:val="28"/>
          <w:shd w:val="clear" w:color="050000" w:fill="FFFFFF"/>
        </w:rPr>
        <w:t>资金6.51万元</w:t>
      </w:r>
      <w:r>
        <w:rPr>
          <w:rFonts w:hint="eastAsia" w:ascii="宋体" w:hAnsi="宋体" w:cs="宋体"/>
          <w:color w:val="444444"/>
          <w:kern w:val="0"/>
          <w:sz w:val="28"/>
          <w:szCs w:val="28"/>
          <w:shd w:val="clear" w:color="050000" w:fill="FFFFFF"/>
          <w:lang w:eastAsia="zh-CN"/>
        </w:rPr>
        <w:t>。</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right="0" w:firstLine="560" w:firstLineChars="20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3、基金安全监管工作。坚持贯彻执行省、市、区各级人社部门社会保险基金监管工作精神，对失业保险基金管理工作进行自查，并接受</w:t>
      </w:r>
      <w:r>
        <w:rPr>
          <w:rFonts w:hint="eastAsia" w:ascii="宋体" w:hAnsi="宋体" w:cs="宋体"/>
          <w:color w:val="444444"/>
          <w:kern w:val="0"/>
          <w:sz w:val="28"/>
          <w:szCs w:val="28"/>
          <w:shd w:val="clear" w:color="050000" w:fill="FFFFFF"/>
          <w:lang w:eastAsia="zh-CN"/>
        </w:rPr>
        <w:t>了</w:t>
      </w:r>
      <w:r>
        <w:rPr>
          <w:rFonts w:hint="eastAsia" w:ascii="宋体" w:hAnsi="宋体" w:eastAsia="宋体" w:cs="宋体"/>
          <w:color w:val="444444"/>
          <w:kern w:val="0"/>
          <w:sz w:val="28"/>
          <w:szCs w:val="28"/>
          <w:shd w:val="clear" w:color="050000" w:fill="FFFFFF"/>
        </w:rPr>
        <w:t>基金交叉检查，</w:t>
      </w:r>
      <w:r>
        <w:rPr>
          <w:rFonts w:hint="eastAsia" w:ascii="宋体" w:hAnsi="宋体" w:cs="宋体"/>
          <w:color w:val="444444"/>
          <w:kern w:val="0"/>
          <w:sz w:val="28"/>
          <w:szCs w:val="28"/>
          <w:shd w:val="clear" w:color="050000" w:fill="FFFFFF"/>
          <w:lang w:eastAsia="zh-CN"/>
        </w:rPr>
        <w:t>上级</w:t>
      </w:r>
      <w:r>
        <w:rPr>
          <w:rFonts w:hint="eastAsia" w:ascii="宋体" w:hAnsi="宋体" w:eastAsia="宋体" w:cs="宋体"/>
          <w:color w:val="444444"/>
          <w:kern w:val="0"/>
          <w:sz w:val="28"/>
          <w:szCs w:val="28"/>
          <w:shd w:val="clear" w:color="050000" w:fill="FFFFFF"/>
        </w:rPr>
        <w:t>督导组督查。根据各次检查反馈情况，完善</w:t>
      </w:r>
      <w:r>
        <w:rPr>
          <w:rFonts w:hint="eastAsia" w:ascii="宋体" w:hAnsi="宋体" w:cs="宋体"/>
          <w:color w:val="444444"/>
          <w:kern w:val="0"/>
          <w:sz w:val="28"/>
          <w:szCs w:val="28"/>
          <w:shd w:val="clear" w:color="050000" w:fill="FFFFFF"/>
          <w:lang w:eastAsia="zh-CN"/>
        </w:rPr>
        <w:t>了内部管理及基金内控等各项</w:t>
      </w:r>
      <w:r>
        <w:rPr>
          <w:rFonts w:hint="eastAsia" w:ascii="宋体" w:hAnsi="宋体" w:eastAsia="宋体" w:cs="宋体"/>
          <w:color w:val="444444"/>
          <w:kern w:val="0"/>
          <w:sz w:val="28"/>
          <w:szCs w:val="28"/>
          <w:shd w:val="clear" w:color="050000" w:fill="FFFFFF"/>
        </w:rPr>
        <w:t>制度。同时依据省级下发的基金预警数据</w:t>
      </w:r>
      <w:r>
        <w:rPr>
          <w:rFonts w:hint="eastAsia" w:ascii="宋体" w:hAnsi="宋体" w:cs="宋体"/>
          <w:color w:val="444444"/>
          <w:kern w:val="0"/>
          <w:sz w:val="28"/>
          <w:szCs w:val="28"/>
          <w:shd w:val="clear" w:color="050000" w:fill="FFFFFF"/>
          <w:lang w:eastAsia="zh-CN"/>
        </w:rPr>
        <w:t>及部门之间数据比对，</w:t>
      </w:r>
      <w:r>
        <w:rPr>
          <w:rFonts w:hint="eastAsia" w:ascii="宋体" w:hAnsi="宋体" w:eastAsia="宋体" w:cs="宋体"/>
          <w:color w:val="444444"/>
          <w:kern w:val="0"/>
          <w:sz w:val="28"/>
          <w:szCs w:val="28"/>
          <w:shd w:val="clear" w:color="050000" w:fill="FFFFFF"/>
        </w:rPr>
        <w:t>追回</w:t>
      </w:r>
      <w:r>
        <w:rPr>
          <w:rFonts w:hint="eastAsia" w:ascii="宋体" w:hAnsi="宋体" w:cs="宋体"/>
          <w:color w:val="444444"/>
          <w:kern w:val="0"/>
          <w:sz w:val="28"/>
          <w:szCs w:val="28"/>
          <w:shd w:val="clear" w:color="050000" w:fill="FFFFFF"/>
          <w:lang w:eastAsia="zh-CN"/>
        </w:rPr>
        <w:t>失业保险金</w:t>
      </w:r>
      <w:r>
        <w:rPr>
          <w:rFonts w:hint="eastAsia" w:ascii="宋体" w:hAnsi="宋体" w:cs="宋体"/>
          <w:color w:val="444444"/>
          <w:kern w:val="0"/>
          <w:sz w:val="28"/>
          <w:szCs w:val="28"/>
          <w:shd w:val="clear" w:color="050000" w:fill="FFFFFF"/>
          <w:lang w:val="en-US" w:eastAsia="zh-CN"/>
        </w:rPr>
        <w:t>4.76</w:t>
      </w:r>
      <w:r>
        <w:rPr>
          <w:rFonts w:hint="eastAsia" w:ascii="宋体" w:hAnsi="宋体" w:eastAsia="宋体" w:cs="宋体"/>
          <w:color w:val="444444"/>
          <w:kern w:val="0"/>
          <w:sz w:val="28"/>
          <w:szCs w:val="28"/>
          <w:shd w:val="clear" w:color="050000" w:fill="FFFFFF"/>
        </w:rPr>
        <w:t>万元</w:t>
      </w:r>
      <w:r>
        <w:rPr>
          <w:rFonts w:hint="eastAsia" w:ascii="宋体" w:hAnsi="宋体" w:cs="宋体"/>
          <w:color w:val="444444"/>
          <w:kern w:val="0"/>
          <w:sz w:val="28"/>
          <w:szCs w:val="28"/>
          <w:shd w:val="clear" w:color="050000" w:fill="FFFFFF"/>
          <w:lang w:eastAsia="zh-CN"/>
        </w:rPr>
        <w:t>。</w:t>
      </w:r>
      <w:r>
        <w:rPr>
          <w:rFonts w:hint="eastAsia" w:ascii="宋体" w:hAnsi="宋体" w:eastAsia="宋体" w:cs="宋体"/>
          <w:color w:val="444444"/>
          <w:kern w:val="0"/>
          <w:sz w:val="28"/>
          <w:szCs w:val="28"/>
          <w:shd w:val="clear" w:color="050000" w:fill="FFFFFF"/>
        </w:rPr>
        <w:t>通过以上途径，确保了基金安全。</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right="0" w:firstLine="560" w:firstLineChars="200"/>
        <w:jc w:val="left"/>
        <w:rPr>
          <w:rFonts w:hint="eastAsia" w:ascii="宋体" w:hAnsi="宋体" w:eastAsia="宋体" w:cs="宋体"/>
          <w:sz w:val="28"/>
          <w:szCs w:val="28"/>
        </w:rPr>
      </w:pPr>
      <w:r>
        <w:rPr>
          <w:rFonts w:hint="eastAsia" w:ascii="宋体" w:hAnsi="宋体" w:eastAsia="宋体" w:cs="宋体"/>
          <w:color w:val="444444"/>
          <w:kern w:val="0"/>
          <w:sz w:val="28"/>
          <w:szCs w:val="28"/>
          <w:shd w:val="clear" w:color="050000" w:fill="FFFFFF"/>
        </w:rPr>
        <w:t>五、综合评价情况及评价结论</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sz w:val="28"/>
          <w:szCs w:val="28"/>
        </w:rPr>
      </w:pPr>
      <w:r>
        <w:rPr>
          <w:rFonts w:hint="eastAsia" w:ascii="宋体" w:hAnsi="宋体" w:eastAsia="宋体" w:cs="宋体"/>
          <w:color w:val="444444"/>
          <w:kern w:val="0"/>
          <w:sz w:val="28"/>
          <w:szCs w:val="28"/>
          <w:shd w:val="clear" w:color="050000" w:fill="FFFFFF"/>
        </w:rPr>
        <w:t>2021年我</w:t>
      </w:r>
      <w:r>
        <w:rPr>
          <w:rFonts w:hint="eastAsia" w:ascii="宋体" w:hAnsi="宋体" w:cs="宋体"/>
          <w:color w:val="444444"/>
          <w:kern w:val="0"/>
          <w:sz w:val="28"/>
          <w:szCs w:val="28"/>
          <w:shd w:val="clear" w:color="050000" w:fill="FFFFFF"/>
          <w:lang w:eastAsia="zh-CN"/>
        </w:rPr>
        <w:t>单位</w:t>
      </w:r>
      <w:r>
        <w:rPr>
          <w:rFonts w:hint="eastAsia" w:ascii="宋体" w:hAnsi="宋体" w:eastAsia="宋体" w:cs="宋体"/>
          <w:color w:val="444444"/>
          <w:kern w:val="0"/>
          <w:sz w:val="28"/>
          <w:szCs w:val="28"/>
          <w:shd w:val="clear" w:color="050000" w:fill="FFFFFF"/>
        </w:rPr>
        <w:t>经费开支严格按预算执行，管理制度健全，会计基础规范，资金使用符合国家财经法规和财务管理制度规定。严格实行收支两条线，无截留、挤占、挪用、虚列支出、随意借用、大额现金支付等情况，重大财务事项经由集体研究决策。按要求执行政府采购，严控支出，开源节流，一般性支出和“三公经费”均按要求压减，预决算信息公开及时完善。资产管理安全，固定资产利用率、重点工作完成率等均达到或超过年初计划数，取得了较好的社会效益。根据《部门整体支出绩效评价指标评分表》评分体系，我</w:t>
      </w:r>
      <w:r>
        <w:rPr>
          <w:rFonts w:hint="eastAsia" w:ascii="宋体" w:hAnsi="宋体" w:cs="宋体"/>
          <w:color w:val="444444"/>
          <w:kern w:val="0"/>
          <w:sz w:val="28"/>
          <w:szCs w:val="28"/>
          <w:shd w:val="clear" w:color="050000" w:fill="FFFFFF"/>
          <w:lang w:eastAsia="zh-CN"/>
        </w:rPr>
        <w:t>单位</w:t>
      </w:r>
      <w:r>
        <w:rPr>
          <w:rFonts w:hint="eastAsia" w:ascii="宋体" w:hAnsi="宋体" w:eastAsia="宋体" w:cs="宋体"/>
          <w:color w:val="444444"/>
          <w:kern w:val="0"/>
          <w:sz w:val="28"/>
          <w:szCs w:val="28"/>
          <w:shd w:val="clear" w:color="050000" w:fill="FFFFFF"/>
        </w:rPr>
        <w:t>整体支出绩效自评</w:t>
      </w:r>
      <w:r>
        <w:rPr>
          <w:rFonts w:hint="eastAsia" w:ascii="宋体" w:hAnsi="宋体" w:cs="宋体"/>
          <w:color w:val="444444"/>
          <w:kern w:val="0"/>
          <w:sz w:val="28"/>
          <w:szCs w:val="28"/>
          <w:shd w:val="clear" w:color="050000" w:fill="FFFFFF"/>
          <w:lang w:val="en-US" w:eastAsia="zh-CN"/>
        </w:rPr>
        <w:t>90</w:t>
      </w:r>
      <w:r>
        <w:rPr>
          <w:rFonts w:hint="eastAsia" w:ascii="宋体" w:hAnsi="宋体" w:eastAsia="宋体" w:cs="宋体"/>
          <w:color w:val="444444"/>
          <w:kern w:val="0"/>
          <w:sz w:val="28"/>
          <w:szCs w:val="28"/>
          <w:shd w:val="clear" w:color="050000" w:fill="FFFFFF"/>
        </w:rPr>
        <w:t>分，自评</w:t>
      </w:r>
      <w:r>
        <w:rPr>
          <w:rFonts w:hint="eastAsia" w:ascii="宋体" w:hAnsi="宋体" w:eastAsia="宋体" w:cs="宋体"/>
          <w:color w:val="444444"/>
          <w:kern w:val="0"/>
          <w:sz w:val="28"/>
          <w:szCs w:val="28"/>
          <w:shd w:val="clear" w:color="050000" w:fill="FFFFFF"/>
          <w:lang w:eastAsia="zh-CN"/>
        </w:rPr>
        <w:t>结果为</w:t>
      </w:r>
      <w:r>
        <w:rPr>
          <w:rFonts w:hint="eastAsia" w:ascii="宋体" w:hAnsi="宋体" w:eastAsia="宋体" w:cs="宋体"/>
          <w:color w:val="444444"/>
          <w:kern w:val="0"/>
          <w:sz w:val="28"/>
          <w:szCs w:val="28"/>
          <w:shd w:val="clear" w:color="050000" w:fill="FFFFFF"/>
          <w:lang w:val="en-US" w:eastAsia="zh-CN"/>
        </w:rPr>
        <w:t>良好</w:t>
      </w:r>
      <w:r>
        <w:rPr>
          <w:rFonts w:hint="eastAsia" w:ascii="宋体" w:hAnsi="宋体" w:eastAsia="宋体" w:cs="宋体"/>
          <w:color w:val="444444"/>
          <w:kern w:val="0"/>
          <w:sz w:val="28"/>
          <w:szCs w:val="28"/>
          <w:shd w:val="clear" w:color="050000" w:fill="FFFFFF"/>
        </w:rPr>
        <w:t>。</w:t>
      </w:r>
    </w:p>
    <w:p>
      <w:pPr>
        <w:pStyle w:val="4"/>
        <w:widowControl/>
        <w:numPr>
          <w:ilvl w:val="0"/>
          <w:numId w:val="5"/>
        </w:numPr>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存在的问题及原因分析</w:t>
      </w:r>
    </w:p>
    <w:p>
      <w:pPr>
        <w:pStyle w:val="4"/>
        <w:widowControl/>
        <w:numPr>
          <w:ilvl w:val="0"/>
          <w:numId w:val="0"/>
        </w:numPr>
        <w:pBdr>
          <w:top w:val="none" w:color="auto" w:sz="0" w:space="0"/>
          <w:left w:val="none" w:color="auto" w:sz="0" w:space="0"/>
          <w:bottom w:val="none" w:color="auto" w:sz="0" w:space="0"/>
          <w:right w:val="none" w:color="auto" w:sz="0" w:space="0"/>
        </w:pBdr>
        <w:spacing w:before="0" w:beforeAutospacing="0" w:after="300" w:afterAutospacing="0" w:line="600" w:lineRule="atLeast"/>
        <w:ind w:right="0" w:firstLine="560" w:firstLineChars="20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一是部门预算编制不够严谨，年中追加比例过大。二是预算执行存在偏差。从预算收支情况看，年初预算与部门决算仍存在偏差，在预算执行过程中，部分预算资金支付滞后，预算下达需更加及时。</w:t>
      </w:r>
    </w:p>
    <w:p>
      <w:pPr>
        <w:pStyle w:val="4"/>
        <w:widowControl/>
        <w:numPr>
          <w:ilvl w:val="0"/>
          <w:numId w:val="5"/>
        </w:numPr>
        <w:pBdr>
          <w:top w:val="none" w:color="auto" w:sz="0" w:space="0"/>
          <w:left w:val="none" w:color="auto" w:sz="0" w:space="0"/>
          <w:bottom w:val="none" w:color="auto" w:sz="0" w:space="0"/>
          <w:right w:val="none" w:color="auto" w:sz="0" w:space="0"/>
        </w:pBdr>
        <w:spacing w:before="0" w:beforeAutospacing="0" w:after="300" w:afterAutospacing="0" w:line="600" w:lineRule="atLeast"/>
        <w:ind w:left="0" w:leftChars="0" w:right="0" w:firstLine="0" w:firstLineChars="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下一步改进措施</w:t>
      </w:r>
    </w:p>
    <w:p>
      <w:pPr>
        <w:pStyle w:val="4"/>
        <w:widowControl/>
        <w:numPr>
          <w:ilvl w:val="0"/>
          <w:numId w:val="0"/>
        </w:numPr>
        <w:pBdr>
          <w:top w:val="none" w:color="auto" w:sz="0" w:space="0"/>
          <w:left w:val="none" w:color="auto" w:sz="0" w:space="0"/>
          <w:bottom w:val="none" w:color="auto" w:sz="0" w:space="0"/>
          <w:right w:val="none" w:color="auto" w:sz="0" w:space="0"/>
        </w:pBdr>
        <w:spacing w:before="0" w:beforeAutospacing="0" w:after="300" w:afterAutospacing="0" w:line="600" w:lineRule="atLeast"/>
        <w:ind w:right="0"/>
        <w:jc w:val="left"/>
        <w:rPr>
          <w:rFonts w:hint="eastAsia" w:ascii="宋体" w:hAnsi="宋体" w:eastAsia="宋体" w:cs="宋体"/>
          <w:color w:val="444444"/>
          <w:kern w:val="0"/>
          <w:sz w:val="28"/>
          <w:szCs w:val="28"/>
          <w:shd w:val="clear" w:color="050000" w:fill="FFFFFF"/>
        </w:rPr>
      </w:pPr>
      <w:bookmarkStart w:id="0" w:name="RANGE!A1:H22"/>
      <w:r>
        <w:rPr>
          <w:rFonts w:hint="eastAsia" w:ascii="宋体" w:hAnsi="宋体" w:eastAsia="宋体" w:cs="宋体"/>
          <w:color w:val="444444"/>
          <w:kern w:val="0"/>
          <w:sz w:val="28"/>
          <w:szCs w:val="28"/>
          <w:shd w:val="clear" w:color="050000" w:fill="FFFFFF"/>
        </w:rPr>
        <w:t>　</w:t>
      </w:r>
      <w:r>
        <w:rPr>
          <w:rFonts w:hint="eastAsia" w:ascii="宋体" w:hAnsi="宋体" w:cs="宋体"/>
          <w:color w:val="444444"/>
          <w:kern w:val="0"/>
          <w:sz w:val="28"/>
          <w:szCs w:val="28"/>
          <w:shd w:val="clear" w:color="050000" w:fill="FFFFFF"/>
          <w:lang w:val="en-US" w:eastAsia="zh-CN"/>
        </w:rPr>
        <w:t xml:space="preserve">  </w:t>
      </w:r>
      <w:r>
        <w:rPr>
          <w:rFonts w:hint="eastAsia" w:ascii="宋体" w:hAnsi="宋体" w:eastAsia="宋体" w:cs="宋体"/>
          <w:color w:val="444444"/>
          <w:kern w:val="0"/>
          <w:sz w:val="28"/>
          <w:szCs w:val="28"/>
          <w:shd w:val="clear" w:color="050000" w:fill="FFFFFF"/>
        </w:rPr>
        <w:t>1、细化预算编制工作，认真做好年初预算编制。进一步加强单位预算管理意识，严格按照预算编制的相关要求进行编制。</w:t>
      </w:r>
    </w:p>
    <w:p>
      <w:pPr>
        <w:pStyle w:val="4"/>
        <w:widowControl/>
        <w:numPr>
          <w:ilvl w:val="0"/>
          <w:numId w:val="0"/>
        </w:numPr>
        <w:pBdr>
          <w:top w:val="none" w:color="auto" w:sz="0" w:space="0"/>
          <w:left w:val="none" w:color="auto" w:sz="0" w:space="0"/>
          <w:bottom w:val="none" w:color="auto" w:sz="0" w:space="0"/>
          <w:right w:val="none" w:color="auto" w:sz="0" w:space="0"/>
        </w:pBdr>
        <w:spacing w:before="0" w:beforeAutospacing="0" w:after="300" w:afterAutospacing="0" w:line="600" w:lineRule="atLeast"/>
        <w:ind w:right="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　　2、加强财务管理，严格财务审核。加强单位财务管理，健全单位财务管理制度体系，规范单位财务行为。在费用报销时，按照预算规定的项目和用途进行资金使用审核、支付及财务核算，预防超支现象的发生。</w:t>
      </w:r>
    </w:p>
    <w:p>
      <w:pPr>
        <w:pStyle w:val="4"/>
        <w:widowControl/>
        <w:numPr>
          <w:ilvl w:val="0"/>
          <w:numId w:val="0"/>
        </w:numPr>
        <w:pBdr>
          <w:top w:val="none" w:color="auto" w:sz="0" w:space="0"/>
          <w:left w:val="none" w:color="auto" w:sz="0" w:space="0"/>
          <w:bottom w:val="none" w:color="auto" w:sz="0" w:space="0"/>
          <w:right w:val="none" w:color="auto" w:sz="0" w:space="0"/>
        </w:pBdr>
        <w:spacing w:before="0" w:beforeAutospacing="0" w:after="300" w:afterAutospacing="0" w:line="600" w:lineRule="atLeast"/>
        <w:ind w:right="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　　3、加强对相关人员培训，特别是针对《预算法》、《政府会计制度》等方面学习培训，规范部门预算收支核算，切实提高部门预算收支管理水平。</w:t>
      </w:r>
    </w:p>
    <w:p>
      <w:pPr>
        <w:spacing w:line="600" w:lineRule="exact"/>
        <w:rPr>
          <w:rFonts w:hint="eastAsia" w:ascii="宋体" w:hAnsi="宋体" w:eastAsia="宋体" w:cs="宋体"/>
          <w:kern w:val="0"/>
          <w:sz w:val="28"/>
          <w:szCs w:val="28"/>
        </w:rPr>
      </w:pPr>
    </w:p>
    <w:p>
      <w:pPr>
        <w:spacing w:line="600" w:lineRule="exact"/>
        <w:rPr>
          <w:rFonts w:hint="eastAsia" w:ascii="宋体" w:hAnsi="宋体" w:eastAsia="宋体" w:cs="宋体"/>
          <w:kern w:val="0"/>
          <w:sz w:val="28"/>
          <w:szCs w:val="28"/>
        </w:rPr>
      </w:pPr>
    </w:p>
    <w:p>
      <w:pPr>
        <w:spacing w:line="600" w:lineRule="exact"/>
        <w:rPr>
          <w:rFonts w:hint="eastAsia" w:ascii="黑体" w:hAnsi="宋体" w:eastAsia="黑体" w:cs="宋体"/>
          <w:kern w:val="0"/>
          <w:sz w:val="32"/>
          <w:szCs w:val="32"/>
        </w:rPr>
      </w:pPr>
    </w:p>
    <w:p>
      <w:pPr>
        <w:spacing w:line="600" w:lineRule="exact"/>
        <w:rPr>
          <w:rFonts w:hint="eastAsia" w:ascii="黑体" w:hAnsi="宋体" w:eastAsia="黑体" w:cs="宋体"/>
          <w:kern w:val="0"/>
          <w:sz w:val="32"/>
          <w:szCs w:val="32"/>
        </w:rPr>
      </w:pPr>
    </w:p>
    <w:p>
      <w:pPr>
        <w:spacing w:line="600" w:lineRule="exact"/>
        <w:rPr>
          <w:rFonts w:hint="eastAsia" w:ascii="黑体" w:hAnsi="宋体" w:eastAsia="黑体" w:cs="宋体"/>
          <w:kern w:val="0"/>
          <w:sz w:val="32"/>
          <w:szCs w:val="32"/>
        </w:rPr>
      </w:pPr>
    </w:p>
    <w:p>
      <w:pPr>
        <w:spacing w:line="600" w:lineRule="exact"/>
        <w:rPr>
          <w:rFonts w:hint="eastAsia" w:ascii="黑体" w:hAnsi="宋体" w:eastAsia="黑体" w:cs="宋体"/>
          <w:kern w:val="0"/>
          <w:sz w:val="32"/>
          <w:szCs w:val="32"/>
        </w:rPr>
      </w:pPr>
    </w:p>
    <w:p>
      <w:pPr>
        <w:spacing w:line="600" w:lineRule="exact"/>
        <w:rPr>
          <w:rFonts w:hint="eastAsia" w:ascii="黑体" w:hAnsi="宋体" w:eastAsia="黑体" w:cs="宋体"/>
          <w:kern w:val="0"/>
          <w:sz w:val="32"/>
          <w:szCs w:val="32"/>
        </w:rPr>
      </w:pPr>
    </w:p>
    <w:p>
      <w:pPr>
        <w:spacing w:line="600" w:lineRule="exact"/>
        <w:rPr>
          <w:rFonts w:ascii="宋体" w:hAnsi="宋体" w:cs="宋体"/>
          <w:kern w:val="0"/>
          <w:sz w:val="32"/>
          <w:szCs w:val="32"/>
        </w:rPr>
      </w:pPr>
      <w:r>
        <w:rPr>
          <w:rFonts w:hint="eastAsia" w:ascii="黑体" w:hAnsi="宋体" w:eastAsia="黑体" w:cs="宋体"/>
          <w:kern w:val="0"/>
          <w:sz w:val="32"/>
          <w:szCs w:val="32"/>
        </w:rPr>
        <w:t>附件</w:t>
      </w:r>
      <w:bookmarkEnd w:id="0"/>
      <w:r>
        <w:rPr>
          <w:rFonts w:hint="eastAsia" w:ascii="黑体" w:hAnsi="宋体" w:eastAsia="黑体" w:cs="宋体"/>
          <w:kern w:val="0"/>
          <w:sz w:val="32"/>
          <w:szCs w:val="32"/>
        </w:rPr>
        <w:t>1</w:t>
      </w:r>
      <w:r>
        <w:rPr>
          <w:rFonts w:ascii="黑体" w:hAnsi="宋体" w:eastAsia="黑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p>
    <w:p>
      <w:pPr>
        <w:widowControl/>
        <w:ind w:left="93"/>
        <w:jc w:val="center"/>
        <w:rPr>
          <w:rFonts w:hint="eastAsia" w:ascii="宋体" w:hAnsi="宋体" w:cs="宋体"/>
          <w:bCs/>
          <w:kern w:val="0"/>
          <w:sz w:val="32"/>
          <w:szCs w:val="32"/>
        </w:rPr>
      </w:pPr>
      <w:r>
        <w:rPr>
          <w:rFonts w:hint="eastAsia" w:ascii="宋体" w:hAnsi="宋体" w:cs="宋体"/>
          <w:bCs/>
          <w:kern w:val="0"/>
          <w:sz w:val="32"/>
          <w:szCs w:val="32"/>
        </w:rPr>
        <w:t>部门整体支出绩效评价指标评分表</w:t>
      </w:r>
    </w:p>
    <w:tbl>
      <w:tblPr>
        <w:tblStyle w:val="5"/>
        <w:tblW w:w="100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429"/>
        <w:gridCol w:w="567"/>
        <w:gridCol w:w="851"/>
        <w:gridCol w:w="567"/>
        <w:gridCol w:w="3118"/>
        <w:gridCol w:w="3472"/>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blHeader/>
          <w:jc w:val="center"/>
        </w:trPr>
        <w:tc>
          <w:tcPr>
            <w:tcW w:w="411" w:type="dxa"/>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一级指标</w:t>
            </w:r>
          </w:p>
        </w:tc>
        <w:tc>
          <w:tcPr>
            <w:tcW w:w="429" w:type="dxa"/>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二级指标</w:t>
            </w:r>
          </w:p>
        </w:tc>
        <w:tc>
          <w:tcPr>
            <w:tcW w:w="567" w:type="dxa"/>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851" w:type="dxa"/>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三级   指标</w:t>
            </w:r>
          </w:p>
        </w:tc>
        <w:tc>
          <w:tcPr>
            <w:tcW w:w="567" w:type="dxa"/>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3118" w:type="dxa"/>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评价标准</w:t>
            </w:r>
          </w:p>
        </w:tc>
        <w:tc>
          <w:tcPr>
            <w:tcW w:w="3472" w:type="dxa"/>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备注</w:t>
            </w:r>
          </w:p>
        </w:tc>
        <w:tc>
          <w:tcPr>
            <w:tcW w:w="617" w:type="dxa"/>
            <w:vAlign w:val="center"/>
          </w:tcPr>
          <w:p>
            <w:pPr>
              <w:widowControl/>
              <w:jc w:val="center"/>
              <w:rPr>
                <w:rFonts w:hint="eastAsia" w:ascii="宋体" w:hAnsi="宋体" w:eastAsia="宋体" w:cs="宋体"/>
                <w:b/>
                <w:bCs/>
                <w:kern w:val="0"/>
                <w:sz w:val="24"/>
                <w:szCs w:val="24"/>
              </w:rPr>
            </w:pPr>
            <w:r>
              <w:rPr>
                <w:rFonts w:hint="eastAsia" w:ascii="宋体" w:hAnsi="宋体" w:cs="宋体"/>
                <w:b/>
                <w:bCs/>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411" w:type="dxa"/>
            <w:vMerge w:val="restart"/>
            <w:textDirection w:val="tbRlV"/>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投    入</w:t>
            </w:r>
          </w:p>
        </w:tc>
        <w:tc>
          <w:tcPr>
            <w:tcW w:w="429" w:type="dxa"/>
            <w:vMerge w:val="restart"/>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预算配置</w:t>
            </w:r>
          </w:p>
        </w:tc>
        <w:tc>
          <w:tcPr>
            <w:tcW w:w="567" w:type="dxa"/>
            <w:vMerge w:val="restart"/>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851" w:type="dxa"/>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0,计3分；“三公经费”＞0，每超过一个百分点扣0.3分，扣完为止。</w:t>
            </w:r>
          </w:p>
        </w:tc>
        <w:tc>
          <w:tcPr>
            <w:tcW w:w="3472" w:type="dxa"/>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“三公经费”变动率=[（本年度“三公经费”总额-上年度“三公经费”总额）/上年度“三公经费”总额]×100%。</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“三公经费”：指政府部门人员因公出国（境）经费、公务车购置及运行费、公务招待费产生的消费。</w:t>
            </w:r>
          </w:p>
        </w:tc>
        <w:tc>
          <w:tcPr>
            <w:tcW w:w="617" w:type="dxa"/>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411" w:type="dxa"/>
            <w:vMerge w:val="continue"/>
            <w:vAlign w:val="center"/>
          </w:tcPr>
          <w:p>
            <w:pPr>
              <w:widowControl/>
              <w:jc w:val="center"/>
              <w:rPr>
                <w:rFonts w:hint="eastAsia" w:ascii="仿宋_GB2312" w:hAnsi="宋体" w:eastAsia="仿宋_GB2312" w:cs="宋体"/>
                <w:kern w:val="0"/>
                <w:sz w:val="20"/>
                <w:szCs w:val="20"/>
              </w:rPr>
            </w:pPr>
          </w:p>
        </w:tc>
        <w:tc>
          <w:tcPr>
            <w:tcW w:w="429" w:type="dxa"/>
            <w:vMerge w:val="continue"/>
            <w:vAlign w:val="center"/>
          </w:tcPr>
          <w:p>
            <w:pPr>
              <w:widowControl/>
              <w:jc w:val="center"/>
              <w:rPr>
                <w:rFonts w:hint="eastAsia" w:ascii="仿宋_GB2312" w:hAnsi="宋体" w:eastAsia="仿宋_GB2312" w:cs="宋体"/>
                <w:kern w:val="0"/>
                <w:sz w:val="20"/>
                <w:szCs w:val="20"/>
              </w:rPr>
            </w:pPr>
          </w:p>
        </w:tc>
        <w:tc>
          <w:tcPr>
            <w:tcW w:w="567" w:type="dxa"/>
            <w:vMerge w:val="continue"/>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   管理</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①招待费用明确招待标准和招待人数,1分;②车辆维护、燃油使用政府定点，1分。③</w:t>
            </w:r>
            <w:r>
              <w:rPr>
                <w:rFonts w:hint="eastAsia" w:ascii="仿宋_GB2312" w:hAnsi="仿宋" w:eastAsia="仿宋_GB2312" w:cs="仿宋"/>
                <w:kern w:val="0"/>
                <w:sz w:val="20"/>
                <w:szCs w:val="20"/>
              </w:rPr>
              <w:t>制定“三公经费”管理办法，1分，每少一项扣1分，扣完为止。</w:t>
            </w:r>
          </w:p>
        </w:tc>
        <w:tc>
          <w:tcPr>
            <w:tcW w:w="3472" w:type="dxa"/>
            <w:vAlign w:val="center"/>
          </w:tcPr>
          <w:p>
            <w:pPr>
              <w:widowControl/>
              <w:jc w:val="left"/>
              <w:rPr>
                <w:rFonts w:hint="eastAsia" w:ascii="仿宋_GB2312" w:hAnsi="宋体" w:eastAsia="仿宋_GB2312" w:cs="宋体"/>
                <w:kern w:val="0"/>
                <w:sz w:val="20"/>
                <w:szCs w:val="20"/>
              </w:rPr>
            </w:pP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411" w:type="dxa"/>
            <w:vMerge w:val="continue"/>
            <w:vAlign w:val="center"/>
          </w:tcPr>
          <w:p>
            <w:pPr>
              <w:widowControl/>
              <w:jc w:val="center"/>
              <w:rPr>
                <w:rFonts w:hint="eastAsia" w:ascii="仿宋_GB2312" w:hAnsi="宋体" w:eastAsia="仿宋_GB2312" w:cs="宋体"/>
                <w:kern w:val="0"/>
                <w:sz w:val="20"/>
                <w:szCs w:val="20"/>
              </w:rPr>
            </w:pPr>
          </w:p>
        </w:tc>
        <w:tc>
          <w:tcPr>
            <w:tcW w:w="429" w:type="dxa"/>
            <w:vMerge w:val="continue"/>
            <w:vAlign w:val="center"/>
          </w:tcPr>
          <w:p>
            <w:pPr>
              <w:widowControl/>
              <w:jc w:val="center"/>
              <w:rPr>
                <w:rFonts w:hint="eastAsia" w:ascii="仿宋_GB2312" w:hAnsi="宋体" w:eastAsia="仿宋_GB2312" w:cs="宋体"/>
                <w:kern w:val="0"/>
                <w:sz w:val="20"/>
                <w:szCs w:val="20"/>
              </w:rPr>
            </w:pPr>
          </w:p>
        </w:tc>
        <w:tc>
          <w:tcPr>
            <w:tcW w:w="567" w:type="dxa"/>
            <w:vMerge w:val="continue"/>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招待费变动率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0,计2分；“公务招待费变动率”＞0，每超过一个百分点扣0.2分，扣完为止。</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公务招待费变动率=[（本年度“公务招待费”总额-上年度“公务招待费”总额）/上年度“公务招待费”总额]×100%。</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411" w:type="dxa"/>
            <w:vMerge w:val="continue"/>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lang w:eastAsia="zh-CN"/>
              </w:rPr>
              <w:t>2</w:t>
            </w:r>
          </w:p>
        </w:tc>
        <w:tc>
          <w:tcPr>
            <w:tcW w:w="429" w:type="dxa"/>
            <w:vMerge w:val="continue"/>
            <w:vAlign w:val="center"/>
          </w:tcPr>
          <w:p>
            <w:pPr>
              <w:widowControl/>
              <w:jc w:val="center"/>
              <w:rPr>
                <w:rFonts w:hint="eastAsia" w:ascii="仿宋_GB2312" w:hAnsi="宋体" w:eastAsia="仿宋_GB2312" w:cs="宋体"/>
                <w:kern w:val="0"/>
                <w:sz w:val="20"/>
                <w:szCs w:val="20"/>
              </w:rPr>
            </w:pPr>
          </w:p>
        </w:tc>
        <w:tc>
          <w:tcPr>
            <w:tcW w:w="567" w:type="dxa"/>
            <w:vMerge w:val="continue"/>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运行费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0,计2分；“公务用车购置运行费变动率”＞0，每超过一个百分点扣0.2分，扣完为止。</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公务用车购置运行费变动率=[（本年度“公务用车购置运行费”总额-上年度“公务用车购置运行费”总额）/上年度“公务用车购置运行费”总额]×100%。</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411" w:type="dxa"/>
            <w:vMerge w:val="continue"/>
            <w:vAlign w:val="center"/>
          </w:tcPr>
          <w:p>
            <w:pPr>
              <w:widowControl/>
              <w:jc w:val="center"/>
              <w:rPr>
                <w:rFonts w:hint="eastAsia" w:ascii="仿宋_GB2312" w:hAnsi="宋体" w:eastAsia="仿宋_GB2312" w:cs="宋体"/>
                <w:kern w:val="0"/>
                <w:sz w:val="20"/>
                <w:szCs w:val="20"/>
              </w:rPr>
            </w:pPr>
          </w:p>
        </w:tc>
        <w:tc>
          <w:tcPr>
            <w:tcW w:w="429" w:type="dxa"/>
            <w:vMerge w:val="continue"/>
            <w:vAlign w:val="center"/>
          </w:tcPr>
          <w:p>
            <w:pPr>
              <w:widowControl/>
              <w:jc w:val="center"/>
              <w:rPr>
                <w:rFonts w:hint="eastAsia" w:ascii="仿宋_GB2312" w:hAnsi="宋体" w:eastAsia="仿宋_GB2312" w:cs="宋体"/>
                <w:kern w:val="0"/>
                <w:sz w:val="20"/>
                <w:szCs w:val="20"/>
              </w:rPr>
            </w:pPr>
          </w:p>
        </w:tc>
        <w:tc>
          <w:tcPr>
            <w:tcW w:w="567" w:type="dxa"/>
            <w:vMerge w:val="continue"/>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 和服务支出 变动率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0,计2分；“商品和服务支出”变动率＞0，每超过一个百分点扣0.2分，扣完为止。</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“商品和服务支出”变动率=[（本年度“商品和服务支出”总额-上年度“商品和服务支出”总额）/上年度“商品和服务支出”总额]×100%。</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411" w:type="dxa"/>
            <w:vMerge w:val="continue"/>
            <w:vAlign w:val="center"/>
          </w:tcPr>
          <w:p>
            <w:pPr>
              <w:widowControl/>
              <w:jc w:val="center"/>
              <w:rPr>
                <w:rFonts w:hint="eastAsia" w:ascii="仿宋_GB2312" w:hAnsi="宋体" w:eastAsia="仿宋_GB2312" w:cs="宋体"/>
                <w:kern w:val="0"/>
                <w:sz w:val="20"/>
                <w:szCs w:val="20"/>
              </w:rPr>
            </w:pPr>
          </w:p>
        </w:tc>
        <w:tc>
          <w:tcPr>
            <w:tcW w:w="429" w:type="dxa"/>
            <w:vMerge w:val="continue"/>
            <w:vAlign w:val="center"/>
          </w:tcPr>
          <w:p>
            <w:pPr>
              <w:widowControl/>
              <w:jc w:val="center"/>
              <w:rPr>
                <w:rFonts w:hint="eastAsia" w:ascii="仿宋_GB2312" w:hAnsi="宋体" w:eastAsia="仿宋_GB2312" w:cs="宋体"/>
                <w:kern w:val="0"/>
                <w:sz w:val="20"/>
                <w:szCs w:val="20"/>
              </w:rPr>
            </w:pPr>
          </w:p>
        </w:tc>
        <w:tc>
          <w:tcPr>
            <w:tcW w:w="567" w:type="dxa"/>
            <w:vMerge w:val="continue"/>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支出  安排率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重点支出安排率≥90%，计2分；80%（含）-90%，计1分；70%（含）-80%，计0.5分；低于70%不得分。</w:t>
            </w:r>
          </w:p>
        </w:tc>
        <w:tc>
          <w:tcPr>
            <w:tcW w:w="3472" w:type="dxa"/>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重点支出安排率=（重点项目支出/项目总支出）×100%</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重点项目支出：市政府确定的为民办实事和部门重点工程与重点工作支出。项目总支出：部门（单位）年度预算安排的项目支出总额。</w:t>
            </w:r>
          </w:p>
        </w:tc>
        <w:tc>
          <w:tcPr>
            <w:tcW w:w="617" w:type="dxa"/>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411" w:type="dxa"/>
            <w:vMerge w:val="continue"/>
            <w:vAlign w:val="center"/>
          </w:tcPr>
          <w:p>
            <w:pPr>
              <w:widowControl/>
              <w:jc w:val="center"/>
              <w:rPr>
                <w:rFonts w:hint="eastAsia" w:ascii="仿宋_GB2312" w:hAnsi="宋体" w:eastAsia="仿宋_GB2312" w:cs="宋体"/>
                <w:kern w:val="0"/>
                <w:sz w:val="20"/>
                <w:szCs w:val="20"/>
              </w:rPr>
            </w:pPr>
          </w:p>
        </w:tc>
        <w:tc>
          <w:tcPr>
            <w:tcW w:w="429" w:type="dxa"/>
            <w:vMerge w:val="continue"/>
            <w:vAlign w:val="center"/>
          </w:tcPr>
          <w:p>
            <w:pPr>
              <w:widowControl/>
              <w:jc w:val="center"/>
              <w:rPr>
                <w:rFonts w:hint="eastAsia" w:ascii="仿宋_GB2312" w:hAnsi="宋体" w:eastAsia="仿宋_GB2312" w:cs="宋体"/>
                <w:kern w:val="0"/>
                <w:sz w:val="20"/>
                <w:szCs w:val="20"/>
              </w:rPr>
            </w:pPr>
          </w:p>
        </w:tc>
        <w:tc>
          <w:tcPr>
            <w:tcW w:w="567" w:type="dxa"/>
            <w:vMerge w:val="continue"/>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管理</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①实行收支两条线，1分；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②未发生截留、坐支或转移，1分。以上每发现一次违规现象扣1分，扣完为止。</w:t>
            </w:r>
          </w:p>
        </w:tc>
        <w:tc>
          <w:tcPr>
            <w:tcW w:w="3472" w:type="dxa"/>
            <w:vAlign w:val="center"/>
          </w:tcPr>
          <w:p>
            <w:pPr>
              <w:widowControl/>
              <w:jc w:val="left"/>
              <w:rPr>
                <w:rFonts w:hint="eastAsia" w:ascii="仿宋_GB2312" w:hAnsi="宋体" w:eastAsia="仿宋_GB2312" w:cs="宋体"/>
                <w:kern w:val="0"/>
                <w:sz w:val="20"/>
                <w:szCs w:val="20"/>
              </w:rPr>
            </w:pP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411" w:type="dxa"/>
            <w:vMerge w:val="continue"/>
            <w:vAlign w:val="center"/>
          </w:tcPr>
          <w:p>
            <w:pPr>
              <w:widowControl/>
              <w:jc w:val="center"/>
              <w:rPr>
                <w:rFonts w:hint="eastAsia" w:ascii="仿宋_GB2312" w:hAnsi="宋体" w:eastAsia="仿宋_GB2312" w:cs="宋体"/>
                <w:kern w:val="0"/>
                <w:sz w:val="20"/>
                <w:szCs w:val="20"/>
              </w:rPr>
            </w:pPr>
          </w:p>
        </w:tc>
        <w:tc>
          <w:tcPr>
            <w:tcW w:w="429" w:type="dxa"/>
            <w:vMerge w:val="continue"/>
            <w:vAlign w:val="center"/>
          </w:tcPr>
          <w:p>
            <w:pPr>
              <w:widowControl/>
              <w:jc w:val="center"/>
              <w:rPr>
                <w:rFonts w:hint="eastAsia" w:ascii="仿宋_GB2312" w:hAnsi="宋体" w:eastAsia="仿宋_GB2312" w:cs="宋体"/>
                <w:kern w:val="0"/>
                <w:sz w:val="20"/>
                <w:szCs w:val="20"/>
              </w:rPr>
            </w:pPr>
          </w:p>
        </w:tc>
        <w:tc>
          <w:tcPr>
            <w:tcW w:w="567" w:type="dxa"/>
            <w:vMerge w:val="continue"/>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完成率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非税收入完成率100%，2分，每少一个百分点，扣0.1分，扣完为止。</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年度非税实际收入完成数/</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年度非税收入预算数）×100%，有减免因素的，以非税局确定的为准。</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411" w:type="dxa"/>
            <w:vMerge w:val="restart"/>
            <w:textDirection w:val="tbRlV"/>
            <w:vAlign w:val="center"/>
          </w:tcPr>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p>
            <w:pPr>
              <w:widowControl/>
              <w:ind w:left="113" w:right="113"/>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29" w:type="dxa"/>
            <w:vMerge w:val="restart"/>
            <w:tcBorders>
              <w:right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预算执行</w:t>
            </w:r>
          </w:p>
        </w:tc>
        <w:tc>
          <w:tcPr>
            <w:tcW w:w="567" w:type="dxa"/>
            <w:vMerge w:val="restart"/>
            <w:tcBorders>
              <w:left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  完成率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完成率&lt;1，计2分，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完成率=1，计1分，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完成率&gt;1，不得分。</w:t>
            </w:r>
          </w:p>
          <w:p>
            <w:pPr>
              <w:widowControl/>
              <w:jc w:val="left"/>
              <w:rPr>
                <w:rFonts w:hint="eastAsia" w:ascii="仿宋_GB2312" w:hAnsi="宋体" w:eastAsia="仿宋_GB2312" w:cs="宋体"/>
                <w:kern w:val="0"/>
                <w:sz w:val="20"/>
                <w:szCs w:val="20"/>
                <w:highlight w:val="none"/>
              </w:rPr>
            </w:pPr>
          </w:p>
        </w:tc>
        <w:tc>
          <w:tcPr>
            <w:tcW w:w="3472" w:type="dxa"/>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预算完成率=（预算完成数/预算数）×100%。预算完成数：部门（单位）本年度实际完成的预算数；预算数：财政部门批复的本年度部门（单位）预算数。</w:t>
            </w:r>
          </w:p>
        </w:tc>
        <w:tc>
          <w:tcPr>
            <w:tcW w:w="617" w:type="dxa"/>
            <w:vAlign w:val="center"/>
          </w:tcPr>
          <w:p>
            <w:pPr>
              <w:widowControl/>
              <w:jc w:val="center"/>
              <w:rPr>
                <w:rFonts w:hint="default" w:ascii="宋体" w:hAnsi="宋体" w:eastAsia="宋体" w:cs="宋体"/>
                <w:kern w:val="0"/>
                <w:sz w:val="24"/>
                <w:szCs w:val="24"/>
                <w:highlight w:val="none"/>
                <w:lang w:val="en-US" w:eastAsia="zh-CN"/>
              </w:rPr>
            </w:pPr>
            <w:r>
              <w:rPr>
                <w:rFonts w:hint="eastAsia" w:ascii="宋体" w:hAnsi="宋体" w:cs="宋体"/>
                <w:kern w:val="0"/>
                <w:sz w:val="24"/>
                <w:szCs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411" w:type="dxa"/>
            <w:vMerge w:val="continue"/>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vAlign w:val="center"/>
          </w:tcPr>
          <w:p>
            <w:pPr>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资金  结余</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结余超过10%（不含），2分；结余在0-10%（含）的，1分；本年超支不得分。</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本项结余不含未完工项目资金的结转数。</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411" w:type="dxa"/>
            <w:vMerge w:val="continue"/>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vAlign w:val="center"/>
          </w:tcPr>
          <w:p>
            <w:pPr>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控制率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以100%为标准。三公经费控制率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100%，计2分；每超过一个百分点扣0.2分，扣完为止。单位没有制定“三公”经费预算，该项不得分。</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“三公经费”控制率=（“三公经费”实际支出数/“三公经费”预算安排数）×100%。</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411" w:type="dxa"/>
            <w:vMerge w:val="continue"/>
            <w:vAlign w:val="center"/>
          </w:tcPr>
          <w:p>
            <w:pPr>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采购</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①编</w:t>
            </w:r>
            <w:r>
              <w:rPr>
                <w:rFonts w:hint="eastAsia" w:ascii="仿宋_GB2312" w:hAnsi="宋体" w:eastAsia="仿宋_GB2312" w:cs="宋体"/>
                <w:kern w:val="0"/>
                <w:sz w:val="20"/>
                <w:szCs w:val="20"/>
              </w:rPr>
              <w:t>制政府采购年度预算并上报的，0.5分；②追加并编制政府采购预算的，0.5分；</w:t>
            </w:r>
            <w:r>
              <w:rPr>
                <w:rFonts w:hint="eastAsia" w:ascii="仿宋" w:hAnsi="仿宋" w:eastAsia="仿宋" w:cs="宋体"/>
                <w:kern w:val="0"/>
                <w:sz w:val="20"/>
                <w:szCs w:val="20"/>
              </w:rPr>
              <w:t>③</w:t>
            </w:r>
            <w:r>
              <w:rPr>
                <w:rFonts w:hint="eastAsia" w:ascii="仿宋_GB2312" w:hAnsi="宋体" w:eastAsia="仿宋_GB2312" w:cs="宋体"/>
                <w:kern w:val="0"/>
                <w:sz w:val="20"/>
                <w:szCs w:val="20"/>
              </w:rPr>
              <w:t>政府采购执行率=100%，计1分；每少一个百分点扣0.1分，扣完为止。</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政府采购执行率=（实际实行政府采购金额/应实行政府采购金额）×100%。应实行政府采金额以《湘财购[2012]27号》文件为标准。</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jc w:val="center"/>
        </w:trPr>
        <w:tc>
          <w:tcPr>
            <w:tcW w:w="411" w:type="dxa"/>
            <w:vMerge w:val="continue"/>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right w:val="single" w:color="auto" w:sz="4" w:space="0"/>
            </w:tcBorders>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567" w:type="dxa"/>
            <w:vMerge w:val="restart"/>
            <w:tcBorders>
              <w:top w:val="single" w:color="auto" w:sz="4" w:space="0"/>
              <w:left w:val="single" w:color="auto" w:sz="4" w:space="0"/>
            </w:tcBorders>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851" w:type="dxa"/>
            <w:tcBorders>
              <w:top w:val="single" w:color="auto" w:sz="4" w:space="0"/>
            </w:tcBorders>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tcBorders>
              <w:top w:val="single" w:color="auto" w:sz="4" w:space="0"/>
            </w:tcBorders>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w:t>
            </w:r>
          </w:p>
          <w:p>
            <w:pPr>
              <w:widowControl/>
              <w:jc w:val="both"/>
              <w:rPr>
                <w:rFonts w:hint="eastAsia" w:ascii="仿宋_GB2312" w:hAnsi="宋体" w:eastAsia="仿宋_GB2312" w:cs="宋体"/>
                <w:kern w:val="0"/>
                <w:sz w:val="20"/>
                <w:szCs w:val="20"/>
              </w:rPr>
            </w:pPr>
          </w:p>
        </w:tc>
        <w:tc>
          <w:tcPr>
            <w:tcW w:w="3118" w:type="dxa"/>
            <w:tcBorders>
              <w:top w:val="single" w:color="auto" w:sz="4" w:space="0"/>
            </w:tcBorders>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①已制定资金管理办法、内部财务管理制度、会计核算制度等管理制度，1分；</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②建立健全单位内部控制制度，1分；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③会计人员、机构按规定设置，1分；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④会计基础工作健全，1分；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⑤会计档案符合规定要求，1分；</w:t>
            </w:r>
          </w:p>
          <w:p>
            <w:pPr>
              <w:widowControl/>
              <w:jc w:val="left"/>
              <w:rPr>
                <w:rFonts w:hint="eastAsia" w:ascii="仿宋_GB2312" w:hAnsi="宋体" w:eastAsia="仿宋_GB2312" w:cs="宋体"/>
                <w:kern w:val="0"/>
                <w:sz w:val="20"/>
                <w:szCs w:val="20"/>
              </w:rPr>
            </w:pPr>
            <w:r>
              <w:rPr>
                <w:rFonts w:hint="eastAsia" w:ascii="仿宋_GB2312" w:hAnsi="仿宋" w:eastAsia="仿宋_GB2312" w:cs="仿宋"/>
                <w:kern w:val="0"/>
                <w:sz w:val="20"/>
                <w:szCs w:val="20"/>
              </w:rPr>
              <w:t>⑥项目管理规范（包括项目立项、申报、招投标、制度建立、按时完工等），1分，每发现少一项扣0.2分，扣完为止。</w:t>
            </w:r>
          </w:p>
        </w:tc>
        <w:tc>
          <w:tcPr>
            <w:tcW w:w="3472" w:type="dxa"/>
            <w:tcBorders>
              <w:top w:val="single" w:color="auto" w:sz="4" w:space="0"/>
            </w:tcBorders>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411" w:type="dxa"/>
            <w:vMerge w:val="continue"/>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right w:val="single" w:color="auto" w:sz="4" w:space="0"/>
            </w:tcBorders>
            <w:vAlign w:val="center"/>
          </w:tcPr>
          <w:p>
            <w:pPr>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tcBorders>
            <w:vAlign w:val="center"/>
          </w:tcPr>
          <w:p>
            <w:pPr>
              <w:jc w:val="center"/>
              <w:rPr>
                <w:rFonts w:hint="eastAsia" w:ascii="仿宋_GB2312" w:hAnsi="宋体" w:eastAsia="仿宋_GB2312" w:cs="宋体"/>
                <w:kern w:val="0"/>
                <w:sz w:val="20"/>
                <w:szCs w:val="20"/>
              </w:rPr>
            </w:pPr>
          </w:p>
        </w:tc>
        <w:tc>
          <w:tcPr>
            <w:tcW w:w="851" w:type="dxa"/>
            <w:tcBorders>
              <w:top w:val="single" w:color="auto" w:sz="4" w:space="0"/>
            </w:tcBorders>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内控制度情况</w:t>
            </w:r>
          </w:p>
        </w:tc>
        <w:tc>
          <w:tcPr>
            <w:tcW w:w="567" w:type="dxa"/>
            <w:tcBorders>
              <w:top w:val="single" w:color="auto" w:sz="4" w:space="0"/>
            </w:tcBorders>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4分</w:t>
            </w:r>
          </w:p>
        </w:tc>
        <w:tc>
          <w:tcPr>
            <w:tcW w:w="3118" w:type="dxa"/>
            <w:tcBorders>
              <w:top w:val="single" w:color="auto" w:sz="4" w:space="0"/>
            </w:tcBorders>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内部控制制度完全执行，4分，执行过程中，某个环节（节点）执行不到位的，每个环节（节点）扣1分，扣完为止。</w:t>
            </w:r>
          </w:p>
        </w:tc>
        <w:tc>
          <w:tcPr>
            <w:tcW w:w="3472" w:type="dxa"/>
            <w:tcBorders>
              <w:top w:val="single" w:color="auto" w:sz="4" w:space="0"/>
            </w:tcBorders>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7" w:hRule="atLeast"/>
          <w:jc w:val="center"/>
        </w:trPr>
        <w:tc>
          <w:tcPr>
            <w:tcW w:w="411" w:type="dxa"/>
            <w:vMerge w:val="restart"/>
            <w:tcBorders>
              <w:top w:val="nil"/>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过程</w:t>
            </w:r>
          </w:p>
        </w:tc>
        <w:tc>
          <w:tcPr>
            <w:tcW w:w="429" w:type="dxa"/>
            <w:vMerge w:val="continue"/>
            <w:tcBorders>
              <w:right w:val="single" w:color="auto" w:sz="4" w:space="0"/>
            </w:tcBorders>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vAlign w:val="center"/>
          </w:tcPr>
          <w:p>
            <w:pPr>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资金  使用</w:t>
            </w:r>
          </w:p>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合规性</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3118" w:type="dxa"/>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①支出符合国家财经法规和财务管理制度规定以及有关专项资金管理办法的规定；</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②资金（开支）拨付有完整的审批程序和手续；</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③支出符合部门预算批复的用途；</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④资金使用无截留、挤占、挪用、虚列支出、随意借用、大额现金支付等情况。</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⑤</w:t>
            </w:r>
            <w:r>
              <w:rPr>
                <w:rFonts w:hint="eastAsia" w:ascii="仿宋_GB2312" w:hAnsi="仿宋" w:eastAsia="仿宋_GB2312" w:cs="仿宋"/>
                <w:kern w:val="0"/>
                <w:sz w:val="20"/>
                <w:szCs w:val="20"/>
              </w:rPr>
              <w:t>重大财务事项经由集体研究决策；</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⑥</w:t>
            </w:r>
            <w:r>
              <w:rPr>
                <w:rFonts w:hint="eastAsia" w:ascii="仿宋_GB2312" w:hAnsi="仿宋" w:eastAsia="仿宋_GB2312" w:cs="仿宋"/>
                <w:kern w:val="0"/>
                <w:sz w:val="20"/>
                <w:szCs w:val="20"/>
              </w:rPr>
              <w:t>专项资金做到专款专用；</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⑦</w:t>
            </w:r>
            <w:r>
              <w:rPr>
                <w:rFonts w:hint="eastAsia" w:ascii="仿宋_GB2312" w:hAnsi="仿宋" w:eastAsia="仿宋_GB2312" w:cs="仿宋"/>
                <w:kern w:val="0"/>
                <w:sz w:val="20"/>
                <w:szCs w:val="20"/>
              </w:rPr>
              <w:t>原始凭证的取得真实有效；</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⑧</w:t>
            </w:r>
            <w:r>
              <w:rPr>
                <w:rFonts w:hint="eastAsia" w:ascii="仿宋_GB2312" w:hAnsi="仿宋" w:eastAsia="仿宋_GB2312" w:cs="仿宋"/>
                <w:kern w:val="0"/>
                <w:sz w:val="20"/>
                <w:szCs w:val="20"/>
              </w:rPr>
              <w:t>无超范围、超预算开支；</w:t>
            </w:r>
          </w:p>
          <w:p>
            <w:pPr>
              <w:widowControl/>
              <w:jc w:val="left"/>
              <w:rPr>
                <w:rFonts w:hint="eastAsia" w:ascii="仿宋_GB2312" w:hAnsi="仿宋" w:eastAsia="仿宋_GB2312" w:cs="仿宋"/>
                <w:kern w:val="0"/>
                <w:sz w:val="20"/>
                <w:szCs w:val="20"/>
                <w:lang w:eastAsia="zh-CN"/>
              </w:rPr>
            </w:pPr>
            <w:r>
              <w:rPr>
                <w:rFonts w:hint="eastAsia" w:ascii="仿宋" w:hAnsi="仿宋" w:eastAsia="仿宋" w:cs="仿宋"/>
                <w:kern w:val="0"/>
                <w:sz w:val="20"/>
                <w:szCs w:val="20"/>
              </w:rPr>
              <w:t>⑨</w:t>
            </w:r>
            <w:r>
              <w:rPr>
                <w:rFonts w:hint="eastAsia" w:ascii="仿宋_GB2312" w:hAnsi="仿宋" w:eastAsia="仿宋_GB2312" w:cs="仿宋"/>
                <w:kern w:val="0"/>
                <w:sz w:val="20"/>
                <w:szCs w:val="20"/>
              </w:rPr>
              <w:t>无超标准发放津补贴、奖金，无用公款支付应由个人支付的款项。</w:t>
            </w:r>
          </w:p>
          <w:p>
            <w:pPr>
              <w:widowControl/>
              <w:jc w:val="left"/>
              <w:rPr>
                <w:rFonts w:ascii="仿宋_GB2312" w:hAnsi="宋体" w:eastAsia="仿宋_GB2312" w:cs="宋体"/>
                <w:kern w:val="0"/>
                <w:sz w:val="20"/>
                <w:szCs w:val="20"/>
              </w:rPr>
            </w:pPr>
            <w:r>
              <w:rPr>
                <w:rFonts w:hint="eastAsia" w:ascii="仿宋_GB2312" w:hAnsi="仿宋" w:eastAsia="仿宋_GB2312" w:cs="仿宋"/>
                <w:kern w:val="0"/>
                <w:sz w:val="20"/>
                <w:szCs w:val="20"/>
              </w:rPr>
              <w:t>以上情况每出现一例不</w:t>
            </w:r>
            <w:r>
              <w:rPr>
                <w:rFonts w:hint="eastAsia" w:ascii="仿宋_GB2312" w:hAnsi="宋体" w:eastAsia="仿宋_GB2312" w:cs="宋体"/>
                <w:kern w:val="0"/>
                <w:sz w:val="20"/>
                <w:szCs w:val="20"/>
              </w:rPr>
              <w:t>符合要求的扣2分，扣完为止。</w:t>
            </w:r>
          </w:p>
        </w:tc>
        <w:tc>
          <w:tcPr>
            <w:tcW w:w="3472"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部门（单位）使用预算资金是否符合相关的预算财务管理制度的规定，用以反映和考核部门（单位）预算资金的规范运行情况。</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411" w:type="dxa"/>
            <w:vMerge w:val="continue"/>
            <w:tcBorders>
              <w:top w:val="nil"/>
            </w:tcBorders>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c>
          <w:tcPr>
            <w:tcW w:w="567" w:type="dxa"/>
            <w:vMerge w:val="continue"/>
            <w:tcBorders>
              <w:left w:val="single" w:color="auto" w:sz="4" w:space="0"/>
              <w:bottom w:val="single" w:color="auto" w:sz="4" w:space="0"/>
            </w:tcBorders>
            <w:vAlign w:val="center"/>
          </w:tcPr>
          <w:p>
            <w:pPr>
              <w:widowControl/>
              <w:jc w:val="center"/>
              <w:rPr>
                <w:rFonts w:ascii="仿宋_GB2312" w:hAnsi="宋体" w:eastAsia="仿宋_GB2312" w:cs="宋体"/>
                <w:kern w:val="0"/>
                <w:sz w:val="20"/>
                <w:szCs w:val="20"/>
              </w:rPr>
            </w:pPr>
          </w:p>
        </w:tc>
        <w:tc>
          <w:tcPr>
            <w:tcW w:w="851" w:type="dxa"/>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预决算信息公开性和完善性</w:t>
            </w:r>
          </w:p>
        </w:tc>
        <w:tc>
          <w:tcPr>
            <w:tcW w:w="567" w:type="dxa"/>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3118"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①按规定内容公开预决算信息，1分；②按规定时限公开预决算信息，1分；③基础数据信息和会计信息资料真实、完整，1分；④基础数据信息和汇集信息资料准确，1分。                                           </w:t>
            </w:r>
          </w:p>
        </w:tc>
        <w:tc>
          <w:tcPr>
            <w:tcW w:w="3472"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预决算信息是指与部门预算、执行、决算、监督、绩效等管理相关的信息。</w:t>
            </w:r>
          </w:p>
        </w:tc>
        <w:tc>
          <w:tcPr>
            <w:tcW w:w="617" w:type="dxa"/>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continue"/>
            <w:tcBorders>
              <w:top w:val="nil"/>
            </w:tcBorders>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资产管理</w:t>
            </w:r>
          </w:p>
        </w:tc>
        <w:tc>
          <w:tcPr>
            <w:tcW w:w="567" w:type="dxa"/>
            <w:vMerge w:val="restart"/>
            <w:tcBorders>
              <w:top w:val="single" w:color="auto" w:sz="4" w:space="0"/>
              <w:left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851" w:type="dxa"/>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①已制定资产管理制度，1分；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xml:space="preserve">②相关资产管理制度得到有效执行，1分。                                           </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3" w:hRule="atLeast"/>
          <w:jc w:val="center"/>
        </w:trPr>
        <w:tc>
          <w:tcPr>
            <w:tcW w:w="411" w:type="dxa"/>
            <w:vMerge w:val="continue"/>
            <w:tcBorders>
              <w:top w:val="nil"/>
            </w:tcBorders>
            <w:vAlign w:val="center"/>
          </w:tcPr>
          <w:p>
            <w:pPr>
              <w:widowControl/>
              <w:jc w:val="center"/>
              <w:rPr>
                <w:rFonts w:hint="eastAsia"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资产  管理</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安全性</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3118" w:type="dxa"/>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 xml:space="preserve">①资产保存完整；②资产配置合理；③资产处置规范； </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④资产账务管理合规，帐实帐卡、账账、账表（决算报表等）相符；⑤资产有偿使用及处置收入及时足额上缴；</w:t>
            </w:r>
            <w:r>
              <w:rPr>
                <w:rFonts w:hint="eastAsia" w:ascii="仿宋_GB2312" w:hAnsi="仿宋" w:eastAsia="仿宋_GB2312" w:cs="仿宋"/>
                <w:kern w:val="0"/>
                <w:sz w:val="20"/>
                <w:szCs w:val="20"/>
              </w:rPr>
              <w:t>⑥清查盘点：每年至少清查盘点一次；⑦产权明晰，权证齐全</w:t>
            </w:r>
            <w:r>
              <w:rPr>
                <w:rFonts w:hint="eastAsia" w:ascii="仿宋_GB2312" w:hAnsi="宋体" w:eastAsia="仿宋_GB2312" w:cs="宋体"/>
                <w:kern w:val="0"/>
                <w:sz w:val="20"/>
                <w:szCs w:val="20"/>
              </w:rPr>
              <w:t>；⑧按标准购置固定资产。</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以上情况每出现一例不符合要求的扣2分；⑨未按时报送20</w:t>
            </w:r>
            <w:r>
              <w:rPr>
                <w:rFonts w:hint="eastAsia" w:ascii="仿宋_GB2312" w:hAnsi="宋体" w:eastAsia="仿宋_GB2312" w:cs="宋体"/>
                <w:kern w:val="0"/>
                <w:sz w:val="20"/>
                <w:szCs w:val="20"/>
                <w:lang w:val="en-US" w:eastAsia="zh-CN"/>
              </w:rPr>
              <w:t>21</w:t>
            </w:r>
            <w:r>
              <w:rPr>
                <w:rFonts w:hint="eastAsia" w:ascii="仿宋_GB2312" w:hAnsi="宋体" w:eastAsia="仿宋_GB2312" w:cs="宋体"/>
                <w:kern w:val="0"/>
                <w:sz w:val="20"/>
                <w:szCs w:val="20"/>
              </w:rPr>
              <w:t>年行政事业单位资产报表的，每延迟一天，扣1分，扣完为止。</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部门（单位）的资产是否保存完整，使用合规、配置合理、处置规范、收入及时足额上缴，用以反映和考核部门（单位）资产安全运行情况。</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nil"/>
            </w:tcBorders>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固定  资产</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利用率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固定资产利用率,100%,2分,每低于一个百分点扣0.2分，扣完为止。</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固定资产利用率=（实际在用固定资产总额/所有固定资产总额）×100%</w:t>
            </w:r>
          </w:p>
        </w:tc>
        <w:tc>
          <w:tcPr>
            <w:tcW w:w="617" w:type="dxa"/>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411" w:type="dxa"/>
            <w:vMerge w:val="continue"/>
            <w:tcBorders>
              <w:top w:val="nil"/>
            </w:tcBorders>
            <w:vAlign w:val="center"/>
          </w:tcPr>
          <w:p>
            <w:pPr>
              <w:widowControl/>
              <w:jc w:val="center"/>
              <w:rPr>
                <w:rFonts w:ascii="仿宋_GB2312" w:hAnsi="宋体" w:eastAsia="仿宋_GB2312" w:cs="宋体"/>
                <w:kern w:val="0"/>
                <w:sz w:val="20"/>
                <w:szCs w:val="20"/>
              </w:rPr>
            </w:pPr>
          </w:p>
        </w:tc>
        <w:tc>
          <w:tcPr>
            <w:tcW w:w="429" w:type="dxa"/>
            <w:vMerge w:val="restart"/>
            <w:tcBorders>
              <w:right w:val="single" w:color="auto" w:sz="4" w:space="0"/>
            </w:tcBorders>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绩效管理</w:t>
            </w:r>
          </w:p>
        </w:tc>
        <w:tc>
          <w:tcPr>
            <w:tcW w:w="567" w:type="dxa"/>
            <w:vMerge w:val="restart"/>
            <w:tcBorders>
              <w:top w:val="single" w:color="auto" w:sz="4" w:space="0"/>
              <w:left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目标 管理</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①本单位所有专项、项目资金均实行目标管理的，各2分,每少一个专项、项目的，扣1分，扣完为止；②编制并报送</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年度部门整体支出绩效目标的，2分；③在规定时间内报送、公开以上目标的，2分，否则不得分。</w:t>
            </w:r>
          </w:p>
        </w:tc>
        <w:tc>
          <w:tcPr>
            <w:tcW w:w="3472" w:type="dxa"/>
            <w:vAlign w:val="center"/>
          </w:tcPr>
          <w:p>
            <w:pPr>
              <w:widowControl/>
              <w:jc w:val="left"/>
              <w:rPr>
                <w:rFonts w:hint="eastAsia" w:ascii="仿宋_GB2312" w:hAnsi="宋体" w:eastAsia="仿宋_GB2312" w:cs="宋体"/>
                <w:kern w:val="0"/>
                <w:sz w:val="20"/>
                <w:szCs w:val="20"/>
              </w:rPr>
            </w:pP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411" w:type="dxa"/>
            <w:vMerge w:val="continue"/>
            <w:tcBorders>
              <w:top w:val="nil"/>
              <w:bottom w:val="single" w:color="auto" w:sz="4" w:space="0"/>
            </w:tcBorders>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 评价</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w:t>
            </w:r>
            <w:r>
              <w:rPr>
                <w:rFonts w:hint="eastAsia" w:ascii="仿宋_GB2312" w:hAnsi="宋体" w:eastAsia="仿宋_GB2312" w:cs="宋体"/>
                <w:kern w:val="0"/>
                <w:sz w:val="20"/>
                <w:szCs w:val="20"/>
              </w:rPr>
              <w:t>开展20</w:t>
            </w:r>
            <w:r>
              <w:rPr>
                <w:rFonts w:hint="eastAsia" w:ascii="仿宋_GB2312" w:hAnsi="宋体" w:eastAsia="仿宋_GB2312" w:cs="宋体"/>
                <w:kern w:val="0"/>
                <w:sz w:val="20"/>
                <w:szCs w:val="20"/>
                <w:lang w:val="en-US" w:eastAsia="zh-CN"/>
              </w:rPr>
              <w:t>21</w:t>
            </w:r>
            <w:r>
              <w:rPr>
                <w:rFonts w:hint="eastAsia" w:ascii="仿宋_GB2312" w:hAnsi="宋体" w:eastAsia="仿宋_GB2312" w:cs="宋体"/>
                <w:kern w:val="0"/>
                <w:sz w:val="20"/>
                <w:szCs w:val="20"/>
              </w:rPr>
              <w:t>年度专项资金绩效自评的，2分，每少一个专项资金的自评扣1分，扣完为止；</w:t>
            </w:r>
            <w:r>
              <w:rPr>
                <w:rFonts w:hint="eastAsia" w:ascii="仿宋" w:hAnsi="仿宋" w:eastAsia="仿宋" w:cs="宋体"/>
                <w:kern w:val="0"/>
                <w:sz w:val="20"/>
                <w:szCs w:val="20"/>
              </w:rPr>
              <w:t>②</w:t>
            </w:r>
            <w:r>
              <w:rPr>
                <w:rFonts w:hint="eastAsia" w:ascii="仿宋_GB2312" w:hAnsi="宋体" w:eastAsia="仿宋_GB2312" w:cs="宋体"/>
                <w:kern w:val="0"/>
                <w:sz w:val="20"/>
                <w:szCs w:val="20"/>
              </w:rPr>
              <w:t>开展20</w:t>
            </w:r>
            <w:r>
              <w:rPr>
                <w:rFonts w:hint="eastAsia" w:ascii="仿宋_GB2312" w:hAnsi="宋体" w:eastAsia="仿宋_GB2312" w:cs="宋体"/>
                <w:kern w:val="0"/>
                <w:sz w:val="20"/>
                <w:szCs w:val="20"/>
                <w:lang w:val="en-US" w:eastAsia="zh-CN"/>
              </w:rPr>
              <w:t>21</w:t>
            </w:r>
            <w:r>
              <w:rPr>
                <w:rFonts w:hint="eastAsia" w:ascii="仿宋_GB2312" w:hAnsi="宋体" w:eastAsia="仿宋_GB2312" w:cs="宋体"/>
                <w:kern w:val="0"/>
                <w:sz w:val="20"/>
                <w:szCs w:val="20"/>
              </w:rPr>
              <w:t>年度已完工项目绩效自评的，2分，每少一个项目扣1分，扣完为止；</w:t>
            </w:r>
            <w:r>
              <w:rPr>
                <w:rFonts w:hint="eastAsia" w:ascii="仿宋" w:hAnsi="仿宋" w:eastAsia="仿宋" w:cs="宋体"/>
                <w:kern w:val="0"/>
                <w:sz w:val="20"/>
                <w:szCs w:val="20"/>
              </w:rPr>
              <w:t>③</w:t>
            </w:r>
            <w:r>
              <w:rPr>
                <w:rFonts w:hint="eastAsia" w:ascii="仿宋_GB2312" w:hAnsi="宋体" w:eastAsia="仿宋_GB2312" w:cs="宋体"/>
                <w:kern w:val="0"/>
                <w:sz w:val="20"/>
                <w:szCs w:val="20"/>
              </w:rPr>
              <w:t>开展20</w:t>
            </w:r>
            <w:r>
              <w:rPr>
                <w:rFonts w:hint="eastAsia" w:ascii="仿宋_GB2312" w:hAnsi="宋体" w:eastAsia="仿宋_GB2312" w:cs="宋体"/>
                <w:kern w:val="0"/>
                <w:sz w:val="20"/>
                <w:szCs w:val="20"/>
                <w:lang w:val="en-US" w:eastAsia="zh-CN"/>
              </w:rPr>
              <w:t>21</w:t>
            </w:r>
            <w:r>
              <w:rPr>
                <w:rFonts w:hint="eastAsia" w:ascii="仿宋_GB2312" w:hAnsi="宋体" w:eastAsia="仿宋_GB2312" w:cs="宋体"/>
                <w:kern w:val="0"/>
                <w:sz w:val="20"/>
                <w:szCs w:val="20"/>
              </w:rPr>
              <w:t>年度部门整体支出绩效自评的，1分；</w:t>
            </w:r>
            <w:r>
              <w:rPr>
                <w:rFonts w:hint="eastAsia" w:ascii="仿宋" w:hAnsi="仿宋" w:eastAsia="仿宋" w:cs="宋体"/>
                <w:kern w:val="0"/>
                <w:sz w:val="20"/>
                <w:szCs w:val="20"/>
              </w:rPr>
              <w:t>④</w:t>
            </w:r>
            <w:r>
              <w:rPr>
                <w:rFonts w:hint="eastAsia" w:ascii="仿宋_GB2312" w:hAnsi="宋体" w:eastAsia="仿宋_GB2312" w:cs="宋体"/>
                <w:kern w:val="0"/>
                <w:sz w:val="20"/>
                <w:szCs w:val="20"/>
              </w:rPr>
              <w:t>在规定时间内报送、公开以上自评报告材料的，2分。</w:t>
            </w:r>
          </w:p>
        </w:tc>
        <w:tc>
          <w:tcPr>
            <w:tcW w:w="3472" w:type="dxa"/>
            <w:vAlign w:val="center"/>
          </w:tcPr>
          <w:p>
            <w:pPr>
              <w:widowControl/>
              <w:jc w:val="left"/>
              <w:rPr>
                <w:rFonts w:hint="eastAsia" w:ascii="仿宋_GB2312" w:hAnsi="宋体" w:eastAsia="仿宋_GB2312" w:cs="宋体"/>
                <w:kern w:val="0"/>
                <w:sz w:val="20"/>
                <w:szCs w:val="20"/>
              </w:rPr>
            </w:pP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411" w:type="dxa"/>
            <w:tcBorders>
              <w:top w:val="nil"/>
              <w:bottom w:val="single" w:color="auto" w:sz="4" w:space="0"/>
            </w:tcBorders>
            <w:vAlign w:val="center"/>
          </w:tcPr>
          <w:p>
            <w:pPr>
              <w:widowControl/>
              <w:jc w:val="center"/>
              <w:rPr>
                <w:rFonts w:ascii="仿宋_GB2312" w:hAnsi="宋体" w:eastAsia="仿宋_GB2312" w:cs="宋体"/>
                <w:kern w:val="0"/>
                <w:sz w:val="20"/>
                <w:szCs w:val="20"/>
              </w:rPr>
            </w:pPr>
          </w:p>
        </w:tc>
        <w:tc>
          <w:tcPr>
            <w:tcW w:w="429" w:type="dxa"/>
            <w:tcBorders>
              <w:top w:val="nil"/>
              <w:bottom w:val="single" w:color="auto" w:sz="4" w:space="0"/>
              <w:right w:val="single" w:color="auto" w:sz="4" w:space="0"/>
            </w:tcBorders>
            <w:vAlign w:val="center"/>
          </w:tcPr>
          <w:p>
            <w:pPr>
              <w:jc w:val="center"/>
              <w:rPr>
                <w:rFonts w:hint="eastAsia" w:ascii="仿宋_GB2312" w:hAnsi="宋体" w:eastAsia="仿宋_GB2312" w:cs="宋体"/>
                <w:kern w:val="0"/>
                <w:sz w:val="20"/>
                <w:szCs w:val="20"/>
              </w:rPr>
            </w:pPr>
          </w:p>
        </w:tc>
        <w:tc>
          <w:tcPr>
            <w:tcW w:w="567" w:type="dxa"/>
            <w:tcBorders>
              <w:top w:val="nil"/>
              <w:left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评价 结果 运用</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 w:hAnsi="仿宋" w:eastAsia="仿宋" w:cs="宋体"/>
                <w:sz w:val="20"/>
                <w:szCs w:val="20"/>
              </w:rPr>
            </w:pPr>
            <w:r>
              <w:rPr>
                <w:rFonts w:hint="eastAsia" w:ascii="仿宋_GB2312" w:hAnsi="宋体" w:eastAsia="仿宋_GB2312" w:cs="宋体"/>
                <w:kern w:val="0"/>
                <w:sz w:val="20"/>
                <w:szCs w:val="20"/>
              </w:rPr>
              <w:t>根据20</w:t>
            </w:r>
            <w:r>
              <w:rPr>
                <w:rFonts w:hint="eastAsia" w:ascii="仿宋_GB2312" w:hAnsi="宋体" w:eastAsia="仿宋_GB2312" w:cs="宋体"/>
                <w:kern w:val="0"/>
                <w:sz w:val="20"/>
                <w:szCs w:val="20"/>
                <w:lang w:val="en-US" w:eastAsia="zh-CN"/>
              </w:rPr>
              <w:t>21</w:t>
            </w:r>
            <w:r>
              <w:rPr>
                <w:rFonts w:hint="eastAsia" w:ascii="仿宋_GB2312" w:hAnsi="宋体" w:eastAsia="仿宋_GB2312" w:cs="宋体"/>
                <w:kern w:val="0"/>
                <w:sz w:val="20"/>
                <w:szCs w:val="20"/>
              </w:rPr>
              <w:t>年度财政重点绩效评价和单位自评情况，向财政报送整改结果并整改到位的，2分，否则不得分。</w:t>
            </w:r>
          </w:p>
        </w:tc>
        <w:tc>
          <w:tcPr>
            <w:tcW w:w="3472" w:type="dxa"/>
            <w:vAlign w:val="center"/>
          </w:tcPr>
          <w:p>
            <w:pPr>
              <w:jc w:val="left"/>
              <w:rPr>
                <w:rFonts w:hint="eastAsia" w:ascii="仿宋_GB2312" w:hAnsi="宋体" w:eastAsia="仿宋_GB2312" w:cs="宋体"/>
                <w:kern w:val="0"/>
                <w:sz w:val="20"/>
                <w:szCs w:val="20"/>
              </w:rPr>
            </w:pP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restart"/>
            <w:tcBorders>
              <w:top w:val="single" w:color="auto" w:sz="4" w:space="0"/>
            </w:tcBorders>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产   出</w:t>
            </w:r>
          </w:p>
        </w:tc>
        <w:tc>
          <w:tcPr>
            <w:tcW w:w="429" w:type="dxa"/>
            <w:vMerge w:val="restart"/>
            <w:tcBorders>
              <w:top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职责履行</w:t>
            </w:r>
          </w:p>
        </w:tc>
        <w:tc>
          <w:tcPr>
            <w:tcW w:w="567" w:type="dxa"/>
            <w:vMerge w:val="restart"/>
            <w:tcBorders>
              <w:top w:val="single" w:color="auto" w:sz="4" w:space="0"/>
              <w:left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工作　完成率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该项得分=重点工作完成率×2</w:t>
            </w:r>
          </w:p>
        </w:tc>
        <w:tc>
          <w:tcPr>
            <w:tcW w:w="3472" w:type="dxa"/>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重点工作为市政府确定的为民办实事和部门重点工程与重点工作。</w:t>
            </w:r>
          </w:p>
        </w:tc>
        <w:tc>
          <w:tcPr>
            <w:tcW w:w="617" w:type="dxa"/>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411" w:type="dxa"/>
            <w:vMerge w:val="continue"/>
            <w:tcBorders>
              <w:bottom w:val="single" w:color="auto" w:sz="4" w:space="0"/>
            </w:tcBorders>
            <w:textDirection w:val="tbRlV"/>
            <w:vAlign w:val="center"/>
          </w:tcPr>
          <w:p>
            <w:pPr>
              <w:widowControl/>
              <w:jc w:val="center"/>
              <w:rPr>
                <w:rFonts w:hint="eastAsia" w:ascii="仿宋_GB2312" w:hAnsi="宋体" w:eastAsia="仿宋_GB2312" w:cs="宋体"/>
                <w:kern w:val="0"/>
                <w:sz w:val="20"/>
                <w:szCs w:val="20"/>
              </w:rPr>
            </w:pPr>
          </w:p>
        </w:tc>
        <w:tc>
          <w:tcPr>
            <w:tcW w:w="429" w:type="dxa"/>
            <w:vMerge w:val="continue"/>
            <w:tcBorders>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工作</w:t>
            </w:r>
          </w:p>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质量</w:t>
            </w:r>
          </w:p>
        </w:tc>
        <w:tc>
          <w:tcPr>
            <w:tcW w:w="567" w:type="dxa"/>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以绩效考核评估结果为标准，优秀，计3分；良好，2分；合格，1分；不合格，0分。</w:t>
            </w:r>
          </w:p>
        </w:tc>
        <w:tc>
          <w:tcPr>
            <w:tcW w:w="3472" w:type="dxa"/>
            <w:vAlign w:val="center"/>
          </w:tcPr>
          <w:p>
            <w:pPr>
              <w:autoSpaceDN w:val="0"/>
              <w:jc w:val="left"/>
              <w:textAlignment w:val="center"/>
              <w:rPr>
                <w:rFonts w:hint="eastAsia" w:ascii="仿宋_GB2312" w:hAnsi="宋体" w:eastAsia="仿宋_GB2312" w:cs="宋体"/>
                <w:kern w:val="0"/>
                <w:sz w:val="20"/>
                <w:szCs w:val="20"/>
              </w:rPr>
            </w:pPr>
          </w:p>
        </w:tc>
        <w:tc>
          <w:tcPr>
            <w:tcW w:w="617" w:type="dxa"/>
            <w:vAlign w:val="center"/>
          </w:tcPr>
          <w:p>
            <w:pPr>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411" w:type="dxa"/>
            <w:vMerge w:val="restart"/>
            <w:tcBorders>
              <w:top w:val="single" w:color="auto" w:sz="4" w:space="0"/>
              <w:bottom w:val="single" w:color="auto" w:sz="4" w:space="0"/>
            </w:tcBorders>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效  果</w:t>
            </w:r>
          </w:p>
        </w:tc>
        <w:tc>
          <w:tcPr>
            <w:tcW w:w="429" w:type="dxa"/>
            <w:vMerge w:val="restart"/>
            <w:tcBorders>
              <w:top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履职效益</w:t>
            </w:r>
          </w:p>
        </w:tc>
        <w:tc>
          <w:tcPr>
            <w:tcW w:w="567" w:type="dxa"/>
            <w:vMerge w:val="restart"/>
            <w:tcBorders>
              <w:top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经济  效益</w:t>
            </w:r>
          </w:p>
        </w:tc>
        <w:tc>
          <w:tcPr>
            <w:tcW w:w="567" w:type="dxa"/>
            <w:vMerge w:val="restart"/>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6590" w:type="dxa"/>
            <w:gridSpan w:val="2"/>
            <w:vMerge w:val="restart"/>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此三项指标可根据部门实际并结合</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年度部门整体支出绩效目标设立情况有选择的进行评价。</w:t>
            </w:r>
          </w:p>
        </w:tc>
        <w:tc>
          <w:tcPr>
            <w:tcW w:w="617" w:type="dxa"/>
            <w:vMerge w:val="restart"/>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11" w:type="dxa"/>
            <w:vMerge w:val="continue"/>
            <w:tcBorders>
              <w:top w:val="single" w:color="auto" w:sz="4" w:space="0"/>
              <w:bottom w:val="single" w:color="auto" w:sz="4" w:space="0"/>
            </w:tcBorders>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  效益</w:t>
            </w:r>
          </w:p>
        </w:tc>
        <w:tc>
          <w:tcPr>
            <w:tcW w:w="567" w:type="dxa"/>
            <w:vMerge w:val="continue"/>
            <w:vAlign w:val="center"/>
          </w:tcPr>
          <w:p>
            <w:pPr>
              <w:widowControl/>
              <w:jc w:val="both"/>
              <w:rPr>
                <w:rFonts w:hint="eastAsia" w:ascii="仿宋_GB2312" w:hAnsi="宋体" w:eastAsia="仿宋_GB2312" w:cs="宋体"/>
                <w:kern w:val="0"/>
                <w:sz w:val="20"/>
                <w:szCs w:val="20"/>
              </w:rPr>
            </w:pPr>
          </w:p>
        </w:tc>
        <w:tc>
          <w:tcPr>
            <w:tcW w:w="6590" w:type="dxa"/>
            <w:gridSpan w:val="2"/>
            <w:vMerge w:val="continue"/>
            <w:vAlign w:val="center"/>
          </w:tcPr>
          <w:p>
            <w:pPr>
              <w:widowControl/>
              <w:jc w:val="left"/>
              <w:rPr>
                <w:rFonts w:hint="eastAsia" w:ascii="仿宋_GB2312" w:hAnsi="宋体" w:eastAsia="仿宋_GB2312" w:cs="宋体"/>
                <w:kern w:val="0"/>
                <w:sz w:val="20"/>
                <w:szCs w:val="20"/>
              </w:rPr>
            </w:pPr>
          </w:p>
        </w:tc>
        <w:tc>
          <w:tcPr>
            <w:tcW w:w="617" w:type="dxa"/>
            <w:vMerge w:val="continue"/>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single" w:color="auto" w:sz="4" w:space="0"/>
              <w:bottom w:val="single" w:color="auto" w:sz="4" w:space="0"/>
            </w:tcBorders>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生态  效益</w:t>
            </w:r>
          </w:p>
        </w:tc>
        <w:tc>
          <w:tcPr>
            <w:tcW w:w="567" w:type="dxa"/>
            <w:vMerge w:val="continue"/>
            <w:vAlign w:val="center"/>
          </w:tcPr>
          <w:p>
            <w:pPr>
              <w:widowControl/>
              <w:jc w:val="both"/>
              <w:rPr>
                <w:rFonts w:hint="eastAsia" w:ascii="仿宋_GB2312" w:hAnsi="宋体" w:eastAsia="仿宋_GB2312" w:cs="宋体"/>
                <w:kern w:val="0"/>
                <w:sz w:val="20"/>
                <w:szCs w:val="20"/>
              </w:rPr>
            </w:pPr>
          </w:p>
        </w:tc>
        <w:tc>
          <w:tcPr>
            <w:tcW w:w="6590" w:type="dxa"/>
            <w:gridSpan w:val="2"/>
            <w:vMerge w:val="continue"/>
            <w:vAlign w:val="center"/>
          </w:tcPr>
          <w:p>
            <w:pPr>
              <w:widowControl/>
              <w:jc w:val="left"/>
              <w:rPr>
                <w:rFonts w:hint="eastAsia" w:ascii="仿宋_GB2312" w:hAnsi="宋体" w:eastAsia="仿宋_GB2312" w:cs="宋体"/>
                <w:kern w:val="0"/>
                <w:sz w:val="20"/>
                <w:szCs w:val="20"/>
              </w:rPr>
            </w:pPr>
          </w:p>
        </w:tc>
        <w:tc>
          <w:tcPr>
            <w:tcW w:w="617" w:type="dxa"/>
            <w:vMerge w:val="continue"/>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411" w:type="dxa"/>
            <w:vMerge w:val="continue"/>
            <w:tcBorders>
              <w:top w:val="single" w:color="auto" w:sz="4" w:space="0"/>
              <w:bottom w:val="single" w:color="auto" w:sz="4" w:space="0"/>
            </w:tcBorders>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社会公众或服务对象满意度</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90%（含）以上计2分；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80%（含）-90%，计1分；70%（含）-80%，计0.5分；低于70%,计0分。</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社会公众或服务对象是指部门（单位）履行职责而影响到的部门，群体或个人，一般采取社会调查的方式(不少于30份)。</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40" w:type="dxa"/>
            <w:gridSpan w:val="2"/>
            <w:vAlign w:val="center"/>
          </w:tcPr>
          <w:p>
            <w:pPr>
              <w:widowControl/>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合计</w:t>
            </w:r>
          </w:p>
        </w:tc>
        <w:tc>
          <w:tcPr>
            <w:tcW w:w="8575" w:type="dxa"/>
            <w:gridSpan w:val="5"/>
            <w:vAlign w:val="center"/>
          </w:tcPr>
          <w:p>
            <w:pPr>
              <w:widowControl/>
              <w:jc w:val="left"/>
              <w:rPr>
                <w:rFonts w:hint="eastAsia" w:ascii="仿宋_GB2312" w:hAnsi="宋体" w:eastAsia="仿宋_GB2312" w:cs="宋体"/>
                <w:kern w:val="0"/>
                <w:sz w:val="20"/>
                <w:szCs w:val="20"/>
              </w:rPr>
            </w:pP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90</w:t>
            </w:r>
          </w:p>
        </w:tc>
      </w:tr>
    </w:tbl>
    <w:p>
      <w:pPr>
        <w:spacing w:line="600" w:lineRule="exact"/>
        <w:rPr>
          <w:rFonts w:ascii="宋体" w:hAnsi="宋体" w:cs="宋体"/>
          <w:kern w:val="0"/>
          <w:sz w:val="32"/>
          <w:szCs w:val="32"/>
        </w:rPr>
      </w:pPr>
      <w:bookmarkStart w:id="1" w:name="_GoBack"/>
    </w:p>
    <w:bookmarkEnd w:id="1"/>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DCE745"/>
    <w:multiLevelType w:val="singleLevel"/>
    <w:tmpl w:val="84DCE745"/>
    <w:lvl w:ilvl="0" w:tentative="0">
      <w:start w:val="3"/>
      <w:numFmt w:val="decimal"/>
      <w:suff w:val="nothing"/>
      <w:lvlText w:val="（%1）"/>
      <w:lvlJc w:val="left"/>
    </w:lvl>
  </w:abstractNum>
  <w:abstractNum w:abstractNumId="1">
    <w:nsid w:val="EFADE470"/>
    <w:multiLevelType w:val="singleLevel"/>
    <w:tmpl w:val="EFADE470"/>
    <w:lvl w:ilvl="0" w:tentative="0">
      <w:start w:val="4"/>
      <w:numFmt w:val="chineseCounting"/>
      <w:suff w:val="nothing"/>
      <w:lvlText w:val="%1、"/>
      <w:lvlJc w:val="left"/>
      <w:rPr>
        <w:rFonts w:hint="eastAsia"/>
      </w:rPr>
    </w:lvl>
  </w:abstractNum>
  <w:abstractNum w:abstractNumId="2">
    <w:nsid w:val="50EC7810"/>
    <w:multiLevelType w:val="singleLevel"/>
    <w:tmpl w:val="50EC7810"/>
    <w:lvl w:ilvl="0" w:tentative="0">
      <w:start w:val="1"/>
      <w:numFmt w:val="decimal"/>
      <w:suff w:val="nothing"/>
      <w:lvlText w:val="%1、"/>
      <w:lvlJc w:val="left"/>
    </w:lvl>
  </w:abstractNum>
  <w:abstractNum w:abstractNumId="3">
    <w:nsid w:val="59EBF67F"/>
    <w:multiLevelType w:val="singleLevel"/>
    <w:tmpl w:val="59EBF67F"/>
    <w:lvl w:ilvl="0" w:tentative="0">
      <w:start w:val="6"/>
      <w:numFmt w:val="chineseCounting"/>
      <w:suff w:val="nothing"/>
      <w:lvlText w:val="%1、"/>
      <w:lvlJc w:val="left"/>
      <w:rPr>
        <w:rFonts w:hint="eastAsia"/>
      </w:rPr>
    </w:lvl>
  </w:abstractNum>
  <w:abstractNum w:abstractNumId="4">
    <w:nsid w:val="635235AE"/>
    <w:multiLevelType w:val="singleLevel"/>
    <w:tmpl w:val="635235AE"/>
    <w:lvl w:ilvl="0" w:tentative="0">
      <w:start w:val="2"/>
      <w:numFmt w:val="decimal"/>
      <w:suff w:val="nothing"/>
      <w:lvlText w:val="（%1）"/>
      <w:lvlJc w:val="left"/>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MDhhOGFlYzRkMjgzZWM1MDJkZDIwMjQ5MzE5ODU5OTgifQ=="/>
  </w:docVars>
  <w:rsids>
    <w:rsidRoot w:val="00000000"/>
    <w:rsid w:val="08AE00F1"/>
    <w:rsid w:val="14443F90"/>
    <w:rsid w:val="36E1277F"/>
    <w:rsid w:val="384733EF"/>
    <w:rsid w:val="57F460B9"/>
    <w:rsid w:val="745E5F6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qFormat/>
    <w:uiPriority w:val="0"/>
    <w:rPr>
      <w:sz w:val="24"/>
    </w:rPr>
  </w:style>
  <w:style w:type="character" w:styleId="7">
    <w:name w:val="page number"/>
    <w:basedOn w:val="6"/>
    <w:qFormat/>
    <w:uiPriority w:val="0"/>
  </w:style>
  <w:style w:type="character" w:styleId="8">
    <w:name w:val="FollowedHyperlink"/>
    <w:basedOn w:val="6"/>
    <w:qFormat/>
    <w:uiPriority w:val="0"/>
    <w:rPr>
      <w:color w:val="444444"/>
      <w:u w:val="none"/>
    </w:rPr>
  </w:style>
  <w:style w:type="character" w:styleId="9">
    <w:name w:val="Hyperlink"/>
    <w:basedOn w:val="6"/>
    <w:uiPriority w:val="0"/>
    <w:rPr>
      <w:color w:val="444444"/>
      <w:u w:val="none"/>
    </w:rPr>
  </w:style>
  <w:style w:type="character" w:customStyle="1" w:styleId="10">
    <w:name w:val="gai"/>
    <w:basedOn w:val="6"/>
    <w:qFormat/>
    <w:uiPriority w:val="0"/>
  </w:style>
  <w:style w:type="character" w:customStyle="1" w:styleId="11">
    <w:name w:val="gai1"/>
    <w:basedOn w:val="6"/>
    <w:qFormat/>
    <w:uiPriority w:val="0"/>
  </w:style>
  <w:style w:type="character" w:customStyle="1" w:styleId="12">
    <w:name w:val="gai2"/>
    <w:basedOn w:val="6"/>
    <w:qFormat/>
    <w:uiPriority w:val="0"/>
  </w:style>
  <w:style w:type="character" w:customStyle="1" w:styleId="13">
    <w:name w:val="gai3"/>
    <w:basedOn w:val="6"/>
    <w:qFormat/>
    <w:uiPriority w:val="0"/>
  </w:style>
  <w:style w:type="character" w:customStyle="1" w:styleId="14">
    <w:name w:val="gai4"/>
    <w:basedOn w:val="6"/>
    <w:qFormat/>
    <w:uiPriority w:val="0"/>
  </w:style>
  <w:style w:type="character" w:customStyle="1" w:styleId="15">
    <w:name w:val="you"/>
    <w:basedOn w:val="6"/>
    <w:qFormat/>
    <w:uiPriority w:val="0"/>
  </w:style>
  <w:style w:type="character" w:customStyle="1" w:styleId="16">
    <w:name w:val="info-valid"/>
    <w:basedOn w:val="6"/>
    <w:qFormat/>
    <w:uiPriority w:val="0"/>
    <w:rPr>
      <w:color w:val="444444"/>
    </w:rPr>
  </w:style>
  <w:style w:type="character" w:customStyle="1" w:styleId="17">
    <w:name w:val="tit2"/>
    <w:basedOn w:val="6"/>
    <w:qFormat/>
    <w:uiPriority w:val="0"/>
    <w:rPr>
      <w:color w:val="1D0000"/>
      <w:sz w:val="33"/>
      <w:szCs w:val="33"/>
    </w:rPr>
  </w:style>
  <w:style w:type="character" w:customStyle="1" w:styleId="18">
    <w:name w:val="tianqi"/>
    <w:basedOn w:val="6"/>
    <w:uiPriority w:val="0"/>
  </w:style>
  <w:style w:type="character" w:customStyle="1" w:styleId="19">
    <w:name w:val="sjzs"/>
    <w:basedOn w:val="6"/>
    <w:qFormat/>
    <w:uiPriority w:val="0"/>
    <w:rPr>
      <w:sz w:val="27"/>
      <w:szCs w:val="27"/>
    </w:rPr>
  </w:style>
  <w:style w:type="character" w:customStyle="1" w:styleId="20">
    <w:name w:val="quanp"/>
    <w:basedOn w:val="6"/>
    <w:qFormat/>
    <w:uiPriority w:val="0"/>
    <w:rPr>
      <w:color w:val="FFFFFF"/>
      <w:shd w:val="clear" w:color="010000" w:fill="7CB8FE"/>
    </w:rPr>
  </w:style>
  <w:style w:type="character" w:customStyle="1" w:styleId="21">
    <w:name w:val="lname"/>
    <w:basedOn w:val="6"/>
    <w:qFormat/>
    <w:uiPriority w:val="0"/>
    <w:rPr>
      <w:color w:val="000000"/>
      <w:sz w:val="30"/>
      <w:szCs w:val="30"/>
    </w:rPr>
  </w:style>
  <w:style w:type="character" w:customStyle="1" w:styleId="22">
    <w:name w:val="first-child4"/>
    <w:basedOn w:val="6"/>
    <w:qFormat/>
    <w:uiPriority w:val="0"/>
    <w:rPr>
      <w:color w:val="BD1B09"/>
    </w:rPr>
  </w:style>
  <w:style w:type="character" w:customStyle="1" w:styleId="23">
    <w:name w:val="first-child5"/>
    <w:basedOn w:val="6"/>
    <w:qFormat/>
    <w:uiPriority w:val="0"/>
    <w:rPr>
      <w:color w:val="878787"/>
      <w:sz w:val="36"/>
      <w:szCs w:val="36"/>
      <w:shd w:val="clear" w:color="030000" w:fill="FFFFFF"/>
    </w:rPr>
  </w:style>
  <w:style w:type="character" w:customStyle="1" w:styleId="24">
    <w:name w:val="ldjs"/>
    <w:basedOn w:val="6"/>
    <w:qFormat/>
    <w:uiPriority w:val="0"/>
    <w:rPr>
      <w:color w:val="666666"/>
      <w:sz w:val="24"/>
      <w:szCs w:val="24"/>
    </w:rPr>
  </w:style>
  <w:style w:type="character" w:customStyle="1" w:styleId="25">
    <w:name w:val="quanp2"/>
    <w:basedOn w:val="6"/>
    <w:qFormat/>
    <w:uiPriority w:val="0"/>
    <w:rPr>
      <w:color w:val="FFFFFF"/>
      <w:sz w:val="16"/>
      <w:szCs w:val="16"/>
      <w:shd w:val="clear" w:color="030000" w:fill="7CB8FE"/>
    </w:rPr>
  </w:style>
  <w:style w:type="character" w:customStyle="1" w:styleId="26">
    <w:name w:val="jiaoluo"/>
    <w:basedOn w:val="6"/>
    <w:qFormat/>
    <w:uiPriority w:val="0"/>
  </w:style>
  <w:style w:type="character" w:customStyle="1" w:styleId="27">
    <w:name w:val="last3"/>
    <w:basedOn w:val="6"/>
    <w:qFormat/>
    <w:uiPriority w:val="0"/>
  </w:style>
  <w:style w:type="character" w:customStyle="1" w:styleId="28">
    <w:name w:val="last4"/>
    <w:basedOn w:val="6"/>
    <w:qFormat/>
    <w:uiPriority w:val="0"/>
  </w:style>
  <w:style w:type="character" w:customStyle="1" w:styleId="29">
    <w:name w:val="fanhui"/>
    <w:basedOn w:val="6"/>
    <w:qFormat/>
    <w:uiPriority w:val="0"/>
    <w:rPr>
      <w:color w:val="FFFFFF"/>
      <w:sz w:val="24"/>
      <w:szCs w:val="24"/>
    </w:rPr>
  </w:style>
  <w:style w:type="character" w:customStyle="1" w:styleId="30">
    <w:name w:val="jiaoluo2"/>
    <w:basedOn w:val="6"/>
    <w:qFormat/>
    <w:uiPriority w:val="0"/>
  </w:style>
  <w:style w:type="character" w:customStyle="1" w:styleId="31">
    <w:name w:val="zuo"/>
    <w:basedOn w:val="6"/>
    <w:qFormat/>
    <w:uiPriority w:val="0"/>
  </w:style>
  <w:style w:type="character" w:customStyle="1" w:styleId="32">
    <w:name w:val="dcs"/>
    <w:basedOn w:val="6"/>
    <w:qFormat/>
    <w:uiPriority w:val="0"/>
    <w:rPr>
      <w:color w:val="BD1B09"/>
    </w:rPr>
  </w:style>
  <w:style w:type="character" w:customStyle="1" w:styleId="33">
    <w:name w:val="time"/>
    <w:basedOn w:val="6"/>
    <w:qFormat/>
    <w:uiPriority w:val="0"/>
    <w:rPr>
      <w:color w:val="999999"/>
    </w:rPr>
  </w:style>
  <w:style w:type="character" w:customStyle="1" w:styleId="34">
    <w:name w:val="time1"/>
    <w:basedOn w:val="6"/>
    <w:qFormat/>
    <w:uiPriority w:val="0"/>
    <w:rPr>
      <w:color w:val="999999"/>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5323</Words>
  <Characters>5593</Characters>
  <Lines>0</Lines>
  <Paragraphs>0</Paragraphs>
  <TotalTime>6</TotalTime>
  <ScaleCrop>false</ScaleCrop>
  <LinksUpToDate>false</LinksUpToDate>
  <CharactersWithSpaces>5768</CharactersWithSpaces>
  <Application>WPS Office_11.1.0.12651_F1E327BC-269C-435d-A152-05C5408002CA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2022-10-10T08:53:00Z</dcterms:created>
  <dc:creator>Administrator</dc:creator>
  <cp:lastModifiedBy>琴子</cp:lastModifiedBy>
  <cp:lastPrinted>2022-10-21T07:22:00Z</cp:lastPrinted>
  <dcterms:modified xsi:type="dcterms:W3CDTF">2022-11-11T06:18:02Z</dcterms:modified>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2052-11.1.0.12651</vt:lpwstr>
  </property>
  <property fmtid="{D5CDD505-2E9C-101B-9397-08002B2CF9AE}" pid="3" name="ICV">
    <vt:lpwstr>2F54F18A2CE84DADA1B21E746E2F1685</vt:lpwstr>
  </property>
</Properties>
</file>